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How-to-Handbuch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WAMAS Lift &amp; Store Angebotsgenerator – Sicherheit und Benutzeranleitung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Angebotsgenerator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Abgleich Secure Development Policy PO-00153-EN und Bedienung für Anwender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Marek Sobona / SSI SCHÄFER</w:t>
            </w:r>
          </w:p>
        </w:tc>
      </w:tr>
    </w:tbl>
    <w:p>
      <w:pPr>
        <w:spacing w:before="8617"/>
      </w:pPr>
      <w:r>
        <w:rPr>
          <w:sz w:val="18"/>
        </w:rPr>
        <w:t>V 1.0  ·  28.10.2026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1.1 Zweck</w:t>
        <w:tab/>
        <w:t>4</w:t>
      </w:r>
    </w:p>
    <w:p>
      <w:pPr>
        <w:pStyle w:val="TOC2"/>
        <w:tabs>
          <w:tab w:pos="9524" w:val="right" w:leader="dot"/>
        </w:tabs>
      </w:pPr>
      <w:r>
        <w:t>1.2 Lesart</w:t>
        <w:tab/>
        <w:t>4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4</w:t>
      </w:r>
    </w:p>
    <w:p>
      <w:pPr>
        <w:pStyle w:val="TOC1"/>
        <w:tabs>
          <w:tab w:pos="9524" w:val="right" w:leader="dot"/>
        </w:tabs>
      </w:pPr>
      <w:r>
        <w:t>2 Systemüberblick</w:t>
        <w:tab/>
        <w:t>5</w:t>
      </w:r>
    </w:p>
    <w:p>
      <w:pPr>
        <w:pStyle w:val="TOC2"/>
        <w:tabs>
          <w:tab w:pos="9524" w:val="right" w:leader="dot"/>
        </w:tabs>
      </w:pPr>
      <w:r>
        <w:t>2.1 Was die App ist</w:t>
        <w:tab/>
        <w:t>5</w:t>
      </w:r>
    </w:p>
    <w:p>
      <w:pPr>
        <w:pStyle w:val="TOC2"/>
        <w:tabs>
          <w:tab w:pos="9524" w:val="right" w:leader="dot"/>
        </w:tabs>
      </w:pPr>
      <w:r>
        <w:t>2.2 Betrieb</w:t>
        <w:tab/>
        <w:t>5</w:t>
      </w:r>
    </w:p>
    <w:p>
      <w:pPr>
        <w:pStyle w:val="TOC2"/>
        <w:tabs>
          <w:tab w:pos="9524" w:val="right" w:leader="dot"/>
        </w:tabs>
      </w:pPr>
      <w:r>
        <w:t>2.3 Rollen</w:t>
        <w:tab/>
        <w:t>5</w:t>
      </w:r>
    </w:p>
    <w:p>
      <w:pPr>
        <w:pStyle w:val="TOC1"/>
        <w:tabs>
          <w:tab w:pos="9524" w:val="right" w:leader="dot"/>
        </w:tabs>
      </w:pPr>
      <w:r>
        <w:t>3 Sicherheitsstand – erfüllt</w:t>
        <w:tab/>
        <w:t>6</w:t>
      </w:r>
    </w:p>
    <w:p>
      <w:pPr>
        <w:pStyle w:val="TOC1"/>
        <w:tabs>
          <w:tab w:pos="9524" w:val="right" w:leader="dot"/>
        </w:tabs>
      </w:pPr>
      <w:r>
        <w:t>4 Sicherheitsstand – teilweise / offen</w:t>
        <w:tab/>
        <w:t>8</w:t>
      </w:r>
    </w:p>
    <w:p>
      <w:pPr>
        <w:pStyle w:val="TOC1"/>
        <w:tabs>
          <w:tab w:pos="9524" w:val="right" w:leader="dot"/>
        </w:tabs>
      </w:pPr>
      <w:r>
        <w:t>5 Bewertung für internen SSI-Betrieb</w:t>
        <w:tab/>
        <w:t>9</w:t>
      </w:r>
    </w:p>
    <w:p>
      <w:pPr>
        <w:pStyle w:val="TOC1"/>
        <w:tabs>
          <w:tab w:pos="9524" w:val="right" w:leader="dot"/>
        </w:tabs>
      </w:pPr>
      <w:r>
        <w:t>6 Benutzeranleitung Anwender</w:t>
        <w:tab/>
        <w:t>10</w:t>
      </w:r>
    </w:p>
    <w:p>
      <w:pPr>
        <w:pStyle w:val="TOC2"/>
        <w:tabs>
          <w:tab w:pos="9524" w:val="right" w:leader="dot"/>
        </w:tabs>
      </w:pPr>
      <w:r>
        <w:t>6.1 Anmelden</w:t>
        <w:tab/>
        <w:t>10</w:t>
      </w:r>
    </w:p>
    <w:p>
      <w:pPr>
        <w:pStyle w:val="TOC2"/>
        <w:tabs>
          <w:tab w:pos="9524" w:val="right" w:leader="dot"/>
        </w:tabs>
      </w:pPr>
      <w:r>
        <w:t>6.2 Fehlversuche und Sperre</w:t>
        <w:tab/>
        <w:t>10</w:t>
      </w:r>
    </w:p>
    <w:p>
      <w:pPr>
        <w:pStyle w:val="TOC2"/>
        <w:tabs>
          <w:tab w:pos="9524" w:val="right" w:leader="dot"/>
        </w:tabs>
      </w:pPr>
      <w:r>
        <w:t>6.3 Arbeitsablauf</w:t>
        <w:tab/>
        <w:t>10</w:t>
      </w:r>
    </w:p>
    <w:p>
      <w:pPr>
        <w:pStyle w:val="TOC2"/>
        <w:tabs>
          <w:tab w:pos="9524" w:val="right" w:leader="dot"/>
        </w:tabs>
      </w:pPr>
      <w:r>
        <w:t>6.4 Passwort ändern, Passwort vergessen, Abmelden</w:t>
        <w:tab/>
        <w:t>11</w:t>
      </w:r>
    </w:p>
    <w:p>
      <w:pPr>
        <w:pStyle w:val="TOC1"/>
        <w:tabs>
          <w:tab w:pos="9524" w:val="right" w:leader="dot"/>
        </w:tabs>
      </w:pPr>
      <w:r>
        <w:t>7 Kurz-Admin</w:t>
        <w:tab/>
        <w:t>12</w:t>
      </w:r>
    </w:p>
    <w:p>
      <w:pPr>
        <w:pStyle w:val="TOC1"/>
        <w:tabs>
          <w:tab w:pos="9524" w:val="right" w:leader="dot"/>
        </w:tabs>
      </w:pPr>
      <w:r>
        <w:t>8 Stolperfallen</w:t>
        <w:tab/>
        <w:t>13</w:t>
      </w:r>
    </w:p>
    <w:p>
      <w:pPr>
        <w:pStyle w:val="TOC1"/>
        <w:tabs>
          <w:tab w:pos="9524" w:val="right" w:leader="dot"/>
        </w:tabs>
      </w:pPr>
      <w:r>
        <w:t>9 Praxisbeispiele</w:t>
        <w:tab/>
        <w:t>14</w:t>
      </w:r>
    </w:p>
    <w:p>
      <w:pPr>
        <w:pStyle w:val="TOC2"/>
        <w:tabs>
          <w:tab w:pos="9524" w:val="right" w:leader="dot"/>
        </w:tabs>
      </w:pPr>
      <w:r>
        <w:t>9.1 Login-Sperre</w:t>
        <w:tab/>
        <w:t>14</w:t>
      </w:r>
    </w:p>
    <w:p>
      <w:pPr>
        <w:pStyle w:val="TOC2"/>
        <w:tabs>
          <w:tab w:pos="9524" w:val="right" w:leader="dot"/>
        </w:tabs>
      </w:pPr>
      <w:r>
        <w:t>9.2 Angebot als Editor</w:t>
        <w:tab/>
        <w:t>14</w:t>
      </w:r>
    </w:p>
    <w:p>
      <w:pPr>
        <w:pStyle w:val="TOC1"/>
        <w:tabs>
          <w:tab w:pos="9524" w:val="right" w:leader="dot"/>
        </w:tabs>
      </w:pPr>
      <w:r>
        <w:t>10 Quellenverzeichnis</w:t>
        <w:tab/>
        <w:t>15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Dieses Dokument fasst den </w:t>
      </w:r>
      <w:r>
        <w:rPr>
          <w:b/>
        </w:rPr>
        <w:t>Sicherheitsstand</w:t>
      </w:r>
      <w:r>
        <w:t xml:space="preserve"> des WAMAS Lift &amp; Store Angebotsgenerators nach den Massnahmen P0 und P1 zusammen (erfüllt / teilweise / offen gemäss PO-00153-EN) und enthält eine </w:t>
      </w:r>
      <w:r>
        <w:rPr>
          <w:b/>
        </w:rPr>
        <w:t>Benutzeranleitung</w:t>
      </w:r>
      <w:r>
        <w:t xml:space="preserve"> für Anwender sowie eine Kurzanleitung für Administratoren.</w:t>
      </w:r>
    </w:p>
    <w:p>
      <w:pPr>
        <w:pStyle w:val="Heading2"/>
      </w:pPr>
      <w:r>
        <w:t>1.2 Lesart</w:t>
      </w:r>
    </w:p>
    <w:p>
      <w:pPr>
        <w:pStyle w:val="ListBullet"/>
      </w:pPr>
      <w:r>
        <w:t xml:space="preserve">UI-Bezeichnungen stehen </w:t>
      </w:r>
      <w:r>
        <w:rPr>
          <w:b/>
        </w:rPr>
        <w:t>fett</w:t>
      </w:r>
      <w:r>
        <w:t xml:space="preserve">, Konfigurationsschlüssel und API-Pfade in </w:t>
      </w:r>
      <w:r>
        <w:rPr>
          <w:rFonts w:ascii="Consolas" w:hAnsi="Consolas" w:cs="Consolas" w:eastAsia="Consolas"/>
          <w:sz w:val="18"/>
        </w:rPr>
        <w:t>monospace</w:t>
      </w:r>
      <w:r>
        <w:t>.</w:t>
      </w:r>
    </w:p>
    <w:p>
      <w:pPr>
        <w:pStyle w:val="ListBullet"/>
      </w:pPr>
      <w:r>
        <w:t xml:space="preserve">Nicht belegbare Angaben sind als </w:t>
      </w:r>
      <w:r>
        <w:rPr>
          <w:b/>
        </w:rPr>
        <w:t>LUECKE</w:t>
      </w:r>
      <w:r>
        <w:t xml:space="preserve"> markiert.</w:t>
      </w:r>
    </w:p>
    <w:p>
      <w:pPr>
        <w:pStyle w:val="ListBullet"/>
      </w:pPr>
      <w:r>
        <w:t xml:space="preserve">Der Stand bezieht sich auf Commit </w:t>
      </w:r>
      <w:r>
        <w:rPr>
          <w:rFonts w:ascii="Consolas" w:hAnsi="Consolas" w:cs="Consolas" w:eastAsia="Consolas"/>
          <w:sz w:val="18"/>
        </w:rPr>
        <w:t>041e207</w:t>
      </w:r>
      <w:r>
        <w:t xml:space="preserve"> und Image </w:t>
      </w:r>
      <w:r>
        <w:rPr>
          <w:rFonts w:ascii="Consolas" w:hAnsi="Consolas" w:cs="Consolas" w:eastAsia="Consolas"/>
          <w:sz w:val="18"/>
        </w:rPr>
        <w:t>wamas-ls-angebot:ui-p1-041e207</w:t>
      </w:r>
      <w:r>
        <w:t>.</w:t>
      </w: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Angebotsgenerator – Sicherheit und Benutzeranleitung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Angebotsgenerator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28.10.2026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 / 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Anwender, Key-User, Administratoren, Security-Review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CWA Security SW PO-00153-EN v1.00; Live-Stand Image ui-p1-041e207 (Commit 041e207); interner SSI-Betrieb (kein öffentliches Internet)</w:t>
            </w:r>
          </w:p>
        </w:tc>
      </w:tr>
    </w:tbl>
    <w:p>
      <w:pPr>
        <w:spacing w:after="40"/>
      </w:pPr>
    </w:p>
    <w:p>
      <w:pPr>
        <w:pStyle w:val="Heading1"/>
      </w:pPr>
      <w:r>
        <w:t>2 Systemüberblick</w:t>
      </w:r>
    </w:p>
    <w:p>
      <w:pPr>
        <w:pStyle w:val="Heading2"/>
      </w:pPr>
      <w:r>
        <w:t>2.1 Was die App ist</w:t>
      </w:r>
    </w:p>
    <w:p>
      <w:r>
        <w:t>Webanwendung (FastAPI, Python 3.12, Docker) mit drei Modulen: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Lizenzkalkulator</w:t>
      </w:r>
      <w:r>
        <w:t xml:space="preserve"> – IC License Price List (Basic/Advanced, Add-ons, Clients, SLL-Rabatt)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IT-Aufwand</w:t>
      </w:r>
      <w:r>
        <w:t xml:space="preserve"> – analog </w:t>
      </w:r>
      <w:r>
        <w:rPr>
          <w:rFonts w:ascii="Consolas" w:hAnsi="Consolas" w:cs="Consolas" w:eastAsia="Consolas"/>
          <w:sz w:val="18"/>
        </w:rPr>
        <w:t>Kalkulation WAMAS Installation.xlsm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Angebot</w:t>
      </w:r>
      <w:r>
        <w:t xml:space="preserve"> – druckfertiges Dokument (DOCX/PDF, Excel)</w:t>
      </w:r>
    </w:p>
    <w:p>
      <w:pPr>
        <w:pStyle w:val="Heading2"/>
      </w:pPr>
      <w:r>
        <w:t>2.2 Betrieb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005"/>
        <w:gridCol w:w="7520"/>
      </w:tblGrid>
      <w:tr>
        <w:trPr>
          <w:tblHeader w:val="true"/>
        </w:trPr>
        <w:tc>
          <w:tcPr>
            <w:tcW w:type="dxa" w:w="20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Element</w:t>
            </w:r>
          </w:p>
        </w:tc>
        <w:tc>
          <w:tcPr>
            <w:tcW w:type="dxa" w:w="751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</w:tr>
      <w:tr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sz w:val="17"/>
              </w:rPr>
              <w:t>URL</w:t>
            </w:r>
          </w:p>
        </w:tc>
        <w:tc>
          <w:tcPr>
            <w:tcW w:type="dxa" w:w="751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https://angebot.mareksobona.synology.me/</w:t>
            </w:r>
          </w:p>
        </w:tc>
      </w:tr>
      <w:tr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sz w:val="17"/>
              </w:rPr>
              <w:t>Container / Port</w:t>
            </w:r>
          </w:p>
        </w:tc>
        <w:tc>
          <w:tcPr>
            <w:tcW w:type="dxa" w:w="751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CH, Port </w:t>
            </w:r>
            <w:r>
              <w:rPr>
                <w:rFonts w:ascii="Consolas" w:hAnsi="Consolas" w:cs="Consolas" w:eastAsia="Consolas"/>
                <w:sz w:val="15"/>
              </w:rPr>
              <w:t>8100</w:t>
            </w:r>
            <w:r>
              <w:rPr>
                <w:sz w:val="17"/>
              </w:rPr>
              <w:t xml:space="preserve"> hinter Synology-Reverse-Proxy (HTTPS)</w:t>
            </w:r>
          </w:p>
        </w:tc>
      </w:tr>
      <w:tr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sz w:val="17"/>
              </w:rPr>
              <w:t>Image</w:t>
            </w:r>
          </w:p>
        </w:tc>
        <w:tc>
          <w:tcPr>
            <w:tcW w:type="dxa" w:w="751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wamas-ls-angebot:ui-p1-041e207</w:t>
            </w:r>
          </w:p>
        </w:tc>
      </w:tr>
      <w:tr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sz w:val="17"/>
              </w:rPr>
              <w:t>Volume</w:t>
            </w:r>
          </w:p>
        </w:tc>
        <w:tc>
          <w:tcPr>
            <w:tcW w:type="dxa" w:w="751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wamas-ls-angebot-runtime</w:t>
            </w:r>
          </w:p>
        </w:tc>
      </w:tr>
      <w:tr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sz w:val="17"/>
              </w:rPr>
              <w:t>International</w:t>
            </w:r>
          </w:p>
        </w:tc>
        <w:tc>
          <w:tcPr>
            <w:tcW w:type="dxa" w:w="751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Port </w:t>
            </w:r>
            <w:r>
              <w:rPr>
                <w:rFonts w:ascii="Consolas" w:hAnsi="Consolas" w:cs="Consolas" w:eastAsia="Consolas"/>
                <w:sz w:val="15"/>
              </w:rPr>
              <w:t>8110</w:t>
            </w:r>
            <w:r>
              <w:rPr>
                <w:sz w:val="17"/>
              </w:rPr>
              <w:t>, von diesem Stand nicht berührt</w:t>
            </w:r>
          </w:p>
        </w:tc>
      </w:tr>
      <w:tr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sz w:val="17"/>
              </w:rPr>
              <w:t>Scope</w:t>
            </w:r>
          </w:p>
        </w:tc>
        <w:tc>
          <w:tcPr>
            <w:tcW w:type="dxa" w:w="7519"/>
          </w:tcPr>
          <w:p>
            <w:pPr>
              <w:spacing w:after="0" w:line="252" w:lineRule="auto"/>
            </w:pPr>
            <w:r>
              <w:rPr>
                <w:sz w:val="17"/>
              </w:rPr>
              <w:t>interner SSI-SCHÄFER-Betrieb, keine öffentliche Internet-Veröffentlichung</w:t>
            </w:r>
          </w:p>
        </w:tc>
      </w:tr>
    </w:tbl>
    <w:p>
      <w:pPr>
        <w:pStyle w:val="BeschriftungSSI"/>
      </w:pPr>
      <w:r>
        <w:t>Tab. 1: Betriebsdaten</w:t>
      </w:r>
    </w:p>
    <w:p>
      <w:pPr>
        <w:pStyle w:val="Heading2"/>
      </w:pPr>
      <w:r>
        <w:t>2.3 Rollen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313"/>
        <w:gridCol w:w="8211"/>
      </w:tblGrid>
      <w:tr>
        <w:trPr>
          <w:tblHeader w:val="true"/>
        </w:trPr>
        <w:tc>
          <w:tcPr>
            <w:tcW w:type="dxa" w:w="131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</w:t>
            </w:r>
          </w:p>
        </w:tc>
        <w:tc>
          <w:tcPr>
            <w:tcW w:type="dxa" w:w="821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Rechte</w:t>
            </w:r>
          </w:p>
        </w:tc>
      </w:tr>
      <w:tr>
        <w:tc>
          <w:tcPr>
            <w:tcW w:type="dxa" w:w="13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viewer</w:t>
            </w:r>
          </w:p>
        </w:tc>
        <w:tc>
          <w:tcPr>
            <w:tcW w:type="dxa" w:w="8211"/>
          </w:tcPr>
          <w:p>
            <w:pPr>
              <w:spacing w:after="0" w:line="252" w:lineRule="auto"/>
            </w:pPr>
            <w:r>
              <w:rPr>
                <w:sz w:val="17"/>
              </w:rPr>
              <w:t>lesen, Export, Vorschau; keine Bearbeitung</w:t>
            </w:r>
          </w:p>
        </w:tc>
      </w:tr>
      <w:tr>
        <w:tc>
          <w:tcPr>
            <w:tcW w:type="dxa" w:w="13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sales</w:t>
            </w:r>
          </w:p>
        </w:tc>
        <w:tc>
          <w:tcPr>
            <w:tcW w:type="dxa" w:w="8211"/>
          </w:tcPr>
          <w:p>
            <w:pPr>
              <w:spacing w:after="0" w:line="252" w:lineRule="auto"/>
            </w:pPr>
            <w:r>
              <w:rPr>
                <w:sz w:val="17"/>
              </w:rPr>
              <w:t>nur Verkaufspreise, read-only</w:t>
            </w:r>
          </w:p>
        </w:tc>
      </w:tr>
      <w:tr>
        <w:tc>
          <w:tcPr>
            <w:tcW w:type="dxa" w:w="13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editor</w:t>
            </w:r>
          </w:p>
        </w:tc>
        <w:tc>
          <w:tcPr>
            <w:tcW w:type="dxa" w:w="8211"/>
          </w:tcPr>
          <w:p>
            <w:pPr>
              <w:spacing w:after="0" w:line="252" w:lineRule="auto"/>
            </w:pPr>
            <w:r>
              <w:rPr>
                <w:sz w:val="17"/>
              </w:rPr>
              <w:t>wie viewer, zusätzlich speichern</w:t>
            </w:r>
          </w:p>
        </w:tc>
      </w:tr>
      <w:tr>
        <w:tc>
          <w:tcPr>
            <w:tcW w:type="dxa" w:w="131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admin</w:t>
            </w:r>
          </w:p>
        </w:tc>
        <w:tc>
          <w:tcPr>
            <w:tcW w:type="dxa" w:w="8211"/>
          </w:tcPr>
          <w:p>
            <w:pPr>
              <w:spacing w:after="0" w:line="252" w:lineRule="auto"/>
            </w:pPr>
            <w:r>
              <w:rPr>
                <w:sz w:val="17"/>
              </w:rPr>
              <w:t>zusätzlich löschen, Benutzerverwaltung, Stammdaten</w:t>
            </w:r>
          </w:p>
        </w:tc>
      </w:tr>
    </w:tbl>
    <w:p>
      <w:pPr>
        <w:pStyle w:val="BeschriftungSSI"/>
      </w:pPr>
      <w:r>
        <w:t>Tab. 2: Rollenmodell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README.md, static/index.html, Auftrag Marek (Scope)</w:t>
      </w:r>
    </w:p>
    <w:p>
      <w:pPr>
        <w:pStyle w:val="Heading1"/>
      </w:pPr>
      <w:r>
        <w:t>3 Sicherheitsstand – erfüllt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89"/>
        <w:gridCol w:w="4723"/>
        <w:gridCol w:w="2912"/>
      </w:tblGrid>
      <w:tr>
        <w:trPr>
          <w:tblHeader w:val="true"/>
        </w:trPr>
        <w:tc>
          <w:tcPr>
            <w:tcW w:type="dxa" w:w="188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Anforderung</w:t>
            </w:r>
          </w:p>
        </w:tc>
        <w:tc>
          <w:tcPr>
            <w:tcW w:type="dxa" w:w="472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Umsetzung</w:t>
            </w:r>
          </w:p>
        </w:tc>
        <w:tc>
          <w:tcPr>
            <w:tcW w:type="dxa" w:w="291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Beleg</w:t>
            </w:r>
          </w:p>
        </w:tc>
      </w:tr>
      <w:tr>
        <w:tc>
          <w:tcPr>
            <w:tcW w:type="dxa" w:w="1889"/>
          </w:tcPr>
          <w:p>
            <w:pPr>
              <w:spacing w:after="0" w:line="252" w:lineRule="auto"/>
            </w:pPr>
            <w:r>
              <w:rPr>
                <w:sz w:val="17"/>
              </w:rPr>
              <w:t>Brute-Force-Schutz Login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sz w:val="17"/>
              </w:rPr>
              <w:t>5 Fehlversuche/Benutzer bzw. 30/IP in 15 Min. → HTTP 429, Sperre 15 Min., Audit</w:t>
            </w:r>
          </w:p>
        </w:tc>
        <w:tc>
          <w:tcPr>
            <w:tcW w:type="dxa" w:w="2912"/>
          </w:tcPr>
          <w:p>
            <w:pPr>
              <w:spacing w:after="0" w:line="252" w:lineRule="auto"/>
            </w:pPr>
            <w:r>
              <w:rPr>
                <w:sz w:val="17"/>
              </w:rPr>
              <w:t>P0, Abb. 1–2</w:t>
            </w:r>
          </w:p>
        </w:tc>
      </w:tr>
      <w:tr>
        <w:tc>
          <w:tcPr>
            <w:tcW w:type="dxa" w:w="1889"/>
          </w:tcPr>
          <w:p>
            <w:pPr>
              <w:spacing w:after="0" w:line="252" w:lineRule="auto"/>
            </w:pPr>
            <w:r>
              <w:rPr>
                <w:sz w:val="17"/>
              </w:rPr>
              <w:t>Passwort-Hashing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sz w:val="17"/>
              </w:rPr>
              <w:t>PBKDF2-SHA256 600 000 Iterationen, Upgrade beim Login</w:t>
            </w:r>
          </w:p>
        </w:tc>
        <w:tc>
          <w:tcPr>
            <w:tcW w:type="dxa" w:w="291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auth.py</w:t>
            </w:r>
            <w:r>
              <w:rPr>
                <w:sz w:val="17"/>
              </w:rPr>
              <w:t xml:space="preserve"> </w:t>
            </w:r>
            <w:r>
              <w:rPr>
                <w:rFonts w:ascii="Consolas" w:hAnsi="Consolas" w:cs="Consolas" w:eastAsia="Consolas"/>
                <w:sz w:val="15"/>
              </w:rPr>
              <w:t>PBKDF2_ITERATIONS</w:t>
            </w:r>
          </w:p>
        </w:tc>
      </w:tr>
      <w:tr>
        <w:tc>
          <w:tcPr>
            <w:tcW w:type="dxa" w:w="1889"/>
          </w:tcPr>
          <w:p>
            <w:pPr>
              <w:spacing w:after="0" w:line="252" w:lineRule="auto"/>
            </w:pPr>
            <w:r>
              <w:rPr>
                <w:sz w:val="17"/>
              </w:rPr>
              <w:t>Session-Cookie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sz w:val="17"/>
              </w:rPr>
              <w:t>HttpOnly, SameSite=Lax, Secure bei https-</w:t>
            </w:r>
            <w:r>
              <w:rPr>
                <w:rFonts w:ascii="Consolas" w:hAnsi="Consolas" w:cs="Consolas" w:eastAsia="Consolas"/>
                <w:sz w:val="15"/>
              </w:rPr>
              <w:t>WAMAS_PUBLIC_URL</w:t>
            </w:r>
          </w:p>
        </w:tc>
        <w:tc>
          <w:tcPr>
            <w:tcW w:type="dxa" w:w="2912"/>
          </w:tcPr>
          <w:p>
            <w:pPr>
              <w:spacing w:after="0" w:line="252" w:lineRule="auto"/>
            </w:pPr>
            <w:r>
              <w:rPr>
                <w:sz w:val="17"/>
              </w:rPr>
              <w:t>README, P0</w:t>
            </w:r>
          </w:p>
        </w:tc>
      </w:tr>
      <w:tr>
        <w:tc>
          <w:tcPr>
            <w:tcW w:type="dxa" w:w="1889"/>
          </w:tcPr>
          <w:p>
            <w:pPr>
              <w:spacing w:after="0" w:line="252" w:lineRule="auto"/>
            </w:pPr>
            <w:r>
              <w:rPr>
                <w:sz w:val="17"/>
              </w:rPr>
              <w:t>HSTS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max-age=15552000</w:t>
            </w:r>
            <w:r>
              <w:rPr>
                <w:sz w:val="17"/>
              </w:rPr>
              <w:t xml:space="preserve"> hinter HTTPS</w:t>
            </w:r>
          </w:p>
        </w:tc>
        <w:tc>
          <w:tcPr>
            <w:tcW w:type="dxa" w:w="2912"/>
          </w:tcPr>
          <w:p>
            <w:pPr>
              <w:spacing w:after="0" w:line="252" w:lineRule="auto"/>
            </w:pPr>
            <w:r>
              <w:rPr>
                <w:sz w:val="17"/>
              </w:rPr>
              <w:t>Abb. 3</w:t>
            </w:r>
          </w:p>
        </w:tc>
      </w:tr>
      <w:tr>
        <w:tc>
          <w:tcPr>
            <w:tcW w:type="dxa" w:w="1889"/>
          </w:tcPr>
          <w:p>
            <w:pPr>
              <w:spacing w:after="0" w:line="252" w:lineRule="auto"/>
            </w:pPr>
            <w:r>
              <w:rPr>
                <w:sz w:val="17"/>
              </w:rPr>
              <w:t>Security-Header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sz w:val="17"/>
              </w:rPr>
              <w:t>CSP (</w:t>
            </w:r>
            <w:r>
              <w:rPr>
                <w:rFonts w:ascii="Consolas" w:hAnsi="Consolas" w:cs="Consolas" w:eastAsia="Consolas"/>
                <w:sz w:val="15"/>
              </w:rPr>
              <w:t>frame-ancestors 'none'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script-src 'self'</w:t>
            </w:r>
            <w:r>
              <w:rPr>
                <w:sz w:val="17"/>
              </w:rPr>
              <w:t>), X-Frame-Options DENY, nosniff, Referrer-Policy</w:t>
            </w:r>
          </w:p>
        </w:tc>
        <w:tc>
          <w:tcPr>
            <w:tcW w:type="dxa" w:w="291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http_security.py</w:t>
            </w:r>
          </w:p>
        </w:tc>
      </w:tr>
      <w:tr>
        <w:tc>
          <w:tcPr>
            <w:tcW w:type="dxa" w:w="1889"/>
          </w:tcPr>
          <w:p>
            <w:pPr>
              <w:spacing w:after="0" w:line="252" w:lineRule="auto"/>
            </w:pPr>
            <w:r>
              <w:rPr>
                <w:sz w:val="17"/>
              </w:rPr>
              <w:t>API-Doku in Prod aus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/docs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/redoc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/openapi.json</w:t>
            </w:r>
            <w:r>
              <w:rPr>
                <w:sz w:val="17"/>
              </w:rPr>
              <w:t xml:space="preserve"> aus im Container bzw. bei https</w:t>
            </w:r>
          </w:p>
        </w:tc>
        <w:tc>
          <w:tcPr>
            <w:tcW w:type="dxa" w:w="291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http_security.py</w:t>
            </w:r>
          </w:p>
        </w:tc>
      </w:tr>
      <w:tr>
        <w:tc>
          <w:tcPr>
            <w:tcW w:type="dxa" w:w="1889"/>
          </w:tcPr>
          <w:p>
            <w:pPr>
              <w:spacing w:after="0" w:line="252" w:lineRule="auto"/>
            </w:pPr>
            <w:r>
              <w:rPr>
                <w:sz w:val="17"/>
              </w:rPr>
              <w:t>Bootstrap-Passwort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Datei </w:t>
            </w:r>
            <w:r>
              <w:rPr>
                <w:rFonts w:ascii="Consolas" w:hAnsi="Consolas" w:cs="Consolas" w:eastAsia="Consolas"/>
                <w:sz w:val="15"/>
              </w:rPr>
              <w:t>admin_bootstrap_password</w:t>
            </w:r>
            <w:r>
              <w:rPr>
                <w:sz w:val="17"/>
              </w:rPr>
              <w:t xml:space="preserve"> (0600), nicht im Log</w:t>
            </w:r>
          </w:p>
        </w:tc>
        <w:tc>
          <w:tcPr>
            <w:tcW w:type="dxa" w:w="2912"/>
          </w:tcPr>
          <w:p>
            <w:pPr>
              <w:spacing w:after="0" w:line="252" w:lineRule="auto"/>
            </w:pPr>
            <w:r>
              <w:rPr>
                <w:sz w:val="17"/>
              </w:rPr>
              <w:t>README</w:t>
            </w:r>
          </w:p>
        </w:tc>
      </w:tr>
      <w:tr>
        <w:tc>
          <w:tcPr>
            <w:tcW w:type="dxa" w:w="1889"/>
          </w:tcPr>
          <w:p>
            <w:pPr>
              <w:spacing w:after="0" w:line="252" w:lineRule="auto"/>
            </w:pPr>
            <w:r>
              <w:rPr>
                <w:sz w:val="17"/>
              </w:rPr>
              <w:t>Autorisierung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Rollen per </w:t>
            </w:r>
            <w:r>
              <w:rPr>
                <w:rFonts w:ascii="Consolas" w:hAnsi="Consolas" w:cs="Consolas" w:eastAsia="Consolas"/>
                <w:sz w:val="15"/>
              </w:rPr>
              <w:t>Depends</w:t>
            </w:r>
            <w:r>
              <w:rPr>
                <w:sz w:val="17"/>
              </w:rPr>
              <w:t xml:space="preserve"> auf Fach-Endpoints, Tests</w:t>
            </w:r>
          </w:p>
        </w:tc>
        <w:tc>
          <w:tcPr>
            <w:tcW w:type="dxa" w:w="291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server.py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test_security_roles.py</w:t>
            </w:r>
          </w:p>
        </w:tc>
      </w:tr>
      <w:tr>
        <w:tc>
          <w:tcPr>
            <w:tcW w:type="dxa" w:w="1889"/>
          </w:tcPr>
          <w:p>
            <w:pPr>
              <w:spacing w:after="0" w:line="252" w:lineRule="auto"/>
            </w:pPr>
            <w:r>
              <w:rPr>
                <w:sz w:val="17"/>
              </w:rPr>
              <w:t>Path-Schutz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Angebots-IDs auf </w:t>
            </w:r>
            <w:r>
              <w:rPr>
                <w:rFonts w:ascii="Consolas" w:hAnsi="Consolas" w:cs="Consolas" w:eastAsia="Consolas"/>
                <w:sz w:val="15"/>
              </w:rPr>
              <w:t>[A-Za-z0-9-_]</w:t>
            </w:r>
            <w:r>
              <w:rPr>
                <w:sz w:val="17"/>
              </w:rPr>
              <w:t xml:space="preserve"> gefiltert</w:t>
            </w:r>
          </w:p>
        </w:tc>
        <w:tc>
          <w:tcPr>
            <w:tcW w:type="dxa" w:w="2912"/>
          </w:tcPr>
          <w:p>
            <w:pPr>
              <w:spacing w:after="0" w:line="252" w:lineRule="auto"/>
            </w:pPr>
            <w:r>
              <w:rPr>
                <w:sz w:val="17"/>
              </w:rPr>
              <w:t>Abgleich 5.2</w:t>
            </w:r>
          </w:p>
        </w:tc>
      </w:tr>
      <w:tr>
        <w:tc>
          <w:tcPr>
            <w:tcW w:type="dxa" w:w="1889"/>
          </w:tcPr>
          <w:p>
            <w:pPr>
              <w:spacing w:after="0" w:line="252" w:lineRule="auto"/>
            </w:pPr>
            <w:r>
              <w:rPr>
                <w:sz w:val="17"/>
              </w:rPr>
              <w:t>Container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Non-Root </w:t>
            </w:r>
            <w:r>
              <w:rPr>
                <w:rFonts w:ascii="Consolas" w:hAnsi="Consolas" w:cs="Consolas" w:eastAsia="Consolas"/>
                <w:sz w:val="15"/>
              </w:rPr>
              <w:t>wamas</w:t>
            </w:r>
            <w:r>
              <w:rPr>
                <w:sz w:val="17"/>
              </w:rPr>
              <w:t xml:space="preserve"> (UID 1000), nicht privileged</w:t>
            </w:r>
          </w:p>
        </w:tc>
        <w:tc>
          <w:tcPr>
            <w:tcW w:type="dxa" w:w="291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Dockerfile</w:t>
            </w:r>
          </w:p>
        </w:tc>
      </w:tr>
      <w:tr>
        <w:tc>
          <w:tcPr>
            <w:tcW w:type="dxa" w:w="1889"/>
          </w:tcPr>
          <w:p>
            <w:pPr>
              <w:spacing w:after="0" w:line="252" w:lineRule="auto"/>
            </w:pPr>
            <w:r>
              <w:rPr>
                <w:sz w:val="17"/>
              </w:rPr>
              <w:t>Secrets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sz w:val="17"/>
              </w:rPr>
              <w:t>nicht im Repo, nur ENV / Runtime-Volume</w:t>
            </w:r>
          </w:p>
        </w:tc>
        <w:tc>
          <w:tcPr>
            <w:tcW w:type="dxa" w:w="291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.gitignore</w:t>
            </w:r>
          </w:p>
        </w:tc>
      </w:tr>
      <w:tr>
        <w:tc>
          <w:tcPr>
            <w:tcW w:type="dxa" w:w="1889"/>
          </w:tcPr>
          <w:p>
            <w:pPr>
              <w:spacing w:after="0" w:line="252" w:lineRule="auto"/>
            </w:pPr>
            <w:r>
              <w:rPr>
                <w:sz w:val="17"/>
              </w:rPr>
              <w:t>CORS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explizite Allowlist </w:t>
            </w:r>
            <w:r>
              <w:rPr>
                <w:rFonts w:ascii="Consolas" w:hAnsi="Consolas" w:cs="Consolas" w:eastAsia="Consolas"/>
                <w:sz w:val="15"/>
              </w:rPr>
              <w:t>WAMAS_CORS_ORIGINS</w:t>
            </w:r>
          </w:p>
        </w:tc>
        <w:tc>
          <w:tcPr>
            <w:tcW w:type="dxa" w:w="2912"/>
          </w:tcPr>
          <w:p>
            <w:pPr>
              <w:spacing w:after="0" w:line="252" w:lineRule="auto"/>
            </w:pPr>
            <w:r>
              <w:rPr>
                <w:sz w:val="17"/>
              </w:rPr>
              <w:t>README</w:t>
            </w:r>
          </w:p>
        </w:tc>
      </w:tr>
      <w:tr>
        <w:tc>
          <w:tcPr>
            <w:tcW w:type="dxa" w:w="1889"/>
          </w:tcPr>
          <w:p>
            <w:pPr>
              <w:spacing w:after="0" w:line="252" w:lineRule="auto"/>
            </w:pPr>
            <w:r>
              <w:rPr>
                <w:sz w:val="17"/>
              </w:rPr>
              <w:t>CI / SAST / SCA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sz w:val="17"/>
              </w:rPr>
              <w:t>GitHub Actions: pytest, Bandit (high), pip-audit-Gate, Trivy (HIGH/CRITICAL)</w:t>
            </w:r>
          </w:p>
        </w:tc>
        <w:tc>
          <w:tcPr>
            <w:tcW w:type="dxa" w:w="291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ci.yml</w:t>
            </w:r>
          </w:p>
        </w:tc>
      </w:tr>
      <w:tr>
        <w:tc>
          <w:tcPr>
            <w:tcW w:type="dxa" w:w="1889"/>
          </w:tcPr>
          <w:p>
            <w:pPr>
              <w:spacing w:after="0" w:line="252" w:lineRule="auto"/>
            </w:pPr>
            <w:r>
              <w:rPr>
                <w:sz w:val="17"/>
              </w:rPr>
              <w:t>Dependencies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requirements.txt</w:t>
            </w:r>
            <w:r>
              <w:rPr>
                <w:sz w:val="17"/>
              </w:rPr>
              <w:t xml:space="preserve"> mit Hashes (</w:t>
            </w:r>
            <w:r>
              <w:rPr>
                <w:rFonts w:ascii="Consolas" w:hAnsi="Consolas" w:cs="Consolas" w:eastAsia="Consolas"/>
                <w:sz w:val="15"/>
              </w:rPr>
              <w:t>--require-hashes</w:t>
            </w:r>
            <w:r>
              <w:rPr>
                <w:sz w:val="17"/>
              </w:rPr>
              <w:t>), Dev getrennt</w:t>
            </w:r>
          </w:p>
        </w:tc>
        <w:tc>
          <w:tcPr>
            <w:tcW w:type="dxa" w:w="2912"/>
          </w:tcPr>
          <w:p>
            <w:pPr>
              <w:spacing w:after="0" w:line="252" w:lineRule="auto"/>
            </w:pPr>
            <w:r>
              <w:rPr>
                <w:sz w:val="17"/>
              </w:rPr>
              <w:t>README</w:t>
            </w:r>
          </w:p>
        </w:tc>
      </w:tr>
      <w:tr>
        <w:tc>
          <w:tcPr>
            <w:tcW w:type="dxa" w:w="1889"/>
          </w:tcPr>
          <w:p>
            <w:pPr>
              <w:spacing w:after="0" w:line="252" w:lineRule="auto"/>
            </w:pPr>
            <w:r>
              <w:rPr>
                <w:sz w:val="17"/>
              </w:rPr>
              <w:t>Port-Bind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Standard </w:t>
            </w:r>
            <w:r>
              <w:rPr>
                <w:rFonts w:ascii="Consolas" w:hAnsi="Consolas" w:cs="Consolas" w:eastAsia="Consolas"/>
                <w:sz w:val="15"/>
              </w:rPr>
              <w:t>127.0.0.1:8100</w:t>
            </w:r>
            <w:r>
              <w:rPr>
                <w:sz w:val="17"/>
              </w:rPr>
              <w:t>; Live zusätzlich LAN für Proxy</w:t>
            </w:r>
          </w:p>
        </w:tc>
        <w:tc>
          <w:tcPr>
            <w:tcW w:type="dxa" w:w="2912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docker-compose.yml</w:t>
            </w:r>
            <w:r>
              <w:rPr>
                <w:sz w:val="17"/>
              </w:rPr>
              <w:t>, P0</w:t>
            </w:r>
          </w:p>
        </w:tc>
      </w:tr>
      <w:tr>
        <w:tc>
          <w:tcPr>
            <w:tcW w:type="dxa" w:w="1889"/>
          </w:tcPr>
          <w:p>
            <w:pPr>
              <w:spacing w:after="0" w:line="252" w:lineRule="auto"/>
            </w:pPr>
            <w:r>
              <w:rPr>
                <w:sz w:val="17"/>
              </w:rPr>
              <w:t>Passwort-Recovery</w:t>
            </w:r>
          </w:p>
        </w:tc>
        <w:tc>
          <w:tcPr>
            <w:tcW w:type="dxa" w:w="4723"/>
          </w:tcPr>
          <w:p>
            <w:pPr>
              <w:spacing w:after="0" w:line="252" w:lineRule="auto"/>
            </w:pPr>
            <w:r>
              <w:rPr>
                <w:sz w:val="17"/>
              </w:rPr>
              <w:t>TLS-Pflicht, Rate-Limit, generische Fehler</w:t>
            </w:r>
          </w:p>
        </w:tc>
        <w:tc>
          <w:tcPr>
            <w:tcW w:type="dxa" w:w="2912"/>
          </w:tcPr>
          <w:p>
            <w:pPr>
              <w:spacing w:after="0" w:line="252" w:lineRule="auto"/>
            </w:pPr>
            <w:r>
              <w:rPr>
                <w:sz w:val="17"/>
              </w:rPr>
              <w:t>Abgleich 5.2</w:t>
            </w:r>
          </w:p>
        </w:tc>
      </w:tr>
    </w:tbl>
    <w:p>
      <w:pPr>
        <w:pStyle w:val="BeschriftungSSI"/>
      </w:pPr>
      <w:r>
        <w:t>Tab. 3: Erfüllte Anforderungen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680000" cy="280800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_rate_limit_429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80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API-Nachweis Rate-Limit (HTTP 429)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680000" cy="29250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3_login_sperr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925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Sperre in der Oberfläche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680000" cy="280800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_health_hsts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80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Health 200 mit Strict-Transport-Security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Code Commit 041e207, P0-Bericht v1.0, Live-Test 28.10.2026</w:t>
      </w:r>
    </w:p>
    <w:p>
      <w:pPr>
        <w:pStyle w:val="Heading1"/>
      </w:pPr>
      <w:r>
        <w:t>4 Sicherheitsstand – teilweise / offen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70"/>
        <w:gridCol w:w="985"/>
        <w:gridCol w:w="6569"/>
      </w:tblGrid>
      <w:tr>
        <w:trPr>
          <w:tblHeader w:val="true"/>
        </w:trPr>
        <w:tc>
          <w:tcPr>
            <w:tcW w:type="dxa" w:w="197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</w:t>
            </w:r>
          </w:p>
        </w:tc>
        <w:tc>
          <w:tcPr>
            <w:tcW w:type="dxa" w:w="9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Status</w:t>
            </w:r>
          </w:p>
        </w:tc>
        <w:tc>
          <w:tcPr>
            <w:tcW w:type="dxa" w:w="65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Bemerkung</w:t>
            </w:r>
          </w:p>
        </w:tc>
      </w:tr>
      <w:tr>
        <w:tc>
          <w:tcPr>
            <w:tcW w:type="dxa" w:w="1971"/>
          </w:tcPr>
          <w:p>
            <w:pPr>
              <w:spacing w:after="0" w:line="252" w:lineRule="auto"/>
            </w:pPr>
            <w:r>
              <w:rPr>
                <w:sz w:val="17"/>
              </w:rPr>
              <w:t>Legacy-Hashes</w:t>
            </w:r>
          </w:p>
        </w:tc>
        <w:tc>
          <w:tcPr>
            <w:tcW w:type="dxa" w:w="985"/>
          </w:tcPr>
          <w:p>
            <w:pPr>
              <w:spacing w:after="0" w:line="252" w:lineRule="auto"/>
            </w:pPr>
            <w:r>
              <w:rPr>
                <w:sz w:val="17"/>
              </w:rPr>
              <w:t>teilweise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>Schwache Varianten nur noch einmalig zum Upgrade unmigrierter Konten</w:t>
            </w:r>
          </w:p>
        </w:tc>
      </w:tr>
      <w:tr>
        <w:tc>
          <w:tcPr>
            <w:tcW w:type="dxa" w:w="1971"/>
          </w:tcPr>
          <w:p>
            <w:pPr>
              <w:spacing w:after="0" w:line="252" w:lineRule="auto"/>
            </w:pPr>
            <w:r>
              <w:rPr>
                <w:sz w:val="17"/>
              </w:rPr>
              <w:t>Token-Transport</w:t>
            </w:r>
          </w:p>
        </w:tc>
        <w:tc>
          <w:tcPr>
            <w:tcW w:type="dxa" w:w="985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>Token im Login-Body; akzeptiert in mehreren Headern/Cookies (</w:t>
            </w:r>
            <w:r>
              <w:rPr>
                <w:rFonts w:ascii="Consolas" w:hAnsi="Consolas" w:cs="Consolas" w:eastAsia="Consolas"/>
                <w:sz w:val="15"/>
              </w:rPr>
              <w:t>auth.py</w:t>
            </w:r>
            <w:r>
              <w:rPr>
                <w:sz w:val="17"/>
              </w:rPr>
              <w:t>)</w:t>
            </w:r>
          </w:p>
        </w:tc>
      </w:tr>
      <w:tr>
        <w:tc>
          <w:tcPr>
            <w:tcW w:type="dxa" w:w="1971"/>
          </w:tcPr>
          <w:p>
            <w:pPr>
              <w:spacing w:after="0" w:line="252" w:lineRule="auto"/>
            </w:pPr>
            <w:r>
              <w:rPr>
                <w:sz w:val="17"/>
              </w:rPr>
              <w:t>CSRF</w:t>
            </w:r>
          </w:p>
        </w:tc>
        <w:tc>
          <w:tcPr>
            <w:tcW w:type="dxa" w:w="985"/>
          </w:tcPr>
          <w:p>
            <w:pPr>
              <w:spacing w:after="0" w:line="252" w:lineRule="auto"/>
            </w:pPr>
            <w:r>
              <w:rPr>
                <w:sz w:val="17"/>
              </w:rPr>
              <w:t>teilweise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>nur SameSite=Lax + CORS, kein CSRF-Token</w:t>
            </w:r>
          </w:p>
        </w:tc>
      </w:tr>
      <w:tr>
        <w:tc>
          <w:tcPr>
            <w:tcW w:type="dxa" w:w="1971"/>
          </w:tcPr>
          <w:p>
            <w:pPr>
              <w:spacing w:after="0" w:line="252" w:lineRule="auto"/>
            </w:pPr>
            <w:r>
              <w:rPr>
                <w:sz w:val="17"/>
              </w:rPr>
              <w:t>Proxy / Netz</w:t>
            </w:r>
          </w:p>
        </w:tc>
        <w:tc>
          <w:tcPr>
            <w:tcW w:type="dxa" w:w="985"/>
          </w:tcPr>
          <w:p>
            <w:pPr>
              <w:spacing w:after="0" w:line="252" w:lineRule="auto"/>
            </w:pPr>
            <w:r>
              <w:rPr>
                <w:sz w:val="17"/>
              </w:rPr>
              <w:t>Hinweis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WAMAS_TRUST_PROXY=1</w:t>
            </w:r>
            <w:r>
              <w:rPr>
                <w:sz w:val="17"/>
              </w:rPr>
              <w:t xml:space="preserve"> nur hinter Proxy; LAN-Bind </w:t>
            </w:r>
            <w:r>
              <w:rPr>
                <w:rFonts w:ascii="Consolas" w:hAnsi="Consolas" w:cs="Consolas" w:eastAsia="Consolas"/>
                <w:sz w:val="15"/>
              </w:rPr>
              <w:t>192.168.0.70:8100</w:t>
            </w:r>
          </w:p>
        </w:tc>
      </w:tr>
      <w:tr>
        <w:tc>
          <w:tcPr>
            <w:tcW w:type="dxa" w:w="1971"/>
          </w:tcPr>
          <w:p>
            <w:pPr>
              <w:spacing w:after="0" w:line="252" w:lineRule="auto"/>
            </w:pPr>
            <w:r>
              <w:rPr>
                <w:sz w:val="17"/>
              </w:rPr>
              <w:t>Fehlertexte Export</w:t>
            </w:r>
          </w:p>
        </w:tc>
        <w:tc>
          <w:tcPr>
            <w:tcW w:type="dxa" w:w="985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>Inhalt der Fehlermeldungen nicht geprüft</w:t>
            </w:r>
          </w:p>
        </w:tc>
      </w:tr>
      <w:tr>
        <w:tc>
          <w:tcPr>
            <w:tcW w:type="dxa" w:w="1971"/>
          </w:tcPr>
          <w:p>
            <w:pPr>
              <w:spacing w:after="0" w:line="252" w:lineRule="auto"/>
            </w:pPr>
            <w:r>
              <w:rPr>
                <w:sz w:val="17"/>
              </w:rPr>
              <w:t>GDPR</w:t>
            </w:r>
          </w:p>
        </w:tc>
        <w:tc>
          <w:tcPr>
            <w:tcW w:type="dxa" w:w="985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>kein Verarbeitungsverzeichnis, keine Retention</w:t>
            </w:r>
          </w:p>
        </w:tc>
      </w:tr>
      <w:tr>
        <w:tc>
          <w:tcPr>
            <w:tcW w:type="dxa" w:w="1971"/>
          </w:tcPr>
          <w:p>
            <w:pPr>
              <w:spacing w:after="0" w:line="252" w:lineRule="auto"/>
            </w:pPr>
            <w:r>
              <w:rPr>
                <w:sz w:val="17"/>
              </w:rPr>
              <w:t>Backups</w:t>
            </w:r>
          </w:p>
        </w:tc>
        <w:tc>
          <w:tcPr>
            <w:tcW w:type="dxa" w:w="985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>Backup-Skripte ohne Verschlüsselung</w:t>
            </w:r>
          </w:p>
        </w:tc>
      </w:tr>
      <w:tr>
        <w:tc>
          <w:tcPr>
            <w:tcW w:type="dxa" w:w="1971"/>
          </w:tcPr>
          <w:p>
            <w:pPr>
              <w:spacing w:after="0" w:line="252" w:lineRule="auto"/>
            </w:pPr>
            <w:r>
              <w:rPr>
                <w:sz w:val="17"/>
              </w:rPr>
              <w:t>Encryption at rest</w:t>
            </w:r>
          </w:p>
        </w:tc>
        <w:tc>
          <w:tcPr>
            <w:tcW w:type="dxa" w:w="985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>Angebote/Benutzer als JSON im Volume</w:t>
            </w:r>
          </w:p>
        </w:tc>
      </w:tr>
      <w:tr>
        <w:tc>
          <w:tcPr>
            <w:tcW w:type="dxa" w:w="1971"/>
          </w:tcPr>
          <w:p>
            <w:pPr>
              <w:spacing w:after="0" w:line="252" w:lineRule="auto"/>
            </w:pPr>
            <w:r>
              <w:rPr>
                <w:sz w:val="17"/>
              </w:rPr>
              <w:t>Supply Chain</w:t>
            </w:r>
          </w:p>
        </w:tc>
        <w:tc>
          <w:tcPr>
            <w:tcW w:type="dxa" w:w="985"/>
          </w:tcPr>
          <w:p>
            <w:pPr>
              <w:spacing w:after="0" w:line="252" w:lineRule="auto"/>
            </w:pPr>
            <w:r>
              <w:rPr>
                <w:sz w:val="17"/>
              </w:rPr>
              <w:t>teilweise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>Basis-Image ohne Digest, kein Dependabot, kein täglicher CI-Lauf</w:t>
            </w:r>
          </w:p>
        </w:tc>
      </w:tr>
      <w:tr>
        <w:tc>
          <w:tcPr>
            <w:tcW w:type="dxa" w:w="1971"/>
          </w:tcPr>
          <w:p>
            <w:pPr>
              <w:spacing w:after="0" w:line="252" w:lineRule="auto"/>
            </w:pPr>
            <w:r>
              <w:rPr>
                <w:sz w:val="17"/>
              </w:rPr>
              <w:t>Container-Härtung</w:t>
            </w:r>
          </w:p>
        </w:tc>
        <w:tc>
          <w:tcPr>
            <w:tcW w:type="dxa" w:w="985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kein </w:t>
            </w:r>
            <w:r>
              <w:rPr>
                <w:rFonts w:ascii="Consolas" w:hAnsi="Consolas" w:cs="Consolas" w:eastAsia="Consolas"/>
                <w:sz w:val="15"/>
              </w:rPr>
              <w:t>read_only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cap_drop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no-new-privileges</w:t>
            </w:r>
          </w:p>
        </w:tc>
      </w:tr>
      <w:tr>
        <w:tc>
          <w:tcPr>
            <w:tcW w:type="dxa" w:w="1971"/>
          </w:tcPr>
          <w:p>
            <w:pPr>
              <w:spacing w:after="0" w:line="252" w:lineRule="auto"/>
            </w:pPr>
            <w:r>
              <w:rPr>
                <w:sz w:val="17"/>
              </w:rPr>
              <w:t>Governance</w:t>
            </w:r>
          </w:p>
        </w:tc>
        <w:tc>
          <w:tcPr>
            <w:tcW w:type="dxa" w:w="985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>kein Threat Model, kein ASVS-Mapping, kein Pentest/DAST-Nachweis</w:t>
            </w:r>
          </w:p>
        </w:tc>
      </w:tr>
    </w:tbl>
    <w:p>
      <w:pPr>
        <w:pStyle w:val="BeschriftungSSI"/>
      </w:pPr>
      <w:r>
        <w:t>Tab. 4: Offene Punkte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Ob Branch-Protection und dokumentierte Reviews auf GitHub aktiv sind, ist nicht geprüft.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Abgleich PO-00153 (Stand vor P0/P1), aktualisiert mit Commit 041e207</w:t>
      </w:r>
    </w:p>
    <w:p>
      <w:pPr>
        <w:pStyle w:val="Heading1"/>
      </w:pPr>
      <w:r>
        <w:t>5 Bewertung für internen SSI-Betrieb</w:t>
      </w:r>
    </w:p>
    <w:p>
      <w:r>
        <w:t xml:space="preserve">Für den </w:t>
      </w:r>
      <w:r>
        <w:rPr>
          <w:b/>
        </w:rPr>
        <w:t>internen</w:t>
      </w:r>
      <w:r>
        <w:t xml:space="preserve"> Betrieb hinter HTTPS ist die App mit P0/P1 </w:t>
      </w:r>
      <w:r>
        <w:rPr>
          <w:b/>
        </w:rPr>
        <w:t>technisch freigabefähig</w:t>
      </w:r>
      <w:r>
        <w:t xml:space="preserve">. Der </w:t>
      </w:r>
      <w:r>
        <w:rPr>
          <w:b/>
        </w:rPr>
        <w:t>Policy-Nachweis</w:t>
      </w:r>
      <w:r>
        <w:t xml:space="preserve"> (Prozess, Governance) ist nur </w:t>
      </w:r>
      <w:r>
        <w:rPr>
          <w:b/>
        </w:rPr>
        <w:t>teilweise</w:t>
      </w:r>
      <w:r>
        <w:t xml:space="preserve"> erfüllt. Empfehlungen vor breitem Rollout: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Legacy-Hash-Pfad entfernen, sobald alle Konten migriert sind.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rFonts w:ascii="Consolas" w:hAnsi="Consolas" w:cs="Consolas" w:eastAsia="Consolas"/>
          <w:sz w:val="18"/>
        </w:rPr>
        <w:t>WAMAS_TRUST_PROXY</w:t>
      </w:r>
      <w:r>
        <w:t xml:space="preserve"> nur hinter dem Reverse Proxy setzen.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Export-Fehlertexte prüfen (keine internen Details).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Token nur noch per HttpOnly-Cookie; CSRF-Schutz ergänzen.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Backups verschlüsseln, GDPR-Verzeichnis und Retention festlegen.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Kap. 3 und 4</w:t>
      </w:r>
    </w:p>
    <w:p>
      <w:pPr>
        <w:pStyle w:val="Heading1"/>
      </w:pPr>
      <w:r>
        <w:t>6 Benutzeranleitung Anwender</w:t>
      </w:r>
    </w:p>
    <w:p>
      <w:pPr>
        <w:pStyle w:val="Heading2"/>
      </w:pPr>
      <w:r>
        <w:t>6.1 Anmelden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rFonts w:ascii="Consolas" w:hAnsi="Consolas" w:cs="Consolas" w:eastAsia="Consolas"/>
          <w:sz w:val="18"/>
        </w:rPr>
        <w:t>https://angebot.mareksobona.synology.me/</w:t>
      </w:r>
      <w:r>
        <w:t xml:space="preserve"> öffnen.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Benutzername und Passwort eingeben, </w:t>
      </w:r>
      <w:r>
        <w:rPr>
          <w:b/>
        </w:rPr>
        <w:t>Anmelden</w:t>
      </w:r>
      <w:r>
        <w:t xml:space="preserve"> klicken.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1_login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Anmeldemaske</w:t>
      </w:r>
    </w:p>
    <w:p>
      <w:pPr>
        <w:pStyle w:val="Heading2"/>
      </w:pPr>
      <w:r>
        <w:t>6.2 Fehlversuche und Sperre</w:t>
      </w:r>
    </w:p>
    <w:p>
      <w:r>
        <w:t xml:space="preserve">Bei falschen Daten erscheint </w:t>
      </w:r>
      <w:r>
        <w:rPr>
          <w:b/>
        </w:rPr>
        <w:t>Benutzername oder Passwort falsch.</w:t>
      </w:r>
      <w:r>
        <w:t xml:space="preserve"> Nach 5 Fehlversuchen: </w:t>
      </w:r>
      <w:r>
        <w:rPr>
          <w:b/>
        </w:rPr>
        <w:t>Zu viele Anmeldeversuche. Bitte später erneut versuchen.</w:t>
      </w:r>
      <w:r>
        <w:t xml:space="preserve"> – 15 Minuten warten.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70000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2_login_fehler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7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5: Fehlermeldung</w:t>
      </w:r>
    </w:p>
    <w:p>
      <w:pPr>
        <w:pStyle w:val="Heading2"/>
      </w:pPr>
      <w:r>
        <w:t>6.3 Arbeitsablauf</w:t>
      </w:r>
    </w:p>
    <w:p>
      <w:r>
        <w:t xml:space="preserve">Die obere Navigation führt durch </w:t>
      </w:r>
      <w:r>
        <w:rPr>
          <w:b/>
        </w:rPr>
        <w:t>Lizenzkalkulator</w:t>
      </w:r>
      <w:r>
        <w:t xml:space="preserve"> → </w:t>
      </w:r>
      <w:r>
        <w:rPr>
          <w:b/>
        </w:rPr>
        <w:t>IT-Aufwand</w:t>
      </w:r>
      <w:r>
        <w:t xml:space="preserve"> → </w:t>
      </w:r>
      <w:r>
        <w:rPr>
          <w:b/>
        </w:rPr>
        <w:t>Angebot</w:t>
      </w:r>
      <w:r>
        <w:t xml:space="preserve">, dazu </w:t>
      </w:r>
      <w:r>
        <w:rPr>
          <w:b/>
        </w:rPr>
        <w:t>Archiv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Lizenzkalkulator</w:t>
      </w:r>
      <w:r>
        <w:t xml:space="preserve">: Schritte </w:t>
      </w:r>
      <w:r>
        <w:rPr>
          <w:b/>
        </w:rPr>
        <w:t>1 Kunde</w:t>
      </w:r>
      <w:r>
        <w:t xml:space="preserve">, </w:t>
      </w:r>
      <w:r>
        <w:rPr>
          <w:b/>
        </w:rPr>
        <w:t>2 Angebotsart</w:t>
      </w:r>
      <w:r>
        <w:t xml:space="preserve">, </w:t>
      </w:r>
      <w:r>
        <w:rPr>
          <w:b/>
        </w:rPr>
        <w:t>3 Instanz</w:t>
      </w:r>
      <w:r>
        <w:t xml:space="preserve">, </w:t>
      </w:r>
      <w:r>
        <w:rPr>
          <w:b/>
        </w:rPr>
        <w:t>4 Add-ons</w:t>
      </w:r>
      <w:r>
        <w:t xml:space="preserve">, </w:t>
      </w:r>
      <w:r>
        <w:rPr>
          <w:b/>
        </w:rPr>
        <w:t>5 Clients &amp; Upgrade</w:t>
      </w:r>
      <w:r>
        <w:t xml:space="preserve">; mit </w:t>
      </w:r>
      <w:r>
        <w:rPr>
          <w:b/>
        </w:rPr>
        <w:t>Weiter</w:t>
      </w:r>
      <w:r>
        <w:t>/</w:t>
      </w:r>
      <w:r>
        <w:rPr>
          <w:b/>
        </w:rPr>
        <w:t>Zurück</w:t>
      </w:r>
      <w:r>
        <w:t xml:space="preserve"> wechseln; </w:t>
      </w:r>
      <w:r>
        <w:rPr>
          <w:b/>
        </w:rPr>
        <w:t>Lizenzkalkulation speichern</w:t>
      </w:r>
      <w:r>
        <w:t xml:space="preserve"> (ab editor). Export </w:t>
      </w:r>
      <w:r>
        <w:rPr>
          <w:b/>
        </w:rPr>
        <w:t>Excel</w:t>
      </w:r>
      <w:r>
        <w:t xml:space="preserve"> / </w:t>
      </w:r>
      <w:r>
        <w:rPr>
          <w:b/>
        </w:rPr>
        <w:t>Drucken</w:t>
      </w:r>
      <w:r>
        <w:t>, sobald berechnet.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IT-Aufwand</w:t>
      </w:r>
      <w:r>
        <w:t xml:space="preserve">: Schritte </w:t>
      </w:r>
      <w:r>
        <w:rPr>
          <w:b/>
        </w:rPr>
        <w:t>1 Kunde</w:t>
      </w:r>
      <w:r>
        <w:t xml:space="preserve"> bis </w:t>
      </w:r>
      <w:r>
        <w:rPr>
          <w:b/>
        </w:rPr>
        <w:t>6 Reise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Angebot</w:t>
      </w:r>
      <w:r>
        <w:t xml:space="preserve">: Assistent mit </w:t>
      </w:r>
      <w:r>
        <w:rPr>
          <w:b/>
        </w:rPr>
        <w:t>Weiter</w:t>
      </w:r>
      <w:r>
        <w:t>/</w:t>
      </w:r>
      <w:r>
        <w:rPr>
          <w:b/>
        </w:rPr>
        <w:t>Zurück</w:t>
      </w:r>
      <w:r>
        <w:t>; Export als DOCX/PDF/Excel.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Archiv</w:t>
      </w:r>
      <w:r>
        <w:t xml:space="preserve">: gespeicherte Angebote öffnen; </w:t>
      </w:r>
      <w:r>
        <w:rPr>
          <w:b/>
        </w:rPr>
        <w:t>Auswahl löschen</w:t>
      </w:r>
      <w:r>
        <w:t xml:space="preserve"> nur für admin.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genauen Felder und Export-Buttons im Modul </w:t>
            </w:r>
            <w:r>
              <w:rPr>
                <w:b/>
                <w:sz w:val="19"/>
              </w:rPr>
              <w:t>Angebot</w:t>
            </w:r>
            <w:r>
              <w:rPr>
                <w:sz w:val="19"/>
              </w:rPr>
              <w:t xml:space="preserve"> sind ohne Screenshot nicht belegt.</w:t>
            </w:r>
          </w:p>
        </w:tc>
      </w:tr>
    </w:tbl>
    <w:p>
      <w:pPr>
        <w:spacing w:after="40"/>
      </w:pPr>
    </w:p>
    <w:p>
      <w:pPr>
        <w:pStyle w:val="Heading2"/>
      </w:pPr>
      <w:r>
        <w:t>6.4 Passwort ändern, Passwort vergessen, Abmelden</w:t>
      </w:r>
    </w:p>
    <w:p>
      <w:pPr>
        <w:pStyle w:val="ListBullet"/>
      </w:pPr>
      <w:r>
        <w:rPr>
          <w:b/>
        </w:rPr>
        <w:t>Passwort ändern</w:t>
      </w:r>
      <w:r>
        <w:t xml:space="preserve"> in der Kopfzeile.</w:t>
      </w:r>
    </w:p>
    <w:p>
      <w:pPr>
        <w:pStyle w:val="ListBullet"/>
      </w:pPr>
      <w:r>
        <w:rPr>
          <w:b/>
        </w:rPr>
        <w:t>Passwort vergessen?</w:t>
      </w:r>
      <w:r>
        <w:t xml:space="preserve"> auf der Anmeldemaske (nur aktiv, wenn Recovery/Mailversand konfiguriert ist).</w:t>
      </w:r>
    </w:p>
    <w:p>
      <w:pPr>
        <w:pStyle w:val="ListBullet"/>
      </w:pPr>
      <w:r>
        <w:rPr>
          <w:b/>
        </w:rPr>
        <w:t>Abmelden</w:t>
      </w:r>
      <w:r>
        <w:t xml:space="preserve"> in der Kopfzeile.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static/index.html, server.py, Live-Screenshots 28.10.2026</w:t>
      </w:r>
    </w:p>
    <w:p>
      <w:pPr>
        <w:pStyle w:val="Heading1"/>
      </w:pPr>
      <w:r>
        <w:t>7 Kurz-Admin</w:t>
      </w:r>
    </w:p>
    <w:p>
      <w:pPr>
        <w:pStyle w:val="ListBullet"/>
      </w:pPr>
      <w:r>
        <w:rPr>
          <w:b/>
        </w:rPr>
        <w:t>Benutzer</w:t>
      </w:r>
      <w:r>
        <w:t xml:space="preserve"> (nur admin): anlegen, bearbeiten, Passwort setzen, deaktivieren/löschen. Ohne UI: </w:t>
      </w:r>
      <w:r>
        <w:rPr>
          <w:rFonts w:ascii="Consolas" w:hAnsi="Consolas" w:cs="Consolas" w:eastAsia="Consolas"/>
          <w:sz w:val="18"/>
        </w:rPr>
        <w:t>python scripts/set_user_password.py &lt;user&gt; &lt;pw&gt;</w:t>
      </w:r>
      <w:r>
        <w:t>.</w:t>
      </w:r>
    </w:p>
    <w:p>
      <w:pPr>
        <w:pStyle w:val="ListBullet"/>
      </w:pPr>
      <w:r>
        <w:rPr>
          <w:b/>
        </w:rPr>
        <w:t>Stammdaten</w:t>
      </w:r>
      <w:r>
        <w:t xml:space="preserve"> (nur admin).</w:t>
      </w:r>
    </w:p>
    <w:p>
      <w:pPr>
        <w:pStyle w:val="ListBullet"/>
      </w:pPr>
      <w:r>
        <w:t xml:space="preserve">Deploy: </w:t>
      </w:r>
      <w:r>
        <w:rPr>
          <w:rFonts w:ascii="Consolas" w:hAnsi="Consolas" w:cs="Consolas" w:eastAsia="Consolas"/>
          <w:sz w:val="18"/>
        </w:rPr>
        <w:t>docker compose up -d --build</w:t>
      </w:r>
      <w:r>
        <w:t xml:space="preserve">; Image-Tag und Origins über </w:t>
      </w:r>
      <w:r>
        <w:rPr>
          <w:rFonts w:ascii="Consolas" w:hAnsi="Consolas" w:cs="Consolas" w:eastAsia="Consolas"/>
          <w:sz w:val="18"/>
        </w:rPr>
        <w:t>.env</w:t>
      </w:r>
      <w:r>
        <w:t>.</w:t>
      </w:r>
    </w:p>
    <w:p>
      <w:pPr>
        <w:pStyle w:val="ListBullet"/>
      </w:pPr>
      <w:r>
        <w:t xml:space="preserve">Health: </w:t>
      </w:r>
      <w:r>
        <w:rPr>
          <w:rFonts w:ascii="Consolas" w:hAnsi="Consolas" w:cs="Consolas" w:eastAsia="Consolas"/>
          <w:sz w:val="18"/>
        </w:rPr>
        <w:t>/api/health</w:t>
      </w:r>
      <w:r>
        <w:t xml:space="preserve"> → HTTP 200.</w:t>
      </w:r>
    </w:p>
    <w:p>
      <w:pPr>
        <w:pStyle w:val="ListBullet"/>
      </w:pPr>
      <w:r>
        <w:t xml:space="preserve">Backup: gesamtes Runtime-Volume per </w:t>
      </w:r>
      <w:r>
        <w:rPr>
          <w:rFonts w:ascii="Consolas" w:hAnsi="Consolas" w:cs="Consolas" w:eastAsia="Consolas"/>
          <w:sz w:val="18"/>
        </w:rPr>
        <w:t>deploy/backup/backup-runtime.sh</w:t>
      </w:r>
      <w:r>
        <w:t xml:space="preserve">, Restore mit </w:t>
      </w:r>
      <w:r>
        <w:rPr>
          <w:rFonts w:ascii="Consolas" w:hAnsi="Consolas" w:cs="Consolas" w:eastAsia="Consolas"/>
          <w:sz w:val="18"/>
        </w:rPr>
        <w:t>restore-runtime.sh</w:t>
      </w:r>
      <w:r>
        <w:t>; Restore-Test quartalsweise.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680000" cy="280800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_deploy_stand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80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Deploy-Stand (P0)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Abb. 6 zeigt den Stand P0 (</w:t>
            </w:r>
            <w:r>
              <w:rPr>
                <w:rFonts w:ascii="Consolas" w:hAnsi="Consolas" w:cs="Consolas" w:eastAsia="Consolas"/>
                <w:sz w:val="17"/>
              </w:rPr>
              <w:t>ui-p0-5db45ac</w:t>
            </w:r>
            <w:r>
              <w:rPr>
                <w:sz w:val="19"/>
              </w:rPr>
              <w:t xml:space="preserve">); ein Screenshot zum aktuellen Stand </w:t>
            </w:r>
            <w:r>
              <w:rPr>
                <w:rFonts w:ascii="Consolas" w:hAnsi="Consolas" w:cs="Consolas" w:eastAsia="Consolas"/>
                <w:sz w:val="17"/>
              </w:rPr>
              <w:t>ui-p1-041e207</w:t>
            </w:r>
            <w:r>
              <w:rPr>
                <w:sz w:val="19"/>
              </w:rPr>
              <w:t xml:space="preserve"> fehlt.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README.md, deploy/docs/02-volumes-backup.md, 04-runbook.md</w:t>
      </w:r>
    </w:p>
    <w:p>
      <w:pPr>
        <w:pStyle w:val="Heading1"/>
      </w:pPr>
      <w:r>
        <w:t>8 Stolperfallen</w:t>
      </w:r>
    </w:p>
    <w:p>
      <w:pPr>
        <w:pStyle w:val="ListBullet"/>
      </w:pPr>
      <w:r>
        <w:t>Tests mit dem eigenen Admin-Konto können 15 Minuten aussperren.</w:t>
      </w:r>
    </w:p>
    <w:p>
      <w:pPr>
        <w:pStyle w:val="ListBullet"/>
      </w:pPr>
      <w:r>
        <w:t xml:space="preserve">Lokal über HTTP sind Secure-Cookie/HSTS aus; </w:t>
      </w:r>
      <w:r>
        <w:rPr>
          <w:rFonts w:ascii="Consolas" w:hAnsi="Consolas" w:cs="Consolas" w:eastAsia="Consolas"/>
          <w:sz w:val="18"/>
        </w:rPr>
        <w:t>/docs</w:t>
      </w:r>
      <w:r>
        <w:t xml:space="preserve"> lokal an.</w:t>
      </w:r>
    </w:p>
    <w:p>
      <w:pPr>
        <w:pStyle w:val="ListBullet"/>
      </w:pPr>
      <w:r>
        <w:t>Laufender Stack muss neu erzeugt werden, damit Port-Bind gilt.</w:t>
      </w:r>
    </w:p>
    <w:p>
      <w:pPr>
        <w:pStyle w:val="ListBullet"/>
      </w:pPr>
      <w:r>
        <w:t>Backups enthalten auch gelöschte Angebote.</w:t>
      </w:r>
    </w:p>
    <w:p>
      <w:pPr>
        <w:pStyle w:val="Heading1"/>
      </w:pPr>
      <w:r>
        <w:t>9 Praxisbeispiele</w:t>
      </w:r>
    </w:p>
    <w:p>
      <w:pPr>
        <w:pStyle w:val="Heading2"/>
      </w:pPr>
      <w:r>
        <w:t>9.1 Login-Sperre</w:t>
      </w:r>
    </w:p>
    <w:p>
      <w:r>
        <w:t xml:space="preserve">Ein Benutzer gibt fünfmal ein falsches Passwort ein. Die App meldet </w:t>
      </w:r>
      <w:r>
        <w:rPr>
          <w:b/>
        </w:rPr>
        <w:t>Zu viele Anmeldeversuche…</w:t>
      </w:r>
      <w:r>
        <w:t xml:space="preserve"> (HTTP 429). Nach 15 Minuten ist die Anmeldung wieder möglich.</w:t>
      </w:r>
    </w:p>
    <w:p>
      <w:pPr>
        <w:pStyle w:val="Heading2"/>
      </w:pPr>
      <w:r>
        <w:t>9.2 Angebot als Editor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Anmelden als editor.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Lizenzkalkulator ausfüllen und speichern.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IT-Aufwand erfassen.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Im Modul </w:t>
      </w:r>
      <w:r>
        <w:rPr>
          <w:b/>
        </w:rPr>
        <w:t>Angebot</w:t>
      </w:r>
      <w:r>
        <w:t xml:space="preserve"> Dokument erzeugen und als PDF exportieren; im </w:t>
      </w:r>
      <w:r>
        <w:rPr>
          <w:b/>
        </w:rPr>
        <w:t>Archiv</w:t>
      </w:r>
      <w:r>
        <w:t xml:space="preserve"> wiederfinden.</w:t>
      </w:r>
    </w:p>
    <w:p>
      <w:pPr>
        <w:pStyle w:val="Heading1"/>
      </w:pPr>
      <w:r>
        <w:t>10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120"/>
        <w:gridCol w:w="8404"/>
      </w:tblGrid>
      <w:tr>
        <w:trPr>
          <w:tblHeader w:val="true"/>
        </w:trPr>
        <w:tc>
          <w:tcPr>
            <w:tcW w:type="dxa" w:w="11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40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 / Artefakt</w:t>
            </w:r>
          </w:p>
        </w:tc>
      </w:tr>
      <w:tr>
        <w:tc>
          <w:tcPr>
            <w:tcW w:type="dxa" w:w="1121"/>
          </w:tcPr>
          <w:p>
            <w:pPr>
              <w:spacing w:after="0" w:line="252" w:lineRule="auto"/>
            </w:pPr>
            <w:r>
              <w:rPr>
                <w:sz w:val="17"/>
              </w:rPr>
              <w:t>PO-00153</w:t>
            </w:r>
          </w:p>
        </w:tc>
        <w:tc>
          <w:tcPr>
            <w:tcW w:type="dxa" w:w="8404"/>
          </w:tcPr>
          <w:p>
            <w:pPr>
              <w:spacing w:after="0" w:line="252" w:lineRule="auto"/>
            </w:pPr>
            <w:r>
              <w:rPr>
                <w:sz w:val="17"/>
              </w:rPr>
              <w:t>CWA Security SW – Secure Development Policy v1.00</w:t>
            </w:r>
          </w:p>
        </w:tc>
      </w:tr>
      <w:tr>
        <w:tc>
          <w:tcPr>
            <w:tcW w:type="dxa" w:w="1121"/>
          </w:tcPr>
          <w:p>
            <w:pPr>
              <w:spacing w:after="0" w:line="252" w:lineRule="auto"/>
            </w:pPr>
            <w:r>
              <w:rPr>
                <w:sz w:val="17"/>
              </w:rPr>
              <w:t>ABGL</w:t>
            </w:r>
          </w:p>
        </w:tc>
        <w:tc>
          <w:tcPr>
            <w:tcW w:type="dxa" w:w="8404"/>
          </w:tcPr>
          <w:p>
            <w:pPr>
              <w:spacing w:after="0" w:line="252" w:lineRule="auto"/>
            </w:pPr>
            <w:r>
              <w:rPr>
                <w:sz w:val="17"/>
              </w:rPr>
              <w:t>WLS_Angebot_Security_Abgleich_PO-00153.md</w:t>
            </w:r>
          </w:p>
        </w:tc>
      </w:tr>
      <w:tr>
        <w:tc>
          <w:tcPr>
            <w:tcW w:type="dxa" w:w="1121"/>
          </w:tcPr>
          <w:p>
            <w:pPr>
              <w:spacing w:after="0" w:line="252" w:lineRule="auto"/>
            </w:pPr>
            <w:r>
              <w:rPr>
                <w:sz w:val="17"/>
              </w:rPr>
              <w:t>P0</w:t>
            </w:r>
          </w:p>
        </w:tc>
        <w:tc>
          <w:tcPr>
            <w:tcW w:type="dxa" w:w="8404"/>
          </w:tcPr>
          <w:p>
            <w:pPr>
              <w:spacing w:after="0" w:line="252" w:lineRule="auto"/>
            </w:pPr>
            <w:r>
              <w:rPr>
                <w:sz w:val="17"/>
              </w:rPr>
              <w:t>WLS_Angebot_Security_P0_Technischer_Bericht_deDE_v1.0</w:t>
            </w:r>
          </w:p>
        </w:tc>
      </w:tr>
      <w:tr>
        <w:tc>
          <w:tcPr>
            <w:tcW w:type="dxa" w:w="1121"/>
          </w:tcPr>
          <w:p>
            <w:pPr>
              <w:spacing w:after="0" w:line="252" w:lineRule="auto"/>
            </w:pPr>
            <w:r>
              <w:rPr>
                <w:sz w:val="17"/>
              </w:rPr>
              <w:t>CODE</w:t>
            </w:r>
          </w:p>
        </w:tc>
        <w:tc>
          <w:tcPr>
            <w:tcW w:type="dxa" w:w="8404"/>
          </w:tcPr>
          <w:p>
            <w:pPr>
              <w:spacing w:after="0" w:line="252" w:lineRule="auto"/>
            </w:pPr>
            <w:r>
              <w:rPr>
                <w:sz w:val="17"/>
              </w:rPr>
              <w:t>Commit 041e207: README.md, auth.py, http_security.py, server.py, static/index.html, ci.yml, Dockerfile, docker-compose.yml</w:t>
            </w:r>
          </w:p>
        </w:tc>
      </w:tr>
      <w:tr>
        <w:tc>
          <w:tcPr>
            <w:tcW w:type="dxa" w:w="1121"/>
          </w:tcPr>
          <w:p>
            <w:pPr>
              <w:spacing w:after="0" w:line="252" w:lineRule="auto"/>
            </w:pPr>
            <w:r>
              <w:rPr>
                <w:sz w:val="17"/>
              </w:rPr>
              <w:t>DEPLOY</w:t>
            </w:r>
          </w:p>
        </w:tc>
        <w:tc>
          <w:tcPr>
            <w:tcW w:type="dxa" w:w="8404"/>
          </w:tcPr>
          <w:p>
            <w:pPr>
              <w:spacing w:after="0" w:line="252" w:lineRule="auto"/>
            </w:pPr>
            <w:r>
              <w:rPr>
                <w:sz w:val="17"/>
              </w:rPr>
              <w:t>deploy/docs/02-volumes-backup.md, 03-network-https.md, 04-runbook.md</w:t>
            </w:r>
          </w:p>
        </w:tc>
      </w:tr>
    </w:tbl>
    <w:p>
      <w:pPr>
        <w:spacing w:after="40"/>
      </w:pP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Angebotsgenerator</w:t>
          </w:r>
        </w:p>
        <w:p>
          <w:pPr>
            <w:spacing w:after="0" w:line="240" w:lineRule="auto"/>
          </w:pPr>
          <w:r>
            <w:rPr>
              <w:sz w:val="13"/>
            </w:rPr>
            <w:t>How-to-Handbuch V 1.0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How-to-Handbuch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WAMAS Lift &amp; Store Angebotsgenerator – Sicherheit und Benutzeranleitung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WAMAS Lift &amp; Store Angebotsgenerator – Sicherheit und Benutzeranleitung</dc:title>
  <dc:subject>Abgleich Secure Development Policy PO-00153-EN und Bedienung für Anwender</dc:subject>
  <dc:creator>Marek Sobona /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