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 Lift &amp; Store Angebotsgenerator – Benutzeranleitung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Angebotsgenerator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Bedienung, Kalkulation, Marge, Reisekosten, Stundensatz und Export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Marek Sobona / SSI SCHÄFER</w:t>
            </w:r>
          </w:p>
        </w:tc>
      </w:tr>
    </w:tbl>
    <w:p>
      <w:pPr>
        <w:spacing w:before="8617"/>
      </w:pPr>
      <w:r>
        <w:rPr>
          <w:sz w:val="18"/>
        </w:rPr>
        <w:t>V 2.0  ·  28.10.2026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5</w:t>
      </w:r>
    </w:p>
    <w:p>
      <w:pPr>
        <w:pStyle w:val="TOC2"/>
        <w:tabs>
          <w:tab w:pos="9524" w:val="right" w:leader="dot"/>
        </w:tabs>
      </w:pPr>
      <w:r>
        <w:t>1.1 Zweck</w:t>
        <w:tab/>
        <w:t>5</w:t>
      </w:r>
    </w:p>
    <w:p>
      <w:pPr>
        <w:pStyle w:val="TOC2"/>
        <w:tabs>
          <w:tab w:pos="9524" w:val="right" w:leader="dot"/>
        </w:tabs>
      </w:pPr>
      <w:r>
        <w:t>1.2 Wie Sie dieses Dokument lesen</w:t>
        <w:tab/>
        <w:t>5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5</w:t>
      </w:r>
    </w:p>
    <w:p>
      <w:pPr>
        <w:pStyle w:val="TOC1"/>
        <w:tabs>
          <w:tab w:pos="9524" w:val="right" w:leader="dot"/>
        </w:tabs>
      </w:pPr>
      <w:r>
        <w:t>2 Zweck und Überblick</w:t>
        <w:tab/>
        <w:t>6</w:t>
      </w:r>
    </w:p>
    <w:p>
      <w:pPr>
        <w:pStyle w:val="TOC2"/>
        <w:tabs>
          <w:tab w:pos="9524" w:val="right" w:leader="dot"/>
        </w:tabs>
      </w:pPr>
      <w:r>
        <w:t>2.1 Zweck der Anwendung</w:t>
        <w:tab/>
        <w:t>6</w:t>
      </w:r>
    </w:p>
    <w:p>
      <w:pPr>
        <w:pStyle w:val="TOC2"/>
        <w:tabs>
          <w:tab w:pos="9524" w:val="right" w:leader="dot"/>
        </w:tabs>
      </w:pPr>
      <w:r>
        <w:t>2.2 Module</w:t>
        <w:tab/>
        <w:t>6</w:t>
      </w:r>
    </w:p>
    <w:p>
      <w:pPr>
        <w:pStyle w:val="TOC1"/>
        <w:tabs>
          <w:tab w:pos="9524" w:val="right" w:leader="dot"/>
        </w:tabs>
      </w:pPr>
      <w:r>
        <w:t>3 Anmeldung und Konto</w:t>
        <w:tab/>
        <w:t>7</w:t>
      </w:r>
    </w:p>
    <w:p>
      <w:pPr>
        <w:pStyle w:val="TOC2"/>
        <w:tabs>
          <w:tab w:pos="9524" w:val="right" w:leader="dot"/>
        </w:tabs>
      </w:pPr>
      <w:r>
        <w:t>3.1 Anmelden</w:t>
        <w:tab/>
        <w:t>7</w:t>
      </w:r>
    </w:p>
    <w:p>
      <w:pPr>
        <w:pStyle w:val="TOC2"/>
        <w:tabs>
          <w:tab w:pos="9524" w:val="right" w:leader="dot"/>
        </w:tabs>
      </w:pPr>
      <w:r>
        <w:t>3.2 Passwort vergessen</w:t>
        <w:tab/>
        <w:t>7</w:t>
      </w:r>
    </w:p>
    <w:p>
      <w:pPr>
        <w:pStyle w:val="TOC2"/>
        <w:tabs>
          <w:tab w:pos="9524" w:val="right" w:leader="dot"/>
        </w:tabs>
      </w:pPr>
      <w:r>
        <w:t>3.3 Passwort ändern</w:t>
        <w:tab/>
        <w:t>7</w:t>
      </w:r>
    </w:p>
    <w:p>
      <w:pPr>
        <w:pStyle w:val="TOC2"/>
        <w:tabs>
          <w:tab w:pos="9524" w:val="right" w:leader="dot"/>
        </w:tabs>
      </w:pPr>
      <w:r>
        <w:t>3.4 Abmelden</w:t>
        <w:tab/>
        <w:t>8</w:t>
      </w:r>
    </w:p>
    <w:p>
      <w:pPr>
        <w:pStyle w:val="TOC2"/>
        <w:tabs>
          <w:tab w:pos="9524" w:val="right" w:leader="dot"/>
        </w:tabs>
      </w:pPr>
      <w:r>
        <w:t>3.5 Sprache</w:t>
        <w:tab/>
        <w:t>8</w:t>
      </w:r>
    </w:p>
    <w:p>
      <w:pPr>
        <w:pStyle w:val="TOC1"/>
        <w:tabs>
          <w:tab w:pos="9524" w:val="right" w:leader="dot"/>
        </w:tabs>
      </w:pPr>
      <w:r>
        <w:t>4 Rollen und Berechtigungen</w:t>
        <w:tab/>
        <w:t>9</w:t>
      </w:r>
    </w:p>
    <w:p>
      <w:pPr>
        <w:pStyle w:val="TOC2"/>
        <w:tabs>
          <w:tab w:pos="9524" w:val="right" w:leader="dot"/>
        </w:tabs>
      </w:pPr>
      <w:r>
        <w:t>4.1 Rollenübersicht</w:t>
        <w:tab/>
        <w:t>9</w:t>
      </w:r>
    </w:p>
    <w:p>
      <w:pPr>
        <w:pStyle w:val="TOC2"/>
        <w:tabs>
          <w:tab w:pos="9524" w:val="right" w:leader="dot"/>
        </w:tabs>
      </w:pPr>
      <w:r>
        <w:t>4.2 Verkaufsansicht</w:t>
        <w:tab/>
        <w:t>9</w:t>
      </w:r>
    </w:p>
    <w:p>
      <w:pPr>
        <w:pStyle w:val="TOC2"/>
        <w:tabs>
          <w:tab w:pos="9524" w:val="right" w:leader="dot"/>
        </w:tabs>
      </w:pPr>
      <w:r>
        <w:t>4.3 Excel-Export nur Editor/Admin</w:t>
        <w:tab/>
        <w:t>9</w:t>
      </w:r>
    </w:p>
    <w:p>
      <w:pPr>
        <w:pStyle w:val="TOC1"/>
        <w:tabs>
          <w:tab w:pos="9524" w:val="right" w:leader="dot"/>
        </w:tabs>
      </w:pPr>
      <w:r>
        <w:t>5 Oberfläche und Navigation</w:t>
        <w:tab/>
        <w:t>10</w:t>
      </w:r>
    </w:p>
    <w:p>
      <w:pPr>
        <w:pStyle w:val="TOC2"/>
        <w:tabs>
          <w:tab w:pos="9524" w:val="right" w:leader="dot"/>
        </w:tabs>
      </w:pPr>
      <w:r>
        <w:t>5.1 Kopfzeile und Navigation</w:t>
        <w:tab/>
        <w:t>10</w:t>
      </w:r>
    </w:p>
    <w:p>
      <w:pPr>
        <w:pStyle w:val="TOC2"/>
        <w:tabs>
          <w:tab w:pos="9524" w:val="right" w:leader="dot"/>
        </w:tabs>
      </w:pPr>
      <w:r>
        <w:t>5.2 Anzeigeoptionen</w:t>
        <w:tab/>
        <w:t>10</w:t>
      </w:r>
    </w:p>
    <w:p>
      <w:pPr>
        <w:pStyle w:val="TOC2"/>
        <w:tabs>
          <w:tab w:pos="9524" w:val="right" w:leader="dot"/>
        </w:tabs>
      </w:pPr>
      <w:r>
        <w:t>5.3 Kalkulationswährung CHF/EUR</w:t>
        <w:tab/>
        <w:t>10</w:t>
      </w:r>
    </w:p>
    <w:p>
      <w:pPr>
        <w:pStyle w:val="TOC1"/>
        <w:tabs>
          <w:tab w:pos="9524" w:val="right" w:leader="dot"/>
        </w:tabs>
      </w:pPr>
      <w:r>
        <w:t>6 Empfohlener Arbeitsablauf</w:t>
        <w:tab/>
        <w:t>11</w:t>
      </w:r>
    </w:p>
    <w:p>
      <w:pPr>
        <w:pStyle w:val="TOC1"/>
        <w:tabs>
          <w:tab w:pos="9524" w:val="right" w:leader="dot"/>
        </w:tabs>
      </w:pPr>
      <w:r>
        <w:t>7 Lizenzkalkulator</w:t>
        <w:tab/>
        <w:t>12</w:t>
      </w:r>
    </w:p>
    <w:p>
      <w:pPr>
        <w:pStyle w:val="TOC2"/>
        <w:tabs>
          <w:tab w:pos="9524" w:val="right" w:leader="dot"/>
        </w:tabs>
      </w:pPr>
      <w:r>
        <w:t>7.1 Schritt 1 – Kunde und Verkaufskalkulation</w:t>
        <w:tab/>
        <w:t>12</w:t>
      </w:r>
    </w:p>
    <w:p>
      <w:pPr>
        <w:pStyle w:val="TOC2"/>
        <w:tabs>
          <w:tab w:pos="9524" w:val="right" w:leader="dot"/>
        </w:tabs>
      </w:pPr>
      <w:r>
        <w:t>7.2 Schritte 2 und 3 – Angebotsart und Instanz</w:t>
        <w:tab/>
        <w:t>13</w:t>
      </w:r>
    </w:p>
    <w:p>
      <w:pPr>
        <w:pStyle w:val="TOC2"/>
        <w:tabs>
          <w:tab w:pos="9524" w:val="right" w:leader="dot"/>
        </w:tabs>
      </w:pPr>
      <w:r>
        <w:t>7.3 Schritt 4 – Add-ons</w:t>
        <w:tab/>
        <w:t>13</w:t>
      </w:r>
    </w:p>
    <w:p>
      <w:pPr>
        <w:pStyle w:val="TOC2"/>
        <w:tabs>
          <w:tab w:pos="9524" w:val="right" w:leader="dot"/>
        </w:tabs>
      </w:pPr>
      <w:r>
        <w:t>7.4 Schritt 5 – Clients und Speichern</w:t>
        <w:tab/>
        <w:t>14</w:t>
      </w:r>
    </w:p>
    <w:p>
      <w:pPr>
        <w:pStyle w:val="TOC1"/>
        <w:tabs>
          <w:tab w:pos="9524" w:val="right" w:leader="dot"/>
        </w:tabs>
      </w:pPr>
      <w:r>
        <w:t>8 IT-Aufwand</w:t>
        <w:tab/>
        <w:t>15</w:t>
      </w:r>
    </w:p>
    <w:p>
      <w:pPr>
        <w:pStyle w:val="TOC2"/>
        <w:tabs>
          <w:tab w:pos="9524" w:val="right" w:leader="dot"/>
        </w:tabs>
      </w:pPr>
      <w:r>
        <w:t>8.1 Schritte</w:t>
        <w:tab/>
        <w:t>15</w:t>
      </w:r>
    </w:p>
    <w:p>
      <w:pPr>
        <w:pStyle w:val="TOC2"/>
        <w:tabs>
          <w:tab w:pos="9524" w:val="right" w:leader="dot"/>
        </w:tabs>
      </w:pPr>
      <w:r>
        <w:t>8.2 Zusatz-Marge und Stundensatz</w:t>
        <w:tab/>
        <w:t>16</w:t>
      </w:r>
    </w:p>
    <w:p>
      <w:pPr>
        <w:pStyle w:val="TOC1"/>
        <w:tabs>
          <w:tab w:pos="9524" w:val="right" w:leader="dot"/>
        </w:tabs>
      </w:pPr>
      <w:r>
        <w:t>9 Angebot erzeugen und exportieren</w:t>
        <w:tab/>
        <w:t>18</w:t>
      </w:r>
    </w:p>
    <w:p>
      <w:pPr>
        <w:pStyle w:val="TOC2"/>
        <w:tabs>
          <w:tab w:pos="9524" w:val="right" w:leader="dot"/>
        </w:tabs>
      </w:pPr>
      <w:r>
        <w:t>9.1 Kommerziell</w:t>
        <w:tab/>
        <w:t>18</w:t>
      </w:r>
    </w:p>
    <w:p>
      <w:pPr>
        <w:pStyle w:val="TOC2"/>
        <w:tabs>
          <w:tab w:pos="9524" w:val="right" w:leader="dot"/>
        </w:tabs>
      </w:pPr>
      <w:r>
        <w:t>9.2 Personen und Unterschriften</w:t>
        <w:tab/>
        <w:t>18</w:t>
      </w:r>
    </w:p>
    <w:p>
      <w:pPr>
        <w:pStyle w:val="TOC2"/>
        <w:tabs>
          <w:tab w:pos="9524" w:val="right" w:leader="dot"/>
        </w:tabs>
      </w:pPr>
      <w:r>
        <w:t>9.3 Layout</w:t>
        <w:tab/>
        <w:t>18</w:t>
      </w:r>
    </w:p>
    <w:p>
      <w:pPr>
        <w:pStyle w:val="TOC2"/>
        <w:tabs>
          <w:tab w:pos="9524" w:val="right" w:leader="dot"/>
        </w:tabs>
      </w:pPr>
      <w:r>
        <w:t>9.4 Vorschau</w:t>
        <w:tab/>
        <w:t>18</w:t>
      </w:r>
    </w:p>
    <w:p>
      <w:pPr>
        <w:pStyle w:val="TOC2"/>
        <w:tabs>
          <w:tab w:pos="9524" w:val="right" w:leader="dot"/>
        </w:tabs>
      </w:pPr>
      <w:r>
        <w:t>9.5 Revision</w:t>
        <w:tab/>
        <w:t>19</w:t>
      </w:r>
    </w:p>
    <w:p>
      <w:pPr>
        <w:pStyle w:val="TOC2"/>
        <w:tabs>
          <w:tab w:pos="9524" w:val="right" w:leader="dot"/>
        </w:tabs>
      </w:pPr>
      <w:r>
        <w:t>9.6 Export</w:t>
        <w:tab/>
        <w:t>19</w:t>
      </w:r>
    </w:p>
    <w:p>
      <w:pPr>
        <w:pStyle w:val="TOC1"/>
        <w:tabs>
          <w:tab w:pos="9524" w:val="right" w:leader="dot"/>
        </w:tabs>
      </w:pPr>
      <w:r>
        <w:t>10 Archiv</w:t>
        <w:tab/>
        <w:t>21</w:t>
      </w:r>
    </w:p>
    <w:p>
      <w:pPr>
        <w:pStyle w:val="TOC1"/>
        <w:tabs>
          <w:tab w:pos="9524" w:val="right" w:leader="dot"/>
        </w:tabs>
      </w:pPr>
      <w:r>
        <w:t>11 Benutzerverwaltung (Admin)</w:t>
        <w:tab/>
        <w:t>24</w:t>
      </w:r>
    </w:p>
    <w:p>
      <w:pPr>
        <w:pStyle w:val="TOC1"/>
        <w:tabs>
          <w:tab w:pos="9524" w:val="right" w:leader="dot"/>
        </w:tabs>
      </w:pPr>
      <w:r>
        <w:t>12 Stammdaten (Admin)</w:t>
        <w:tab/>
        <w:t>25</w:t>
      </w:r>
    </w:p>
    <w:p>
      <w:pPr>
        <w:pStyle w:val="TOC1"/>
        <w:tabs>
          <w:tab w:pos="9524" w:val="right" w:leader="dot"/>
        </w:tabs>
      </w:pPr>
      <w:r>
        <w:t>13 Tipps und Fehlerbilder</w:t>
        <w:tab/>
        <w:t>26</w:t>
      </w:r>
    </w:p>
    <w:p>
      <w:pPr>
        <w:pStyle w:val="TOC1"/>
        <w:tabs>
          <w:tab w:pos="9524" w:val="right" w:leader="dot"/>
        </w:tabs>
      </w:pPr>
      <w:r>
        <w:t>14 Stolperfallen</w:t>
        <w:tab/>
        <w:t>27</w:t>
      </w:r>
    </w:p>
    <w:p>
      <w:pPr>
        <w:pStyle w:val="TOC1"/>
        <w:tabs>
          <w:tab w:pos="9524" w:val="right" w:leader="dot"/>
        </w:tabs>
      </w:pPr>
      <w:r>
        <w:t>15 Praxisbeispiele</w:t>
        <w:tab/>
        <w:t>28</w:t>
      </w:r>
    </w:p>
    <w:p>
      <w:pPr>
        <w:pStyle w:val="TOC2"/>
        <w:tabs>
          <w:tab w:pos="9524" w:val="right" w:leader="dot"/>
        </w:tabs>
      </w:pPr>
      <w:r>
        <w:t>15.1 Neues Projekt durchkalkulieren</w:t>
        <w:tab/>
        <w:t>28</w:t>
      </w:r>
    </w:p>
    <w:p>
      <w:pPr>
        <w:pStyle w:val="TOC2"/>
        <w:tabs>
          <w:tab w:pos="9524" w:val="right" w:leader="dot"/>
        </w:tabs>
      </w:pPr>
      <w:r>
        <w:t>15.2 Marge, Stundensatz und Reise anpassen</w:t>
        <w:tab/>
        <w:t>28</w:t>
      </w:r>
    </w:p>
    <w:p>
      <w:pPr>
        <w:pStyle w:val="TOC1"/>
        <w:tabs>
          <w:tab w:pos="9524" w:val="right" w:leader="dot"/>
        </w:tabs>
      </w:pPr>
      <w:r>
        <w:t>16 Quellen</w:t>
        <w:tab/>
        <w:t>29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Benutzeranleitung beschreibt die Bedienung des </w:t>
      </w:r>
      <w:r>
        <w:rPr>
          <w:b/>
        </w:rPr>
        <w:t>WAMAS Lift &amp; Store Angebotsgenerators</w:t>
      </w:r>
      <w:r>
        <w:t xml:space="preserve"> von SSI SCHÄFER: Anmeldung, Rollen, Lizenzkalkulation, IT-Aufwand, Angebotserstellung, Export, Archiv sowie die Pflege von Benutzern und Stammdaten. Sie ersetzt das Anwenderhandbuch Version 1.0 vom 20.08.2026.</w:t>
      </w:r>
    </w:p>
    <w:p>
      <w:pPr>
        <w:pStyle w:val="Heading2"/>
      </w:pPr>
      <w:r>
        <w:t>1.2 Wie Sie dieses Dokument lesen</w:t>
      </w:r>
    </w:p>
    <w:p>
      <w:pPr>
        <w:pStyle w:val="ListBullet"/>
      </w:pPr>
      <w:r>
        <w:t>Kapitel 2 bis 6 geben den Überblick und den empfohlenen Arbeitsablauf.</w:t>
      </w:r>
    </w:p>
    <w:p>
      <w:pPr>
        <w:pStyle w:val="ListBullet"/>
      </w:pPr>
      <w:r>
        <w:t>Kapitel 7 bis 10 beschreiben die Module Schritt für Schritt.</w:t>
      </w:r>
    </w:p>
    <w:p>
      <w:pPr>
        <w:pStyle w:val="ListBullet"/>
      </w:pPr>
      <w:r>
        <w:t>Kapitel 11 und 12 richten sich an Administratoren.</w:t>
      </w:r>
    </w:p>
    <w:p>
      <w:pPr>
        <w:pStyle w:val="ListBullet"/>
      </w:pPr>
      <w:r>
        <w:t>Kapitel 13 bis 15 enthalten Tipps, Stolperfallen und zwei Praxisbeispiele.</w:t>
      </w:r>
    </w:p>
    <w:p>
      <w:pPr>
        <w:pStyle w:val="ListBullet"/>
      </w:pPr>
      <w:r>
        <w:t xml:space="preserve">UI-Elemente (Buttons, Menüs, Masken) sind </w:t>
      </w:r>
      <w:r>
        <w:rPr>
          <w:b/>
        </w:rPr>
        <w:t>fett</w:t>
      </w:r>
      <w:r>
        <w:t xml:space="preserve">, Eingabefelder, Dateien und Werte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Stand der Abbildungen</w:t>
            </w:r>
          </w:p>
          <w:p>
            <w:pPr>
              <w:spacing w:after="40"/>
            </w:pPr>
            <w:r>
              <w:rPr>
                <w:sz w:val="19"/>
              </w:rPr>
              <w:t>Die Abbildungen 1–13 sind frische Screenshots der Live-App im Design 2027 vom 28.10.2026 (Rolle Editor, Musterdaten «Muster GmbH»). Die Abbildungen 14 (Benutzer) und 15 (Stammdaten) sind älter (Stand August 2026 oder früher, ggf. altes Design): Diese Admin-Ansichten konnten nicht neu aufgenommen werden, weil der Screenshot-Zugang nur die Editor-Rolle hatte.</w:t>
            </w:r>
          </w:p>
        </w:tc>
      </w:tr>
    </w:tbl>
    <w:p>
      <w:pPr>
        <w:spacing w:after="40"/>
      </w:pP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Angebotsgenerator – Benutzeranleitung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Angebotsgenerator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 / 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Anwender, Verkauf, Editor, Administratoren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Live-App ui-p1-041e207; Code Commit 041e207; Abgleich mit vorhandenem Handbuch 20.08.2026 und static/app.js / server.py / auth.py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20.08.2026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Erstes Anwenderhandbuch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2.0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28.10.2026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Vollständige Überarbeitung im SSI-Design: Passwort, Benutzermenü, Rollen, Marge/Stundensatz/Reise, Zusatzpositionen, Export, Stammdaten, Praxisbeispiele; frische Screenshots (Design 2027)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Anwenderhandbuch v1.0 (20.08.2026)</w:t>
      </w:r>
    </w:p>
    <w:p>
      <w:pPr>
        <w:pStyle w:val="Heading1"/>
      </w:pPr>
      <w:r>
        <w:t>2 Zweck und Überblick</w:t>
      </w:r>
    </w:p>
    <w:p>
      <w:pPr>
        <w:pStyle w:val="Heading2"/>
      </w:pPr>
      <w:r>
        <w:t>2.1 Zweck der Anwendung</w:t>
      </w:r>
    </w:p>
    <w:p>
      <w:r>
        <w:t xml:space="preserve">Der Angebotsgenerator unterstützt Vertrieb und Projektierung dabei, Softwarelizenzen und IT-Aufwand für WAMAS Lift &amp; Store (WAMAS LogiMat / SSI LOGIMAT®) einheitlich zu kalkulieren und als kundenfertiges Angebot auszugeben. Die Anwendung läuft im Browser. Gespeicherte Kalkulationen und Angebote werden serverseitig als JSON unter </w:t>
      </w:r>
      <w:r>
        <w:rPr>
          <w:rFonts w:ascii="Consolas" w:hAnsi="Consolas" w:cs="Consolas" w:eastAsia="Consolas"/>
          <w:sz w:val="18"/>
        </w:rPr>
        <w:t>data/offers/</w:t>
      </w:r>
      <w:r>
        <w:t xml:space="preserve"> abgelegt.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 Mehrbenutzer-Editor</w:t>
            </w:r>
          </w:p>
          <w:p>
            <w:pPr>
              <w:spacing w:after="40"/>
            </w:pPr>
            <w:r>
              <w:rPr>
                <w:sz w:val="19"/>
              </w:rPr>
              <w:t>Gleichzeitiges Bearbeiten derselben Angebotsdatei (z. B. über OneDrive) kann zu Konflikten führen. Eine Kalkulation sollte jeweils nur von einer Person bearbeitet werden.</w:t>
            </w:r>
          </w:p>
        </w:tc>
      </w:tr>
    </w:tbl>
    <w:p>
      <w:pPr>
        <w:spacing w:after="40"/>
      </w:pPr>
    </w:p>
    <w:p>
      <w:pPr>
        <w:pStyle w:val="Heading2"/>
      </w:pPr>
      <w:r>
        <w:t>2.2 Module</w:t>
      </w:r>
    </w:p>
    <w:p>
      <w:r>
        <w:t>Die Module bauen in dieser Reihenfolge aufeinander auf: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08"/>
        <w:gridCol w:w="2837"/>
        <w:gridCol w:w="6080"/>
      </w:tblGrid>
      <w:tr>
        <w:trPr>
          <w:tblHeader w:val="true"/>
        </w:trPr>
        <w:tc>
          <w:tcPr>
            <w:tcW w:type="dxa" w:w="60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8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Modul</w:t>
            </w:r>
          </w:p>
        </w:tc>
        <w:tc>
          <w:tcPr>
            <w:tcW w:type="dxa" w:w="60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</w:tr>
      <w:tr>
        <w:tc>
          <w:tcPr>
            <w:tcW w:type="dxa" w:w="608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83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Lizenzkalkulator</w:t>
            </w:r>
          </w:p>
        </w:tc>
        <w:tc>
          <w:tcPr>
            <w:tcW w:type="dxa" w:w="6079"/>
          </w:tcPr>
          <w:p>
            <w:pPr>
              <w:spacing w:after="0" w:line="252" w:lineRule="auto"/>
            </w:pPr>
            <w:r>
              <w:rPr>
                <w:sz w:val="17"/>
              </w:rPr>
              <w:t>IC-Preisliste, Instanz, Add-ons, Clients, Fest/Option, SLL-Mengenrabatt, DB-Marge</w:t>
            </w:r>
          </w:p>
        </w:tc>
      </w:tr>
      <w:tr>
        <w:tc>
          <w:tcPr>
            <w:tcW w:type="dxa" w:w="608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83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IT-Aufwand</w:t>
            </w:r>
          </w:p>
        </w:tc>
        <w:tc>
          <w:tcPr>
            <w:tcW w:type="dxa" w:w="6079"/>
          </w:tcPr>
          <w:p>
            <w:pPr>
              <w:spacing w:after="0" w:line="252" w:lineRule="auto"/>
            </w:pPr>
            <w:r>
              <w:rPr>
                <w:sz w:val="17"/>
              </w:rPr>
              <w:t>Installation, Optionen, Erweiterungen, Material, Reisekosten (analog «Kalkulation WAMAS Installation.xlsm»)</w:t>
            </w:r>
          </w:p>
        </w:tc>
      </w:tr>
      <w:tr>
        <w:tc>
          <w:tcPr>
            <w:tcW w:type="dxa" w:w="608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83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Angebot</w:t>
            </w:r>
          </w:p>
        </w:tc>
        <w:tc>
          <w:tcPr>
            <w:tcW w:type="dxa" w:w="6079"/>
          </w:tcPr>
          <w:p>
            <w:pPr>
              <w:spacing w:after="0" w:line="252" w:lineRule="auto"/>
            </w:pPr>
            <w:r>
              <w:rPr>
                <w:sz w:val="17"/>
              </w:rPr>
              <w:t>Kommerzielles, Personen, Layout, A4-Vorschau, Revision, Export Word/PDF/Excel</w:t>
            </w:r>
          </w:p>
        </w:tc>
      </w:tr>
      <w:tr>
        <w:tc>
          <w:tcPr>
            <w:tcW w:type="dxa" w:w="608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83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Archiv</w:t>
            </w:r>
          </w:p>
        </w:tc>
        <w:tc>
          <w:tcPr>
            <w:tcW w:type="dxa" w:w="6079"/>
          </w:tcPr>
          <w:p>
            <w:pPr>
              <w:spacing w:after="0" w:line="252" w:lineRule="auto"/>
            </w:pPr>
            <w:r>
              <w:rPr>
                <w:sz w:val="17"/>
              </w:rPr>
              <w:t>Gespeicherte Kalkulationen und Angebote, Versionen je Projekt</w:t>
            </w:r>
          </w:p>
        </w:tc>
      </w:tr>
      <w:tr>
        <w:tc>
          <w:tcPr>
            <w:tcW w:type="dxa" w:w="608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83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Stammdaten</w:t>
            </w:r>
          </w:p>
        </w:tc>
        <w:tc>
          <w:tcPr>
            <w:tcW w:type="dxa" w:w="6079"/>
          </w:tcPr>
          <w:p>
            <w:pPr>
              <w:spacing w:after="0" w:line="252" w:lineRule="auto"/>
            </w:pPr>
            <w:r>
              <w:rPr>
                <w:sz w:val="17"/>
              </w:rPr>
              <w:t>Nur Admin: Konten und Standardwerte</w:t>
            </w:r>
          </w:p>
        </w:tc>
      </w:tr>
    </w:tbl>
    <w:p>
      <w:pPr>
        <w:pStyle w:val="BeschriftungSSI"/>
      </w:pPr>
      <w:r>
        <w:t>Tab. 2: Module der Anwendung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Anwenderhandbuch v1.0, Kap. 1;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(Navigation)</w:t>
      </w:r>
    </w:p>
    <w:p>
      <w:pPr>
        <w:pStyle w:val="Heading1"/>
      </w:pPr>
      <w:r>
        <w:t>3 Anmeldung und Konto</w:t>
      </w:r>
    </w:p>
    <w:p>
      <w:pPr>
        <w:pStyle w:val="Heading2"/>
      </w:pPr>
      <w:r>
        <w:t>3.1 Anmelden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Anwendung im Browser öffnen (lokal standardmässig </w:t>
      </w:r>
      <w:r>
        <w:rPr>
          <w:rFonts w:ascii="Consolas" w:hAnsi="Consolas" w:cs="Consolas" w:eastAsia="Consolas"/>
          <w:sz w:val="18"/>
        </w:rPr>
        <w:t>http://127.0.0.1:8100</w:t>
      </w:r>
      <w:r>
        <w:t>, sonst die von der IT bereitgestellte Adresse).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Benutzername</w:t>
      </w:r>
      <w:r>
        <w:t xml:space="preserve"> und </w:t>
      </w:r>
      <w:r>
        <w:rPr>
          <w:rFonts w:ascii="Consolas" w:hAnsi="Consolas" w:cs="Consolas" w:eastAsia="Consolas"/>
          <w:sz w:val="18"/>
        </w:rPr>
        <w:t>Passwort</w:t>
      </w:r>
      <w:r>
        <w:t xml:space="preserve"> eingeben.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Anmelden</w:t>
      </w:r>
      <w:r>
        <w:t xml:space="preserve"> klicken.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4320000" cy="25042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1-anmeldung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504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Anmeldemaske</w:t>
      </w:r>
    </w:p>
    <w:p>
      <w:r>
        <w:t xml:space="preserve">Nach der Anmeldung erscheint oben rechts der Benutzername mit Rolle. Ein Klick darauf öffnet das Benutzermenü (siehe 3.5) mit </w:t>
      </w:r>
      <w:r>
        <w:rPr>
          <w:b/>
        </w:rPr>
        <w:t>Passwort ändern</w:t>
      </w:r>
      <w:r>
        <w:t xml:space="preserve"> und </w:t>
      </w:r>
      <w:r>
        <w:rPr>
          <w:b/>
        </w:rPr>
        <w:t>Abmelden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Erster Start (Administratoren)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Beim allerersten Start legt der Server ein Admin-Konto an. Das Initialpasswort steht in der Server-Konsole, sofern </w:t>
            </w:r>
            <w:r>
              <w:rPr>
                <w:rFonts w:ascii="Consolas" w:hAnsi="Consolas" w:cs="Consolas" w:eastAsia="Consolas"/>
                <w:sz w:val="17"/>
              </w:rPr>
              <w:t>WAMAS_ADMIN_PASSWORD</w:t>
            </w:r>
            <w:r>
              <w:rPr>
                <w:sz w:val="19"/>
              </w:rPr>
              <w:t xml:space="preserve"> nicht gesetzt ist. Konten liegen in </w:t>
            </w:r>
            <w:r>
              <w:rPr>
                <w:rFonts w:ascii="Consolas" w:hAnsi="Consolas" w:cs="Consolas" w:eastAsia="Consolas"/>
                <w:sz w:val="17"/>
              </w:rPr>
              <w:t>data/users.json</w:t>
            </w:r>
            <w:r>
              <w:rPr>
                <w:sz w:val="19"/>
              </w:rPr>
              <w:t xml:space="preserve"> – diese Datei ist vertraulich und gehört nicht ins Git.</w:t>
            </w:r>
          </w:p>
        </w:tc>
      </w:tr>
    </w:tbl>
    <w:p>
      <w:pPr>
        <w:spacing w:after="40"/>
      </w:pPr>
    </w:p>
    <w:p>
      <w:pPr>
        <w:pStyle w:val="Heading2"/>
      </w:pPr>
      <w:r>
        <w:t>3.2 Passwort vergessen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In der Anmeldemaske </w:t>
      </w:r>
      <w:r>
        <w:rPr>
          <w:b/>
        </w:rPr>
        <w:t>Passwort vergessen?</w:t>
      </w:r>
      <w:r>
        <w:t xml:space="preserve"> klicken.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E-Mail-Adresse</w:t>
      </w:r>
      <w:r>
        <w:t xml:space="preserve"> des Kontos eingeben und </w:t>
      </w:r>
      <w:r>
        <w:rPr>
          <w:b/>
        </w:rPr>
        <w:t>Einmalpasswort anfordern</w:t>
      </w:r>
      <w:r>
        <w:t xml:space="preserve"> klicken.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Ist die Adresse registriert, kommt ein Einmalpasswort per E-Mail. Es ist </w:t>
      </w:r>
      <w:r>
        <w:rPr>
          <w:b/>
        </w:rPr>
        <w:t>30 Minuten</w:t>
      </w:r>
      <w:r>
        <w:t xml:space="preserve"> gültig.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Mit dem Einmalpasswort anmelden. Danach muss sofort ein neues Passwort festgelegt werden; diese Sitzung ist </w:t>
      </w:r>
      <w:r>
        <w:rPr>
          <w:b/>
        </w:rPr>
        <w:t>10 Minuten</w:t>
      </w:r>
      <w:r>
        <w:t xml:space="preserve"> gültig. Erst danach öffnet sich die Anwendung.</w:t>
      </w:r>
    </w:p>
    <w:p>
      <w:r>
        <w:t xml:space="preserve">Mit </w:t>
      </w:r>
      <w:r>
        <w:rPr>
          <w:b/>
        </w:rPr>
        <w:t>Zur Anmeldung</w:t>
      </w:r>
      <w:r>
        <w:t xml:space="preserve"> gelangen Sie zurück zur Anmeldemaske.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Passwortregeln (Mindestlänge, Komplexität) und der Absender der E-Mail sind in dieser Anleitung noch nicht dokumentiert.</w:t>
            </w:r>
          </w:p>
        </w:tc>
      </w:tr>
    </w:tbl>
    <w:p>
      <w:pPr>
        <w:spacing w:after="40"/>
      </w:pPr>
    </w:p>
    <w:p>
      <w:pPr>
        <w:pStyle w:val="Heading2"/>
      </w:pPr>
      <w:r>
        <w:t>3.3 Passwort ändern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Benutzermenü oben rechts öffnen und </w:t>
      </w:r>
      <w:r>
        <w:rPr>
          <w:b/>
        </w:rPr>
        <w:t>Passwort ändern</w:t>
      </w:r>
      <w:r>
        <w:t xml:space="preserve"> klicken.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Aktuelles Passwort</w:t>
      </w:r>
      <w:r>
        <w:t xml:space="preserve"> und das neue Passwort eingeben und bestätigen.</w:t>
      </w:r>
    </w:p>
    <w:p>
      <w:r>
        <w:t xml:space="preserve">Administratoren können Passwörter zusätzlich in der </w:t>
      </w:r>
      <w:r>
        <w:rPr>
          <w:b/>
        </w:rPr>
        <w:t>Benutzerverwaltung</w:t>
      </w:r>
      <w:r>
        <w:t xml:space="preserve"> oder ohne UI per </w:t>
      </w:r>
      <w:r>
        <w:rPr>
          <w:rFonts w:ascii="Consolas" w:hAnsi="Consolas" w:cs="Consolas" w:eastAsia="Consolas"/>
          <w:sz w:val="18"/>
        </w:rPr>
        <w:t>python scripts/set_user_password.py &lt;benutzer&gt; &lt;neues-passwort&gt;</w:t>
      </w:r>
      <w:r>
        <w:t xml:space="preserve"> setzen.</w:t>
      </w:r>
    </w:p>
    <w:p>
      <w:pPr>
        <w:pStyle w:val="Heading2"/>
      </w:pPr>
      <w:r>
        <w:t>3.4 Abmelden</w:t>
      </w:r>
    </w:p>
    <w:p>
      <w:r>
        <w:t xml:space="preserve">Benutzermenü oben rechts öffnen und </w:t>
      </w:r>
      <w:r>
        <w:rPr>
          <w:b/>
        </w:rPr>
        <w:t>Abmelden</w:t>
      </w:r>
      <w:r>
        <w:t xml:space="preserve"> klicken. Das Schliessen des Browserfensters beendet den Server nicht.</w:t>
      </w:r>
    </w:p>
    <w:p>
      <w:pPr>
        <w:pStyle w:val="Heading2"/>
      </w:pPr>
      <w:r>
        <w:t>3.5 Sprache</w:t>
      </w:r>
    </w:p>
    <w:p>
      <w:r>
        <w:t xml:space="preserve">Die Oberfläche ist in </w:t>
      </w:r>
      <w:r>
        <w:rPr>
          <w:b/>
        </w:rPr>
        <w:t>Deutsch (DE)</w:t>
      </w:r>
      <w:r>
        <w:t xml:space="preserve">, </w:t>
      </w:r>
      <w:r>
        <w:rPr>
          <w:b/>
        </w:rPr>
        <w:t>Englisch (EN)</w:t>
      </w:r>
      <w:r>
        <w:t xml:space="preserve"> und </w:t>
      </w:r>
      <w:r>
        <w:rPr>
          <w:b/>
        </w:rPr>
        <w:t>Französisch (FR)</w:t>
      </w:r>
      <w:r>
        <w:t xml:space="preserve"> verfügbar (Übersetzungen in </w:t>
      </w:r>
      <w:r>
        <w:rPr>
          <w:rFonts w:ascii="Consolas" w:hAnsi="Consolas" w:cs="Consolas" w:eastAsia="Consolas"/>
          <w:sz w:val="18"/>
        </w:rPr>
        <w:t>data/ui_i18n.json</w:t>
      </w:r>
      <w:r>
        <w:t xml:space="preserve">). Angebotstexte werden über </w:t>
      </w:r>
      <w:r>
        <w:rPr>
          <w:rFonts w:ascii="Consolas" w:hAnsi="Consolas" w:cs="Consolas" w:eastAsia="Consolas"/>
          <w:sz w:val="18"/>
        </w:rPr>
        <w:t>data/offer_i18n.json</w:t>
      </w:r>
      <w:r>
        <w:t xml:space="preserve"> ebenfalls in EN und FR bereitgestellt.</w:t>
      </w:r>
    </w:p>
    <w:p>
      <w:r>
        <w:t xml:space="preserve">Sprache, </w:t>
      </w:r>
      <w:r>
        <w:rPr>
          <w:b/>
        </w:rPr>
        <w:t>Kalkulationswährung</w:t>
      </w:r>
      <w:r>
        <w:t xml:space="preserve">, </w:t>
      </w:r>
      <w:r>
        <w:rPr>
          <w:b/>
        </w:rPr>
        <w:t>Oberfläche</w:t>
      </w:r>
      <w:r>
        <w:t xml:space="preserve"> und </w:t>
      </w:r>
      <w:r>
        <w:rPr>
          <w:b/>
        </w:rPr>
        <w:t>Darstellung</w:t>
      </w:r>
      <w:r>
        <w:t xml:space="preserve"> sowie </w:t>
      </w:r>
      <w:r>
        <w:rPr>
          <w:b/>
        </w:rPr>
        <w:t>Passwort ändern</w:t>
      </w:r>
      <w:r>
        <w:t xml:space="preserve"> und </w:t>
      </w:r>
      <w:r>
        <w:rPr>
          <w:b/>
        </w:rPr>
        <w:t>Abmelden</w:t>
      </w:r>
      <w:r>
        <w:t xml:space="preserve"> befinden sich im Benutzermenü oben rechts (Klick auf den Benutzernamen mit Rolle, z. B. «Grok Admin · Editor»).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30312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14-einstellungen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30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Benutzermenü mit Sprache, Währung, Oberfläche und Darstellung</w:t>
      </w: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(Login, Passwort-Recovery), </w:t>
      </w:r>
      <w:r>
        <w:rPr>
          <w:rFonts w:ascii="Consolas" w:hAnsi="Consolas" w:cs="Consolas" w:eastAsia="Consolas"/>
          <w:sz w:val="15"/>
        </w:rPr>
        <w:t>password_recovery.py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auth.py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ui_i18n.py</w:t>
      </w:r>
    </w:p>
    <w:p>
      <w:pPr>
        <w:pStyle w:val="Heading1"/>
      </w:pPr>
      <w:r>
        <w:t>4 Rollen und Berechtigungen</w:t>
      </w:r>
    </w:p>
    <w:p>
      <w:pPr>
        <w:pStyle w:val="Heading2"/>
      </w:pPr>
      <w:r>
        <w:t>4.1 Rollenübersicht</w:t>
      </w:r>
    </w:p>
    <w:p>
      <w:r>
        <w:t>Vier Rollen steuern, was sichtbar und änderbar ist: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42"/>
        <w:gridCol w:w="1995"/>
        <w:gridCol w:w="907"/>
        <w:gridCol w:w="1451"/>
        <w:gridCol w:w="816"/>
        <w:gridCol w:w="2812"/>
      </w:tblGrid>
      <w:tr>
        <w:trPr>
          <w:tblHeader w:val="true"/>
        </w:trPr>
        <w:tc>
          <w:tcPr>
            <w:tcW w:type="dxa" w:w="15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19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Lesen / Vorschau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Word / PDF</w:t>
            </w:r>
          </w:p>
        </w:tc>
        <w:tc>
          <w:tcPr>
            <w:tcW w:type="dxa" w:w="14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Excel Preisliste</w:t>
            </w:r>
          </w:p>
        </w:tc>
        <w:tc>
          <w:tcPr>
            <w:tcW w:type="dxa" w:w="8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Speichern</w:t>
            </w:r>
          </w:p>
        </w:tc>
        <w:tc>
          <w:tcPr>
            <w:tcW w:type="dxa" w:w="28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Benutzer / Stammdaten / Löschen</w:t>
            </w:r>
          </w:p>
        </w:tc>
      </w:tr>
      <w:tr>
        <w:tc>
          <w:tcPr>
            <w:tcW w:type="dxa" w:w="1542"/>
          </w:tcPr>
          <w:p>
            <w:pPr>
              <w:spacing w:after="0" w:line="252" w:lineRule="auto"/>
            </w:pPr>
            <w:r>
              <w:rPr>
                <w:sz w:val="17"/>
              </w:rPr>
              <w:t>Viewer</w:t>
            </w:r>
          </w:p>
        </w:tc>
        <w:tc>
          <w:tcPr>
            <w:tcW w:type="dxa" w:w="1996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451"/>
          </w:tcPr>
          <w:p>
            <w:pPr>
              <w:spacing w:after="0" w:line="252" w:lineRule="auto"/>
            </w:pPr>
            <w:r>
              <w:rPr>
                <w:sz w:val="17"/>
              </w:rPr>
              <w:t>Nein (403)</w:t>
            </w:r>
          </w:p>
        </w:tc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812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1542"/>
          </w:tcPr>
          <w:p>
            <w:pPr>
              <w:spacing w:after="0" w:line="252" w:lineRule="auto"/>
            </w:pPr>
            <w:r>
              <w:rPr>
                <w:sz w:val="17"/>
              </w:rPr>
              <w:t>Verkauf (</w:t>
            </w:r>
            <w:r>
              <w:rPr>
                <w:rFonts w:ascii="Consolas" w:hAnsi="Consolas" w:cs="Consolas" w:eastAsia="Consolas"/>
                <w:sz w:val="15"/>
              </w:rPr>
              <w:t>sales</w:t>
            </w:r>
            <w:r>
              <w:rPr>
                <w:sz w:val="17"/>
              </w:rPr>
              <w:t>)</w:t>
            </w:r>
          </w:p>
        </w:tc>
        <w:tc>
          <w:tcPr>
            <w:tcW w:type="dxa" w:w="1996"/>
          </w:tcPr>
          <w:p>
            <w:pPr>
              <w:spacing w:after="0" w:line="252" w:lineRule="auto"/>
            </w:pPr>
            <w:r>
              <w:rPr>
                <w:sz w:val="17"/>
              </w:rPr>
              <w:t>Ja, nur Verkaufspreise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451"/>
          </w:tcPr>
          <w:p>
            <w:pPr>
              <w:spacing w:after="0" w:line="252" w:lineRule="auto"/>
            </w:pPr>
            <w:r>
              <w:rPr>
                <w:sz w:val="17"/>
              </w:rPr>
              <w:t>Nein (403)</w:t>
            </w:r>
          </w:p>
        </w:tc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2812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1542"/>
          </w:tcPr>
          <w:p>
            <w:pPr>
              <w:spacing w:after="0" w:line="252" w:lineRule="auto"/>
            </w:pPr>
            <w:r>
              <w:rPr>
                <w:sz w:val="17"/>
              </w:rPr>
              <w:t>Editor</w:t>
            </w:r>
          </w:p>
        </w:tc>
        <w:tc>
          <w:tcPr>
            <w:tcW w:type="dxa" w:w="1996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45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812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1542"/>
          </w:tcPr>
          <w:p>
            <w:pPr>
              <w:spacing w:after="0" w:line="252" w:lineRule="auto"/>
            </w:pPr>
            <w:r>
              <w:rPr>
                <w:sz w:val="17"/>
              </w:rPr>
              <w:t>Admin</w:t>
            </w:r>
          </w:p>
        </w:tc>
        <w:tc>
          <w:tcPr>
            <w:tcW w:type="dxa" w:w="1996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1451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6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81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</w:tbl>
    <w:p>
      <w:pPr>
        <w:pStyle w:val="BeschriftungSSI"/>
      </w:pPr>
      <w:r>
        <w:t>Tab. 3: Rollen und Rechte</w:t>
      </w:r>
    </w:p>
    <w:p>
      <w:pPr>
        <w:pStyle w:val="Heading2"/>
      </w:pPr>
      <w:r>
        <w:t>4.2 Verkaufsansicht</w:t>
      </w:r>
    </w:p>
    <w:p>
      <w:r>
        <w:t xml:space="preserve">In der Rolle Verkauf erscheint oben der Chip </w:t>
      </w:r>
      <w:r>
        <w:rPr>
          <w:b/>
        </w:rPr>
        <w:t>Verkaufsansicht</w:t>
      </w:r>
      <w:r>
        <w:t xml:space="preserve">. Einkaufspreise, Margen, Kurs EUR→CHF, Material-Einkauf und der interne Deckungsbeitrag (gelbe Leiste </w:t>
      </w:r>
      <w:r>
        <w:rPr>
          <w:b/>
        </w:rPr>
        <w:t>DB intern</w:t>
      </w:r>
      <w:r>
        <w:t>) sind ausgeblendet. Die Ansicht eignet sich für Kundengespräche am Bildschirm.</w:t>
      </w:r>
    </w:p>
    <w:p>
      <w:pPr>
        <w:pStyle w:val="Heading2"/>
      </w:pPr>
      <w:r>
        <w:t>4.3 Excel-Export nur Editor/Admin</w:t>
      </w:r>
    </w:p>
    <w:p>
      <w:r>
        <w:t xml:space="preserve">Die </w:t>
      </w:r>
      <w:r>
        <w:rPr>
          <w:b/>
        </w:rPr>
        <w:t>Excel Preisliste</w:t>
      </w:r>
      <w:r>
        <w:t xml:space="preserve"> enthält interne Kosten (Kurs, Marge, EK/VK, DB). Der Server lehnt den Export für Viewer und Verkauf mit HTTP 403 ab: «Excel-Export enthält interne Kosten und ist für Verkauf/Ansicht nicht verfügbar.»</w:t>
      </w: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server.py</w:t>
      </w:r>
      <w:r>
        <w:rPr>
          <w:sz w:val="17"/>
        </w:rPr>
        <w:t xml:space="preserve"> (</w:t>
      </w:r>
      <w:r>
        <w:rPr>
          <w:rFonts w:ascii="Consolas" w:hAnsi="Consolas" w:cs="Consolas" w:eastAsia="Consolas"/>
          <w:sz w:val="15"/>
        </w:rPr>
        <w:t>_CUSTOMER_FACING_ROLES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/api/offers/{id}/excel</w:t>
      </w:r>
      <w:r>
        <w:rPr>
          <w:sz w:val="17"/>
        </w:rPr>
        <w:t xml:space="preserve">), </w:t>
      </w:r>
      <w:r>
        <w:rPr>
          <w:rFonts w:ascii="Consolas" w:hAnsi="Consolas" w:cs="Consolas" w:eastAsia="Consolas"/>
          <w:sz w:val="15"/>
        </w:rPr>
        <w:t>auth.py</w:t>
      </w:r>
      <w:r>
        <w:rPr>
          <w:sz w:val="17"/>
        </w:rPr>
        <w:t>, Anwenderhandbuch v1.0, Kap. 3</w:t>
      </w:r>
    </w:p>
    <w:p>
      <w:pPr>
        <w:pStyle w:val="Heading1"/>
      </w:pPr>
      <w:r>
        <w:t>5 Oberfläche und Navigation</w:t>
      </w:r>
    </w:p>
    <w:p>
      <w:pPr>
        <w:pStyle w:val="Heading2"/>
      </w:pPr>
      <w:r>
        <w:t>5.1 Kopfzeile und Navigation</w:t>
      </w:r>
    </w:p>
    <w:p>
      <w:pPr>
        <w:pStyle w:val="ListBullet"/>
      </w:pPr>
      <w:r>
        <w:t xml:space="preserve">Navigation: In der Kopfzeile steht </w:t>
      </w:r>
      <w:r>
        <w:rPr>
          <w:b/>
        </w:rPr>
        <w:t>Archiv</w:t>
      </w:r>
      <w:r>
        <w:t xml:space="preserve">; Lizenz, IT und Angebot erreichen Sie über die Ablaufleiste. Für Admins erscheinen zusätzlich </w:t>
      </w:r>
      <w:r>
        <w:rPr>
          <w:b/>
        </w:rPr>
        <w:t>Benutzer</w:t>
      </w:r>
      <w:r>
        <w:t xml:space="preserve"> und </w:t>
      </w:r>
      <w:r>
        <w:rPr>
          <w:b/>
        </w:rPr>
        <w:t>Stammdaten</w:t>
      </w:r>
      <w:r>
        <w:t>.</w:t>
      </w:r>
    </w:p>
    <w:p>
      <w:pPr>
        <w:pStyle w:val="ListBullet"/>
      </w:pPr>
      <w:r>
        <w:t xml:space="preserve">Ablaufleiste </w:t>
      </w:r>
      <w:r>
        <w:rPr>
          <w:b/>
        </w:rPr>
        <w:t>1 Lizenz / 2 IT / 3 Angebot</w:t>
      </w:r>
      <w:r>
        <w:t xml:space="preserve"> zeigt den aktuellen Schritt.</w:t>
      </w:r>
    </w:p>
    <w:p>
      <w:pPr>
        <w:pStyle w:val="ListBullet"/>
      </w:pPr>
      <w:r>
        <w:t xml:space="preserve">Schwarze Leiste mit Chip </w:t>
      </w:r>
      <w:r>
        <w:rPr>
          <w:b/>
        </w:rPr>
        <w:t>INTERN</w:t>
      </w:r>
      <w:r>
        <w:t xml:space="preserve"> unter der Kopfzeile: «Verkauf total Angebot (Lizenz + IT)» und </w:t>
      </w:r>
      <w:r>
        <w:rPr>
          <w:b/>
        </w:rPr>
        <w:t>DB intern</w:t>
      </w:r>
      <w:r>
        <w:t xml:space="preserve"> in % (nicht in der Verkaufsrolle).</w:t>
      </w:r>
    </w:p>
    <w:p>
      <w:pPr>
        <w:pStyle w:val="ListBullet"/>
      </w:pPr>
      <w:r>
        <w:t>Rechts neben den Formularen bleibt die Kalkulationsvorschau stehen (Positionen, Mengen, Verkauf, SLL-Badge, Totals).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30312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2-oberflaech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30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Kopfzeile, Ablaufleiste und Lizenzkalkulator</w:t>
      </w:r>
    </w:p>
    <w:p>
      <w:pPr>
        <w:pStyle w:val="Heading2"/>
      </w:pPr>
      <w:r>
        <w:t>5.2 Anzeigeoptionen</w:t>
      </w:r>
    </w:p>
    <w:p>
      <w:pPr>
        <w:pStyle w:val="ListBullet"/>
      </w:pPr>
      <w:r>
        <w:rPr>
          <w:b/>
        </w:rPr>
        <w:t>Oberfläche: Kompakt / Klassisch</w:t>
      </w:r>
      <w:r>
        <w:t xml:space="preserve"> (Benutzermenü) wechselt die Dichte der Oberfläche.</w:t>
      </w:r>
    </w:p>
    <w:p>
      <w:pPr>
        <w:pStyle w:val="ListBullet"/>
      </w:pPr>
      <w:r>
        <w:rPr>
          <w:b/>
        </w:rPr>
        <w:t>Darstellung: Hell / Dunkel / Auto</w:t>
      </w:r>
      <w:r>
        <w:t xml:space="preserve"> (Benutzermenü) wechselt die Darstellung. Das Kundenangebot bleibt immer hell (Drucklayout).</w:t>
      </w:r>
    </w:p>
    <w:p>
      <w:pPr>
        <w:pStyle w:val="Heading2"/>
      </w:pPr>
      <w:r>
        <w:t>5.3 Kalkulationswährung CHF/EUR</w:t>
      </w:r>
    </w:p>
    <w:p>
      <w:r>
        <w:t xml:space="preserve">Im Benutzermenü bzw. im Lizenzkalkulator unter </w:t>
      </w:r>
      <w:r>
        <w:rPr>
          <w:b/>
        </w:rPr>
        <w:t>Kalkulationsannahmen</w:t>
      </w:r>
      <w:r>
        <w:t xml:space="preserve"> wählen Sie </w:t>
      </w:r>
      <w:r>
        <w:rPr>
          <w:b/>
        </w:rPr>
        <w:t>CHF</w:t>
      </w:r>
      <w:r>
        <w:t xml:space="preserve"> oder </w:t>
      </w:r>
      <w:r>
        <w:rPr>
          <w:b/>
        </w:rPr>
        <w:t>EUR</w:t>
      </w:r>
      <w:r>
        <w:t xml:space="preserve">. Der Kurs EUR→CHF wirkt nur bei Kalkulation in CHF. Für IT und Reise existieren getrennte CHF- und EUR-Sätze in den Stammdaten (z. B. </w:t>
      </w:r>
      <w:r>
        <w:rPr>
          <w:rFonts w:ascii="Consolas" w:hAnsi="Consolas" w:cs="Consolas" w:eastAsia="Consolas"/>
          <w:sz w:val="18"/>
        </w:rPr>
        <w:t>IT-Stundensatz CHF</w:t>
      </w:r>
      <w:r>
        <w:t xml:space="preserve"> / </w:t>
      </w:r>
      <w:r>
        <w:rPr>
          <w:rFonts w:ascii="Consolas" w:hAnsi="Consolas" w:cs="Consolas" w:eastAsia="Consolas"/>
          <w:sz w:val="18"/>
        </w:rPr>
        <w:t>IT-Stundensatz EUR</w:t>
      </w:r>
      <w:r>
        <w:t>).</w:t>
      </w: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(Kopfzeile, Kalkulationswährung, Stammdaten-Hinweis «Der Kurs gilt nur bei Kalkulation in CHF»)</w:t>
      </w:r>
    </w:p>
    <w:p>
      <w:pPr>
        <w:pStyle w:val="Heading1"/>
      </w:pPr>
      <w:r>
        <w:t>6 Empfohlener Arbeitsablauf</w:t>
      </w:r>
    </w:p>
    <w:p>
      <w:r>
        <w:t>Kalkulieren Sie immer in dieser Reihenfolge. Die IT-Maske übernimmt Kunde, Projekt und passende Lizenz-Optionen aus dem Lizenzkalkulator; das Angebot setzt beide Module zusammen.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66"/>
        <w:gridCol w:w="2189"/>
        <w:gridCol w:w="6569"/>
      </w:tblGrid>
      <w:tr>
        <w:trPr>
          <w:tblHeader w:val="true"/>
        </w:trPr>
        <w:tc>
          <w:tcPr>
            <w:tcW w:type="dxa" w:w="7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21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  <w:tc>
          <w:tcPr>
            <w:tcW w:type="dxa" w:w="65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</w:tr>
      <w:tr>
        <w:tc>
          <w:tcPr>
            <w:tcW w:type="dxa" w:w="766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Lizenzkalkulator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Kunde, Marge, Instanz, Add-ons, Clients; Fest vs. Option; speichern</w:t>
            </w:r>
          </w:p>
        </w:tc>
      </w:tr>
      <w:tr>
        <w:tc>
          <w:tcPr>
            <w:tcW w:type="dxa" w:w="766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IT-Aufwand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Anlage, Optionen, Erweiterungen, Material, Reise; speichern</w:t>
            </w:r>
          </w:p>
        </w:tc>
      </w:tr>
      <w:tr>
        <w:tc>
          <w:tcPr>
            <w:tcW w:type="dxa" w:w="766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Angebot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Kommerzielles, Personen, Layout; Vorschau; Revision speichern; Export</w:t>
            </w:r>
          </w:p>
        </w:tc>
      </w:tr>
      <w:tr>
        <w:tc>
          <w:tcPr>
            <w:tcW w:type="dxa" w:w="766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19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Archiv</w:t>
            </w:r>
          </w:p>
        </w:tc>
        <w:tc>
          <w:tcPr>
            <w:tcW w:type="dxa" w:w="6569"/>
          </w:tcPr>
          <w:p>
            <w:pPr>
              <w:spacing w:after="0" w:line="252" w:lineRule="auto"/>
            </w:pPr>
            <w:r>
              <w:rPr>
                <w:sz w:val="17"/>
              </w:rPr>
              <w:t>Version wieder laden, nächste Revision erzeugen</w:t>
            </w:r>
          </w:p>
        </w:tc>
      </w:tr>
    </w:tbl>
    <w:p>
      <w:pPr>
        <w:pStyle w:val="BeschriftungSSI"/>
      </w:pPr>
      <w:r>
        <w:t>Tab. 4: Arbeitsablauf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Festumfang und Option</w:t>
            </w:r>
          </w:p>
          <w:p>
            <w:pPr>
              <w:spacing w:after="40"/>
            </w:pPr>
            <w:r>
              <w:rPr>
                <w:sz w:val="19"/>
              </w:rPr>
              <w:t xml:space="preserve">Positionen im Festumfang zählen zum Angebotstotal. Dieselbe Lizenz als </w:t>
            </w:r>
            <w:r>
              <w:rPr>
                <w:b/>
                <w:sz w:val="19"/>
              </w:rPr>
              <w:t>Option</w:t>
            </w:r>
            <w:r>
              <w:rPr>
                <w:sz w:val="19"/>
              </w:rPr>
              <w:t xml:space="preserve"> wird preislich ausgewiesen, fliesst aber nicht ins Gesamttotal. Der zugehörige IT-Aufwand gehört zur gleichen Option.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Anwenderhandbuch v1.0, Kap. 5</w:t>
      </w:r>
    </w:p>
    <w:p>
      <w:pPr>
        <w:pStyle w:val="Heading1"/>
      </w:pPr>
      <w:r>
        <w:t>7 Lizenzkalkulator</w:t>
      </w:r>
    </w:p>
    <w:p>
      <w:r>
        <w:t xml:space="preserve">Der Lizenzkalkulator ist ein Assistent mit den Schritten 1–5. Navigation unten mit </w:t>
      </w:r>
      <w:r>
        <w:rPr>
          <w:b/>
        </w:rPr>
        <w:t>Weiter</w:t>
      </w:r>
      <w:r>
        <w:t xml:space="preserve"> / </w:t>
      </w:r>
      <w:r>
        <w:rPr>
          <w:b/>
        </w:rPr>
        <w:t>Zurück</w:t>
      </w:r>
      <w:r>
        <w:t>. Notizen gelten für alle Schritte.</w:t>
      </w:r>
    </w:p>
    <w:p>
      <w:pPr>
        <w:pStyle w:val="Heading2"/>
      </w:pPr>
      <w:r>
        <w:t>7.1 Schritt 1 – Kunde und Verkaufskalkulation</w:t>
      </w:r>
    </w:p>
    <w:p>
      <w:pPr>
        <w:pStyle w:val="ListBullet"/>
      </w:pPr>
      <w:r>
        <w:t xml:space="preserve">Pflichtfeld ist </w:t>
      </w:r>
      <w:r>
        <w:rPr>
          <w:rFonts w:ascii="Consolas" w:hAnsi="Consolas" w:cs="Consolas" w:eastAsia="Consolas"/>
          <w:sz w:val="18"/>
        </w:rPr>
        <w:t>Firma</w:t>
      </w:r>
      <w:r>
        <w:t>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Adresse</w:t>
      </w:r>
      <w:r>
        <w:t xml:space="preserve"> mit Autovervollständigung aus dem Gebäudeadressverzeichnis (geo.admin.ch). Die Adresse wird später im IT-Aufwand für die Reisekosten verwendet (Start: Kesslerstrasse 1, 5037 Muhen).</w:t>
      </w:r>
    </w:p>
    <w:p>
      <w:pPr>
        <w:pStyle w:val="ListBullet"/>
      </w:pPr>
      <w:r>
        <w:t>Intern (nicht in der Verkaufsrolle):</w:t>
      </w:r>
    </w:p>
    <w:p>
      <w:pPr>
        <w:pStyle w:val="ListBullet2"/>
      </w:pPr>
      <w:r>
        <w:rPr>
          <w:b/>
        </w:rPr>
        <w:t>DB-Marge %</w:t>
      </w:r>
      <w:r>
        <w:t xml:space="preserve"> – Deckungsbeitrag vom Verkaufspreis, Standard 28 %.</w:t>
      </w:r>
    </w:p>
    <w:p>
      <w:pPr>
        <w:pStyle w:val="ListBullet2"/>
      </w:pPr>
      <w:r>
        <w:rPr>
          <w:b/>
        </w:rPr>
        <w:t>Kurs EUR→CHF</w:t>
      </w:r>
      <w:r>
        <w:t xml:space="preserve"> – Standard 0,93 (nur bei Kalkulationswährung CHF).</w:t>
      </w:r>
    </w:p>
    <w:p>
      <w:pPr>
        <w:pStyle w:val="ListBullet2"/>
      </w:pPr>
      <w:r>
        <w:rPr>
          <w:b/>
        </w:rPr>
        <w:t>SLL-Mengenrabatt</w:t>
      </w:r>
      <w:r>
        <w:t xml:space="preserve"> wird immer intern gerechnet; nur mit Häkchen </w:t>
      </w:r>
      <w:r>
        <w:rPr>
          <w:b/>
        </w:rPr>
        <w:t>SLL-Mengenrabatt im Verkaufspreis berücksichtigen</w:t>
      </w:r>
      <w:r>
        <w:t xml:space="preserve"> erscheint er im Kundenangebot und senkt den Verkaufspreis.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4697008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10-lizenz-marg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6970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4: Schritt 1 Kunde &amp; Projekt mit aufgeklappten Kalkulationsannahmen (DB-Marge %)</w:t>
      </w:r>
    </w:p>
    <w:p>
      <w:r>
        <w:t xml:space="preserve">Die Felder </w:t>
      </w:r>
      <w:r>
        <w:rPr>
          <w:rFonts w:ascii="Consolas" w:hAnsi="Consolas" w:cs="Consolas" w:eastAsia="Consolas"/>
          <w:sz w:val="18"/>
        </w:rPr>
        <w:t>Firma</w:t>
      </w:r>
      <w:r>
        <w:t xml:space="preserve"> (Pflicht), </w:t>
      </w:r>
      <w:r>
        <w:rPr>
          <w:rFonts w:ascii="Consolas" w:hAnsi="Consolas" w:cs="Consolas" w:eastAsia="Consolas"/>
          <w:sz w:val="18"/>
        </w:rPr>
        <w:t>Projektname</w:t>
      </w:r>
      <w:r>
        <w:t xml:space="preserve">, </w:t>
      </w:r>
      <w:r>
        <w:rPr>
          <w:rFonts w:ascii="Consolas" w:hAnsi="Consolas" w:cs="Consolas" w:eastAsia="Consolas"/>
          <w:sz w:val="18"/>
        </w:rPr>
        <w:t>Ansprechpartner</w:t>
      </w:r>
      <w:r>
        <w:t xml:space="preserve">, </w:t>
      </w:r>
      <w:r>
        <w:rPr>
          <w:rFonts w:ascii="Consolas" w:hAnsi="Consolas" w:cs="Consolas" w:eastAsia="Consolas"/>
          <w:sz w:val="18"/>
        </w:rPr>
        <w:t>E-Mail</w:t>
      </w:r>
      <w:r>
        <w:t xml:space="preserve">, </w:t>
      </w:r>
      <w:r>
        <w:rPr>
          <w:rFonts w:ascii="Consolas" w:hAnsi="Consolas" w:cs="Consolas" w:eastAsia="Consolas"/>
          <w:sz w:val="18"/>
        </w:rPr>
        <w:t>Telefon</w:t>
      </w:r>
      <w:r>
        <w:t xml:space="preserve"> und </w:t>
      </w:r>
      <w:r>
        <w:rPr>
          <w:rFonts w:ascii="Consolas" w:hAnsi="Consolas" w:cs="Consolas" w:eastAsia="Consolas"/>
          <w:sz w:val="18"/>
        </w:rPr>
        <w:t>Adresse</w:t>
      </w:r>
      <w:r>
        <w:t xml:space="preserve"> bilden den Projektkopf. Die Marge finden Sie im aufklappbaren Bereich </w:t>
      </w:r>
      <w:r>
        <w:rPr>
          <w:b/>
        </w:rPr>
        <w:t>Kalkulationsannahmen</w:t>
      </w:r>
      <w:r>
        <w:t xml:space="preserve"> → </w:t>
      </w:r>
      <w:r>
        <w:rPr>
          <w:b/>
        </w:rPr>
        <w:t>Verkaufskalkulation</w:t>
      </w:r>
      <w:r>
        <w:t xml:space="preserve"> (Feld </w:t>
      </w:r>
      <w:r>
        <w:rPr>
          <w:b/>
        </w:rPr>
        <w:t>DB-Marge %</w:t>
      </w:r>
      <w:r>
        <w:t xml:space="preserve"> «vom VK»).</w:t>
      </w:r>
    </w:p>
    <w:p>
      <w:r>
        <w:t>Kalkulationsformel (wie Excel):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Einkauf CHF = Einkauf EUR × Kurs EUR→CHF</w:t>
            </w:r>
          </w:p>
          <w:p>
            <w:pPr>
              <w:pStyle w:val="Code"/>
            </w:pPr>
            <w:r>
              <w:t>VK = EK / (1 − Marge)        Beispiel: 1 000 / (1 − 0,28) = 1 388,89 → gerundet 1 390 CHF</w:t>
            </w:r>
          </w:p>
        </w:tc>
      </w:tr>
    </w:tbl>
    <w:p>
      <w:pPr>
        <w:pStyle w:val="BeschriftungSSI"/>
      </w:pPr>
      <w:r>
        <w:t>Abb. 5: Verkaufspreis Lizenz</w:t>
      </w:r>
    </w:p>
    <w:p>
      <w:r>
        <w:t>Lizenzverkaufspreise werden auf 10 CHF gerundet. Einkaufspreise erscheinen nie im Kundenangebot.</w:t>
      </w:r>
    </w:p>
    <w:p>
      <w:pPr>
        <w:pStyle w:val="Heading2"/>
      </w:pPr>
      <w:r>
        <w:t>7.2 Schritte 2 und 3 – Angebotsart und Instanz</w:t>
      </w:r>
    </w:p>
    <w:p>
      <w:pPr>
        <w:pStyle w:val="ListBullet"/>
      </w:pPr>
      <w:r>
        <w:rPr>
          <w:b/>
        </w:rPr>
        <w:t>Neuinstallation</w:t>
      </w:r>
      <w:r>
        <w:t>: volle Lizenzen (Instanz, Clients, Add-ons).</w:t>
      </w:r>
    </w:p>
    <w:p>
      <w:pPr>
        <w:pStyle w:val="ListBullet"/>
      </w:pPr>
      <w:r>
        <w:rPr>
          <w:b/>
        </w:rPr>
        <w:t>Migration/Upgrade</w:t>
      </w:r>
      <w:r>
        <w:t>: Upgrade-Gebühr statt Instanz-/Client-Verkauf; Basic/Advanced steuert weiterhin IT und Reise-Paket.</w:t>
      </w:r>
    </w:p>
    <w:p>
      <w:pPr>
        <w:pStyle w:val="ListBullet"/>
      </w:pPr>
      <w:r>
        <w:t>Jede Instanz enthält 1 Opening Client und 1 Admin Client.</w:t>
      </w:r>
    </w:p>
    <w:p>
      <w:pPr>
        <w:pStyle w:val="ListBullet"/>
      </w:pPr>
      <w:r>
        <w:rPr>
          <w:b/>
        </w:rPr>
        <w:t>Basic</w:t>
      </w:r>
      <w:r>
        <w:t xml:space="preserve">: Standalone mit Touch-Prozessen. </w:t>
      </w:r>
      <w:r>
        <w:rPr>
          <w:b/>
        </w:rPr>
        <w:t>Advanced</w:t>
      </w:r>
      <w:r>
        <w:t>: zusätzlich Auftragsvorlagen und Order Handling (ERP/WCS) – Voraussetzung für Mobile Terminal, Put2Light, externe Lagerplätze und Kommissionierwagen.</w:t>
      </w:r>
    </w:p>
    <w:p>
      <w:pPr>
        <w:pStyle w:val="ListBullet"/>
      </w:pPr>
      <w:r>
        <w:t>Reise-Paket wechselt automatisch: Basic 5 Fahrten / 5 Verpflegungen, Advanced 7 / 7.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Anzahl Instanzen</w:t>
      </w:r>
      <w:r>
        <w:t xml:space="preserve"> (Fest) und </w:t>
      </w:r>
      <w:r>
        <w:rPr>
          <w:b/>
        </w:rPr>
        <w:t>Zusätzlich als Option</w:t>
      </w:r>
      <w:r>
        <w:t xml:space="preserve"> sind getrennt.</w:t>
      </w:r>
    </w:p>
    <w:p>
      <w:pPr>
        <w:pStyle w:val="Heading2"/>
      </w:pPr>
      <w:r>
        <w:t>7.3 Schritt 4 – Add-ons</w:t>
      </w:r>
    </w:p>
    <w:p>
      <w:r>
        <w:t xml:space="preserve">Add-ons gelten einmal je Instanz. Checkbox links = Festumfang, Zahlfeld </w:t>
      </w:r>
      <w:r>
        <w:rPr>
          <w:b/>
        </w:rPr>
        <w:t>Option</w:t>
      </w:r>
      <w:r>
        <w:t xml:space="preserve"> = zusätzliche Menge (ausgewiesen, nicht im Total). Nur für Advanced verfügbare Add-ons sind bei Basic gesperrt.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580252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3-lizenz-addons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8025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6: Add-on-Lizenzen mit Spalten Fest und Option</w:t>
      </w:r>
    </w:p>
    <w:p>
      <w:pPr>
        <w:pStyle w:val="Heading2"/>
      </w:pPr>
      <w:r>
        <w:t>7.4 Schritt 5 – Clients und Speichern</w:t>
      </w:r>
    </w:p>
    <w:p>
      <w:pPr>
        <w:pStyle w:val="ListBullet"/>
      </w:pPr>
      <w:r>
        <w:t>Zusätzliche Opening-/Admin-Clients, Mobile-Terminal (Advanced), Fremd-VLM-Typen, Testinstanzen – jeweils Fest und Option.</w:t>
      </w:r>
    </w:p>
    <w:p>
      <w:pPr>
        <w:pStyle w:val="ListBullet"/>
      </w:pPr>
      <w:r>
        <w:t>Upgrade-Gebühr: Jahre ohne Gewährleistung (Katalogpreis, nicht SLL-wirksam).</w:t>
      </w:r>
    </w:p>
    <w:p>
      <w:pPr>
        <w:pStyle w:val="ListBullet"/>
      </w:pPr>
      <w:r>
        <w:rPr>
          <w:b/>
        </w:rPr>
        <w:t>Neu berechnen</w:t>
      </w:r>
      <w:r>
        <w:t xml:space="preserve"> aktualisiert die Vorschau; </w:t>
      </w:r>
      <w:r>
        <w:rPr>
          <w:b/>
        </w:rPr>
        <w:t>Lizenzkalkulation speichern</w:t>
      </w:r>
      <w:r>
        <w:t xml:space="preserve"> schreibt die Kalkulation ins Archiv (noch kein Kundenangebot).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Schritte des Lizenz-Assistenten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Laut Screenshot vom 28.10.2026: </w:t>
            </w:r>
            <w:r>
              <w:rPr>
                <w:b/>
                <w:sz w:val="19"/>
              </w:rPr>
              <w:t>1 Kunde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2 Angebotsart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3 Instanz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4 Add-ons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5 Clients &amp; Upgrade</w:t>
            </w:r>
            <w:r>
              <w:rPr>
                <w:sz w:val="19"/>
              </w:rPr>
              <w:t xml:space="preserve"> (Handbuch v1.0 hatte sechs Schritte).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(Lizenz-Assistent, Kalkulationshinweis EP/(1−m)), </w:t>
      </w:r>
      <w:r>
        <w:rPr>
          <w:rFonts w:ascii="Consolas" w:hAnsi="Consolas" w:cs="Consolas" w:eastAsia="Consolas"/>
          <w:sz w:val="15"/>
        </w:rPr>
        <w:t>data/catalog.json</w:t>
      </w:r>
      <w:r>
        <w:rPr>
          <w:sz w:val="17"/>
        </w:rPr>
        <w:t xml:space="preserve"> (</w:t>
      </w:r>
      <w:r>
        <w:rPr>
          <w:rFonts w:ascii="Consolas" w:hAnsi="Consolas" w:cs="Consolas" w:eastAsia="Consolas"/>
          <w:sz w:val="15"/>
        </w:rPr>
        <w:t>eurToChfRate</w:t>
      </w:r>
      <w:r>
        <w:rPr>
          <w:sz w:val="17"/>
        </w:rPr>
        <w:t xml:space="preserve"> 0,93), Anwenderhandbuch v1.0, Kap. 6</w:t>
      </w:r>
    </w:p>
    <w:p>
      <w:pPr>
        <w:pStyle w:val="Heading1"/>
      </w:pPr>
      <w:r>
        <w:t>8 IT-Aufwand</w:t>
      </w:r>
    </w:p>
    <w:p>
      <w:r>
        <w:t>Die IT-Kalkulation folgt «Kalkulation WAMAS Installation.xlsm». Stundensatz, km und Verpflegung sind bereits Verkaufspreise (kein Währungskurs, standardmässig keine Marge).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4920945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4-it-kalkulatio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920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7: IT-Optionen mit Übernahme aus der Lizenz</w:t>
      </w:r>
    </w:p>
    <w:p>
      <w:pPr>
        <w:pStyle w:val="Heading2"/>
      </w:pPr>
      <w:r>
        <w:t>8.1 Schritte</w:t>
      </w:r>
    </w:p>
    <w:p>
      <w:r>
        <w:t xml:space="preserve">Die Reiter lauten laut Screenshot: </w:t>
      </w:r>
      <w:r>
        <w:rPr>
          <w:b/>
        </w:rPr>
        <w:t>1 Kunde</w:t>
      </w:r>
      <w:r>
        <w:t xml:space="preserve">, </w:t>
      </w:r>
      <w:r>
        <w:rPr>
          <w:b/>
        </w:rPr>
        <w:t>2 Anlage</w:t>
      </w:r>
      <w:r>
        <w:t xml:space="preserve">, </w:t>
      </w:r>
      <w:r>
        <w:rPr>
          <w:b/>
        </w:rPr>
        <w:t>3 Optionen</w:t>
      </w:r>
      <w:r>
        <w:t xml:space="preserve">, </w:t>
      </w:r>
      <w:r>
        <w:rPr>
          <w:b/>
        </w:rPr>
        <w:t>4 Erweiterungen</w:t>
      </w:r>
      <w:r>
        <w:t xml:space="preserve">, </w:t>
      </w:r>
      <w:r>
        <w:rPr>
          <w:b/>
        </w:rPr>
        <w:t>5 Material</w:t>
      </w:r>
      <w:r>
        <w:t xml:space="preserve">, </w:t>
      </w:r>
      <w:r>
        <w:rPr>
          <w:b/>
        </w:rPr>
        <w:t>6 Reise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Übernahme</w:t>
      </w:r>
      <w:r>
        <w:t>: Kunde/Projekt und passende Optionen aus dem Lizenzkalkulator (z. B. External Storage → Externe Lagerplätze, Advanced → Order Handling).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Anlage</w:t>
      </w:r>
      <w:r>
        <w:t xml:space="preserve">: </w:t>
      </w:r>
      <w:r>
        <w:rPr>
          <w:rFonts w:ascii="Consolas" w:hAnsi="Consolas" w:cs="Consolas" w:eastAsia="Consolas"/>
          <w:sz w:val="18"/>
        </w:rPr>
        <w:t>Anzahl Geräte</w:t>
      </w:r>
      <w:r>
        <w:t xml:space="preserve">, </w:t>
      </w:r>
      <w:r>
        <w:rPr>
          <w:rFonts w:ascii="Consolas" w:hAnsi="Consolas" w:cs="Consolas" w:eastAsia="Consolas"/>
          <w:sz w:val="18"/>
        </w:rPr>
        <w:t>Zonen</w:t>
      </w:r>
      <w:r>
        <w:t xml:space="preserve">, </w:t>
      </w:r>
      <w:r>
        <w:rPr>
          <w:rFonts w:ascii="Consolas" w:hAnsi="Consolas" w:cs="Consolas" w:eastAsia="Consolas"/>
          <w:sz w:val="18"/>
        </w:rPr>
        <w:t>Bedienöffnungen</w:t>
      </w:r>
      <w:r>
        <w:t xml:space="preserve"> – treiben Grundaufwand und Zuschläge.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Optionen</w:t>
      </w:r>
      <w:r>
        <w:t xml:space="preserve">: Spalte </w:t>
      </w:r>
      <w:r>
        <w:rPr>
          <w:b/>
        </w:rPr>
        <w:t>Option</w:t>
      </w:r>
      <w:r>
        <w:t xml:space="preserve"> = Aufwand nicht im IT-Total, aber mit der Lizenz im Angebotsblock «Optional».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Erweiterungen</w:t>
      </w:r>
      <w:r>
        <w:t xml:space="preserve"> (Zusatzpositionen): je Position </w:t>
      </w:r>
      <w:r>
        <w:rPr>
          <w:rFonts w:ascii="Consolas" w:hAnsi="Consolas" w:cs="Consolas" w:eastAsia="Consolas"/>
          <w:sz w:val="18"/>
        </w:rPr>
        <w:t>Titel</w:t>
      </w:r>
      <w:r>
        <w:t xml:space="preserve">, </w:t>
      </w:r>
      <w:r>
        <w:rPr>
          <w:rFonts w:ascii="Consolas" w:hAnsi="Consolas" w:cs="Consolas" w:eastAsia="Consolas"/>
          <w:sz w:val="18"/>
        </w:rPr>
        <w:t>Detailtext</w:t>
      </w:r>
      <w:r>
        <w:t xml:space="preserve"> und Verrechnung über </w:t>
      </w:r>
      <w:r>
        <w:rPr>
          <w:b/>
        </w:rPr>
        <w:t>Stunden</w:t>
      </w:r>
      <w:r>
        <w:t xml:space="preserve"> oder </w:t>
      </w:r>
      <w:r>
        <w:rPr>
          <w:b/>
        </w:rPr>
        <w:t>Betrag CHF</w:t>
      </w:r>
      <w:r>
        <w:t xml:space="preserve">; weitere mit </w:t>
      </w:r>
      <w:r>
        <w:rPr>
          <w:b/>
        </w:rPr>
        <w:t>+ Position hinzufügen</w:t>
      </w:r>
      <w:r>
        <w:t xml:space="preserve"> (Abb. 8).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Material</w:t>
      </w:r>
      <w:r>
        <w:t xml:space="preserve">: mit </w:t>
      </w:r>
      <w:r>
        <w:rPr>
          <w:b/>
        </w:rPr>
        <w:t>+ Material hinzufügen</w:t>
      </w:r>
      <w:r>
        <w:t xml:space="preserve">; Einkauf → Verkauf mit </w:t>
      </w:r>
      <w:r>
        <w:rPr>
          <w:b/>
        </w:rPr>
        <w:t>Material-Marge %</w:t>
      </w:r>
      <w:r>
        <w:t xml:space="preserve"> (DB vom VK, Standard 20 %) oder Montage als Stunden/Betrag.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Reise</w:t>
      </w:r>
      <w:r>
        <w:t xml:space="preserve">: Button </w:t>
      </w:r>
      <w:r>
        <w:rPr>
          <w:b/>
        </w:rPr>
        <w:t>Reisekosten aus Adresse berechnen</w:t>
      </w:r>
      <w:r>
        <w:t xml:space="preserve"> setzt Roundtrip-km und Fahrzeit ab Muhen. Fahrten/Verpflegung folgen dem Instanz-Paket (Basic 5/5, Advanced 7/7), manuell überschreibbar; </w:t>
      </w:r>
      <w:r>
        <w:rPr>
          <w:rFonts w:ascii="Consolas" w:hAnsi="Consolas" w:cs="Consolas" w:eastAsia="Consolas"/>
          <w:sz w:val="18"/>
        </w:rPr>
        <w:t>Übernachtungen</w:t>
      </w:r>
      <w:r>
        <w:t xml:space="preserve"> separat.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Neu berechnen</w:t>
      </w:r>
      <w:r>
        <w:t xml:space="preserve"> und </w:t>
      </w:r>
      <w:r>
        <w:rPr>
          <w:b/>
        </w:rPr>
        <w:t>IT-Kalkulation speichern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455433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12-it-erweiterunge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45543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8: Projektspezifische Erweiterungen (Zusatzpositionen)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455433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11-it-reis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45543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9: Reisekosten mit Fahrten, km, Fahrzeit, Übernachtungen, Verpflegungen</w:t>
      </w:r>
    </w:p>
    <w:p>
      <w:r>
        <w:t>Unter den Reisefeldern zeigt die Maske die aktuell gültigen Stammdatensätze an (Stundensatz, km, Verpflegung, Übernachtung, Material-Marge, Zusatz-Marge).</w:t>
      </w:r>
    </w:p>
    <w:p>
      <w:pPr>
        <w:pStyle w:val="Heading2"/>
      </w:pPr>
      <w:r>
        <w:t>8.2 Zusatz-Marge und Stundensatz</w:t>
      </w:r>
    </w:p>
    <w:p>
      <w:pPr>
        <w:pStyle w:val="ListBullet"/>
      </w:pPr>
      <w:r>
        <w:rPr>
          <w:b/>
        </w:rPr>
        <w:t>Zusatz-Marge %</w:t>
      </w:r>
      <w:r>
        <w:t xml:space="preserve"> (Standard 0) kann pro Kalkulation optional aufgeschlagen werden.</w:t>
      </w:r>
    </w:p>
    <w:p>
      <w:pPr>
        <w:pStyle w:val="ListBullet"/>
      </w:pPr>
      <w:r>
        <w:t xml:space="preserve">Der </w:t>
      </w:r>
      <w:r>
        <w:rPr>
          <w:b/>
        </w:rPr>
        <w:t>Stundensatz</w:t>
      </w:r>
      <w:r>
        <w:t xml:space="preserve"> ist in der IT-Maske nicht editierbar. Er wird ausschliesslich in den </w:t>
      </w:r>
      <w:r>
        <w:rPr>
          <w:b/>
        </w:rPr>
        <w:t>Stammdaten</w:t>
      </w:r>
      <w:r>
        <w:t xml:space="preserve"> gepflegt (Standard </w:t>
      </w:r>
      <w:r>
        <w:rPr>
          <w:rFonts w:ascii="Consolas" w:hAnsi="Consolas" w:cs="Consolas" w:eastAsia="Consolas"/>
          <w:sz w:val="18"/>
        </w:rPr>
        <w:t>IT-Stundensatz CHF</w:t>
      </w:r>
      <w:r>
        <w:t xml:space="preserve"> 210, </w:t>
      </w:r>
      <w:r>
        <w:rPr>
          <w:rFonts w:ascii="Consolas" w:hAnsi="Consolas" w:cs="Consolas" w:eastAsia="Consolas"/>
          <w:sz w:val="18"/>
        </w:rPr>
        <w:t>IT-Stundensatz EUR</w:t>
      </w:r>
      <w:r>
        <w:t xml:space="preserve"> 195).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Reisekosten-Sätze</w:t>
            </w:r>
          </w:p>
          <w:p>
            <w:pPr>
              <w:spacing w:after="40"/>
            </w:pPr>
            <w:r>
              <w:rPr>
                <w:sz w:val="19"/>
              </w:rPr>
              <w:t>Standard: km 1,40 CHF (1,30 EUR), Verpflegung 35 CHF (28 EUR), Übernachtung 150 CHF (140 EUR). Änderung nur in den Stammdaten.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Der Screenshot vom 28.10.2026 zeigt «Material-Marge 25%», der Katalog-Standard lautet 20 %. Ob der Wert in den Stammdaten der Live-Instanz geändert wurde, ist zu prüfen.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data/it_catalog.json</w:t>
      </w:r>
      <w:r>
        <w:rPr>
          <w:sz w:val="17"/>
        </w:rPr>
        <w:t xml:space="preserve"> (</w:t>
      </w:r>
      <w:r>
        <w:rPr>
          <w:rFonts w:ascii="Consolas" w:hAnsi="Consolas" w:cs="Consolas" w:eastAsia="Consolas"/>
          <w:sz w:val="15"/>
        </w:rPr>
        <w:t>rates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travelDefaults</w:t>
      </w:r>
      <w:r>
        <w:rPr>
          <w:sz w:val="17"/>
        </w:rPr>
        <w:t xml:space="preserve">),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static/app.js</w:t>
      </w:r>
    </w:p>
    <w:p>
      <w:pPr>
        <w:pStyle w:val="Heading1"/>
      </w:pPr>
      <w:r>
        <w:t>9 Angebot erzeugen und exportieren</w:t>
      </w:r>
    </w:p>
    <w:p>
      <w:r>
        <w:t xml:space="preserve">Unter </w:t>
      </w:r>
      <w:r>
        <w:rPr>
          <w:b/>
        </w:rPr>
        <w:t>Angebot</w:t>
      </w:r>
      <w:r>
        <w:t xml:space="preserve"> entsteht das kundenfertige Dokument. Reihenfolge: Schritte ausfüllen → </w:t>
      </w:r>
      <w:r>
        <w:rPr>
          <w:b/>
        </w:rPr>
        <w:t>Vorschau erzeugen</w:t>
      </w:r>
      <w:r>
        <w:t xml:space="preserve"> → prüfen → </w:t>
      </w:r>
      <w:r>
        <w:rPr>
          <w:b/>
        </w:rPr>
        <w:t>Revision speichern</w:t>
      </w:r>
      <w:r>
        <w:t xml:space="preserve"> → Export.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4155591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9-angebot-wizard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15559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Angebotsschritte Kommerziell bis Speichern</w:t>
      </w:r>
    </w:p>
    <w:p>
      <w:pPr>
        <w:pStyle w:val="Heading2"/>
      </w:pPr>
      <w:r>
        <w:t>9.1 Kommerziell</w:t>
      </w:r>
    </w:p>
    <w:p>
      <w:pPr>
        <w:pStyle w:val="ListBullet"/>
      </w:pPr>
      <w:r>
        <w:t xml:space="preserve">Projektrabatt als </w:t>
      </w:r>
      <w:r>
        <w:rPr>
          <w:b/>
        </w:rPr>
        <w:t>Rabatt %</w:t>
      </w:r>
      <w:r>
        <w:t xml:space="preserve"> oder </w:t>
      </w:r>
      <w:r>
        <w:rPr>
          <w:b/>
        </w:rPr>
        <w:t>Rabatt CHF</w:t>
      </w:r>
      <w:r>
        <w:t xml:space="preserve"> – gegenseitig exklusiv.</w:t>
      </w:r>
    </w:p>
    <w:p>
      <w:pPr>
        <w:pStyle w:val="ListBullet"/>
      </w:pPr>
      <w:r>
        <w:rPr>
          <w:b/>
        </w:rPr>
        <w:t>Oracle-Lizenzklausel</w:t>
      </w:r>
      <w:r>
        <w:t xml:space="preserve"> nur aktivieren, wenn Oracle Bestandteil ist (Verweis auf WAMAS EULA).</w:t>
      </w:r>
    </w:p>
    <w:p>
      <w:pPr>
        <w:pStyle w:val="Heading2"/>
      </w:pPr>
      <w:r>
        <w:t>9.2 Personen und Unterschriften</w:t>
      </w:r>
    </w:p>
    <w:p>
      <w:pPr>
        <w:pStyle w:val="ListBullet"/>
      </w:pPr>
      <w:r>
        <w:t>Zwei SSI-Ansprechpartner für Cover/Kopfzeile.</w:t>
      </w:r>
    </w:p>
    <w:p>
      <w:pPr>
        <w:pStyle w:val="ListBullet"/>
      </w:pPr>
      <w:r>
        <w:t>Zwei Unterschriften, unabhängig von den Cover-Kontakten.</w:t>
      </w:r>
    </w:p>
    <w:p>
      <w:pPr>
        <w:pStyle w:val="Heading2"/>
      </w:pPr>
      <w:r>
        <w:t>9.3 Layout</w:t>
      </w:r>
    </w:p>
    <w:p>
      <w:r>
        <w:rPr>
          <w:b/>
        </w:rPr>
        <w:t>Vorschau + SSI-Cover</w:t>
      </w:r>
      <w:r>
        <w:t xml:space="preserve"> (Standard) oder </w:t>
      </w:r>
      <w:r>
        <w:rPr>
          <w:b/>
        </w:rPr>
        <w:t>Klassische Logimat-Vorlage</w:t>
      </w:r>
      <w:r>
        <w:t>.</w:t>
      </w:r>
    </w:p>
    <w:p>
      <w:pPr>
        <w:pStyle w:val="Heading2"/>
      </w:pPr>
      <w:r>
        <w:t>9.4 Vorschau</w:t>
      </w:r>
    </w:p>
    <w:p>
      <w:r>
        <w:t xml:space="preserve">Die A4-Vorschau zeigt Konfigurationszeile, Softwarelizenzen (Total A), IT-Aufwand (Total B), optional Material (Total C), Gesamttotal netto exkl. MwSt. (ohne Optionen) sowie den Block </w:t>
      </w:r>
      <w:r>
        <w:rPr>
          <w:b/>
        </w:rPr>
        <w:t>Optional – Lizenzen und IT-Aufwand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21625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5-angebot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216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Angebotsblatt Leistungsumfang &amp; Preise</w:t>
      </w:r>
    </w:p>
    <w:p>
      <w:pPr>
        <w:pStyle w:val="Heading2"/>
      </w:pPr>
      <w:r>
        <w:t>9.5 Revision</w:t>
      </w:r>
    </w:p>
    <w:p>
      <w:r>
        <w:t>Beim Speichern wählen Sie den Versions-Index (A, B, C …). Das Archiv gruppiert die Serie im selben Projektordner (z. B. CH-26-00538-A, -B).</w:t>
      </w:r>
    </w:p>
    <w:p>
      <w:pPr>
        <w:pStyle w:val="Heading2"/>
      </w:pPr>
      <w:r>
        <w:t>9.6 Export</w:t>
      </w:r>
    </w:p>
    <w:p>
      <w:r>
        <w:t xml:space="preserve">Die Buttons </w:t>
      </w:r>
      <w:r>
        <w:rPr>
          <w:b/>
        </w:rPr>
        <w:t>Word (.docx)</w:t>
      </w:r>
      <w:r>
        <w:t xml:space="preserve">, </w:t>
      </w:r>
      <w:r>
        <w:rPr>
          <w:b/>
        </w:rPr>
        <w:t>PDF 1:1 (aus Word)</w:t>
      </w:r>
      <w:r>
        <w:t xml:space="preserve"> und </w:t>
      </w:r>
      <w:r>
        <w:rPr>
          <w:b/>
        </w:rPr>
        <w:t>Excel Preisliste</w:t>
      </w:r>
      <w:r>
        <w:t xml:space="preserve"> werden erst nach </w:t>
      </w:r>
      <w:r>
        <w:rPr>
          <w:b/>
        </w:rPr>
        <w:t>Revision speichern</w:t>
      </w:r>
      <w:r>
        <w:t xml:space="preserve"> freigeschaltet; </w:t>
      </w:r>
      <w:r>
        <w:rPr>
          <w:b/>
        </w:rPr>
        <w:t>Revision speichern</w:t>
      </w:r>
      <w:r>
        <w:t xml:space="preserve"> und </w:t>
      </w:r>
      <w:r>
        <w:rPr>
          <w:b/>
        </w:rPr>
        <w:t>Bildschirm-Vorschau drucken</w:t>
      </w:r>
      <w:r>
        <w:t xml:space="preserve"> erst nach </w:t>
      </w:r>
      <w:r>
        <w:rPr>
          <w:b/>
        </w:rPr>
        <w:t>Vorschau erzeugen</w:t>
      </w:r>
      <w:r>
        <w:t xml:space="preserve">. Das Layout wählen Sie im Feld </w:t>
      </w:r>
      <w:r>
        <w:rPr>
          <w:b/>
        </w:rPr>
        <w:t>Word-/PDF-Layout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30312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13-export-buttons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303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Word-/PDF-Layout und Exportbuttons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05"/>
        <w:gridCol w:w="6016"/>
        <w:gridCol w:w="1303"/>
      </w:tblGrid>
      <w:tr>
        <w:trPr>
          <w:tblHeader w:val="true"/>
        </w:trPr>
        <w:tc>
          <w:tcPr>
            <w:tcW w:type="dxa" w:w="220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Button</w:t>
            </w:r>
          </w:p>
        </w:tc>
        <w:tc>
          <w:tcPr>
            <w:tcW w:type="dxa" w:w="60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Ergebnis</w:t>
            </w:r>
          </w:p>
        </w:tc>
        <w:tc>
          <w:tcPr>
            <w:tcW w:type="dxa" w:w="13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Rollen</w:t>
            </w:r>
          </w:p>
        </w:tc>
      </w:tr>
      <w:tr>
        <w:tc>
          <w:tcPr>
            <w:tcW w:type="dxa" w:w="22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Word (.docx)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sz w:val="17"/>
              </w:rPr>
              <w:t>DOCX mit SSI-Titelseite, Philosophie aus Logimat-Vorlage und Vorschau-Inhalt</w:t>
            </w:r>
          </w:p>
        </w:tc>
        <w:tc>
          <w:tcPr>
            <w:tcW w:type="dxa" w:w="1303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22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PDF 1:1 (aus Word)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sz w:val="17"/>
              </w:rPr>
              <w:t>PDF aus dem Word (LibreOffice oder Microsoft Word nötig) – massgeblich für den Kunden</w:t>
            </w:r>
          </w:p>
        </w:tc>
        <w:tc>
          <w:tcPr>
            <w:tcW w:type="dxa" w:w="1303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  <w:tr>
        <w:tc>
          <w:tcPr>
            <w:tcW w:type="dxa" w:w="220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Excel Preisliste</w:t>
            </w:r>
          </w:p>
        </w:tc>
        <w:tc>
          <w:tcPr>
            <w:tcW w:type="dxa" w:w="6015"/>
          </w:tcPr>
          <w:p>
            <w:pPr>
              <w:spacing w:after="0" w:line="252" w:lineRule="auto"/>
            </w:pPr>
            <w:r>
              <w:rPr>
                <w:sz w:val="17"/>
              </w:rPr>
              <w:t>Interne Preisliste mit Formeln (Kurs, Marge, EK/VK, DB)</w:t>
            </w:r>
          </w:p>
        </w:tc>
        <w:tc>
          <w:tcPr>
            <w:tcW w:type="dxa" w:w="1303"/>
          </w:tcPr>
          <w:p>
            <w:pPr>
              <w:spacing w:after="0" w:line="252" w:lineRule="auto"/>
            </w:pPr>
            <w:r>
              <w:rPr>
                <w:sz w:val="17"/>
              </w:rPr>
              <w:t>Editor, Admin</w:t>
            </w:r>
          </w:p>
        </w:tc>
      </w:tr>
    </w:tbl>
    <w:p>
      <w:pPr>
        <w:pStyle w:val="BeschriftungSSI"/>
      </w:pPr>
      <w:r>
        <w:t>Tab. 5: Exportformate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 Excel-Import</w:t>
            </w:r>
          </w:p>
          <w:p>
            <w:pPr>
              <w:spacing w:after="40"/>
            </w:pPr>
            <w:r>
              <w:rPr>
                <w:sz w:val="19"/>
              </w:rPr>
              <w:t>Excel ist nur ein Export. Eine Kalkulation kann nicht aus Excel zurück in die Anwendung importiert werden.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Rechnung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Eine Rechnungsfunktion (Faktura) ist in den Quellen nicht vorhanden. Die Anwendung erzeugt Angebote; Rechnungen werden ausserhalb erstellt. Die Lizenz- und IT-Vorschau haben zusätzlich je </w:t>
            </w:r>
            <w:r>
              <w:rPr>
                <w:b/>
                <w:sz w:val="19"/>
              </w:rPr>
              <w:t>Excel</w:t>
            </w:r>
            <w:r>
              <w:rPr>
                <w:sz w:val="19"/>
              </w:rPr>
              <w:t xml:space="preserve"> und </w:t>
            </w:r>
            <w:r>
              <w:rPr>
                <w:b/>
                <w:sz w:val="19"/>
              </w:rPr>
              <w:t>Drucken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(Angebotsschritte, Exportbuttons), </w:t>
      </w:r>
      <w:r>
        <w:rPr>
          <w:rFonts w:ascii="Consolas" w:hAnsi="Consolas" w:cs="Consolas" w:eastAsia="Consolas"/>
          <w:sz w:val="15"/>
        </w:rPr>
        <w:t>docx_export.py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pdf_export.py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excel_export.py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server.py</w:t>
      </w:r>
    </w:p>
    <w:p>
      <w:pPr>
        <w:pStyle w:val="Heading1"/>
      </w:pPr>
      <w:r>
        <w:t>10 Archiv</w:t>
      </w:r>
    </w:p>
    <w:p>
      <w:pPr>
        <w:pStyle w:val="ListBullet"/>
      </w:pPr>
      <w:r>
        <w:t>Listet gespeicherte Lizenz-/IT-Kalkulationen und Gesamtangebote, gruppiert in Projektordnern (Index A, B …).</w:t>
      </w:r>
    </w:p>
    <w:p>
      <w:pPr>
        <w:pStyle w:val="ListBullet"/>
      </w:pPr>
      <w:r>
        <w:t>Suche über Projekt, Firma, Nummer oder Index.</w:t>
      </w:r>
    </w:p>
    <w:p>
      <w:pPr>
        <w:pStyle w:val="ListBullet"/>
      </w:pPr>
      <w:r>
        <w:rPr>
          <w:b/>
        </w:rPr>
        <w:t>Bearbeiten</w:t>
      </w:r>
      <w:r>
        <w:t xml:space="preserve"> lädt die Version in die Masken; danach unter </w:t>
      </w:r>
      <w:r>
        <w:rPr>
          <w:b/>
        </w:rPr>
        <w:t>Angebot</w:t>
      </w:r>
      <w:r>
        <w:t xml:space="preserve"> die nächste Revision erzeugen.</w:t>
      </w:r>
    </w:p>
    <w:p>
      <w:pPr>
        <w:pStyle w:val="ListBullet"/>
      </w:pPr>
      <w:r>
        <w:t xml:space="preserve">Löschen und </w:t>
      </w:r>
      <w:r>
        <w:rPr>
          <w:b/>
        </w:rPr>
        <w:t>Auswahl löschen</w:t>
      </w:r>
      <w:r>
        <w:t xml:space="preserve"> (nach Bestätigung) nur für Admin.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8818583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6-archiv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881858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Archiv mit Projektsuche und Versionen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Anwenderhandbuch v1.0, Kap. 9; </w:t>
      </w:r>
      <w:r>
        <w:rPr>
          <w:rFonts w:ascii="Consolas" w:hAnsi="Consolas" w:cs="Consolas" w:eastAsia="Consolas"/>
          <w:sz w:val="15"/>
        </w:rPr>
        <w:t>server.py</w:t>
      </w:r>
      <w:r>
        <w:rPr>
          <w:sz w:val="17"/>
        </w:rPr>
        <w:t xml:space="preserve"> (Löschen)</w:t>
      </w:r>
    </w:p>
    <w:p>
      <w:pPr>
        <w:pStyle w:val="Heading1"/>
      </w:pPr>
      <w:r>
        <w:t>11 Benutzerverwaltung (Admin)</w:t>
      </w:r>
    </w:p>
    <w:p>
      <w:r>
        <w:t xml:space="preserve">Nur Administratoren sehen </w:t>
      </w:r>
      <w:r>
        <w:rPr>
          <w:b/>
        </w:rPr>
        <w:t>Benutzer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Neuer Benutzer</w:t>
      </w:r>
      <w:r>
        <w:t xml:space="preserve"> klicken.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Name</w:t>
      </w:r>
      <w:r>
        <w:t xml:space="preserve">, </w:t>
      </w:r>
      <w:r>
        <w:rPr>
          <w:rFonts w:ascii="Consolas" w:hAnsi="Consolas" w:cs="Consolas" w:eastAsia="Consolas"/>
          <w:sz w:val="18"/>
        </w:rPr>
        <w:t>Benutzername</w:t>
      </w:r>
      <w:r>
        <w:t xml:space="preserve">, </w:t>
      </w:r>
      <w:r>
        <w:rPr>
          <w:rFonts w:ascii="Consolas" w:hAnsi="Consolas" w:cs="Consolas" w:eastAsia="Consolas"/>
          <w:sz w:val="18"/>
        </w:rPr>
        <w:t>E-Mail</w:t>
      </w:r>
      <w:r>
        <w:t xml:space="preserve">, </w:t>
      </w:r>
      <w:r>
        <w:rPr>
          <w:rFonts w:ascii="Consolas" w:hAnsi="Consolas" w:cs="Consolas" w:eastAsia="Consolas"/>
          <w:sz w:val="18"/>
        </w:rPr>
        <w:t>Rolle</w:t>
      </w:r>
      <w:r>
        <w:t xml:space="preserve"> (Viewer, Verkauf, Editor, Admin) und </w:t>
      </w:r>
      <w:r>
        <w:rPr>
          <w:rFonts w:ascii="Consolas" w:hAnsi="Consolas" w:cs="Consolas" w:eastAsia="Consolas"/>
          <w:sz w:val="18"/>
        </w:rPr>
        <w:t>Passwort</w:t>
      </w:r>
      <w:r>
        <w:t xml:space="preserve"> erfassen.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Speichern. Konten können später deaktiviert, gelöscht oder mit neuem Passwort versehen werden.</w:t>
      </w:r>
    </w:p>
    <w:p>
      <w:r>
        <w:t xml:space="preserve">Die </w:t>
      </w:r>
      <w:r>
        <w:rPr>
          <w:rFonts w:ascii="Consolas" w:hAnsi="Consolas" w:cs="Consolas" w:eastAsia="Consolas"/>
          <w:sz w:val="18"/>
        </w:rPr>
        <w:t>E-Mail</w:t>
      </w:r>
      <w:r>
        <w:t xml:space="preserve"> ist Voraussetzung für </w:t>
      </w:r>
      <w:r>
        <w:rPr>
          <w:b/>
        </w:rPr>
        <w:t>Passwort vergessen?</w:t>
      </w:r>
      <w:r>
        <w:t xml:space="preserve">. Deaktivierte Konten können sich nicht anmelden. Persistenz ausschliesslich in </w:t>
      </w:r>
      <w:r>
        <w:rPr>
          <w:rFonts w:ascii="Consolas" w:hAnsi="Consolas" w:cs="Consolas" w:eastAsia="Consolas"/>
          <w:sz w:val="18"/>
        </w:rPr>
        <w:t>data/users.json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Älterer Screenshot</w:t>
            </w:r>
          </w:p>
          <w:p>
            <w:pPr>
              <w:spacing w:after="40"/>
            </w:pPr>
            <w:r>
              <w:rPr>
                <w:sz w:val="19"/>
              </w:rPr>
              <w:t>Abb. 14 stammt aus dem Stand August 2026 oder früher (ggf. altes Design). Die Admin-Ansicht konnte am 28.10.2026 nicht neu aufgenommen werden (Screenshot-Zugang nur Editor).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0500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7-benutze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0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Benutzerliste mit Rollen (älterer Screenshot, Admin-Ansicht)</w:t>
      </w: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auth_users.py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auth.py</w:t>
      </w:r>
      <w:r>
        <w:rPr>
          <w:sz w:val="17"/>
        </w:rPr>
        <w:t>, Anwenderhandbuch v1.0, Kap. 10</w:t>
      </w:r>
    </w:p>
    <w:p>
      <w:pPr>
        <w:pStyle w:val="Heading1"/>
      </w:pPr>
      <w:r>
        <w:t>12 Stammdaten (Admin)</w:t>
      </w:r>
    </w:p>
    <w:p>
      <w:r>
        <w:t xml:space="preserve">Stammdaten gelten für </w:t>
      </w:r>
      <w:r>
        <w:rPr>
          <w:b/>
        </w:rPr>
        <w:t>neue</w:t>
      </w:r>
      <w:r>
        <w:t xml:space="preserve"> Kalkulationen. Gespeicherte Archive bleiben unverändert, bis sie neu berechnet und gespeichert werden. Nach Änderungen </w:t>
      </w:r>
      <w:r>
        <w:rPr>
          <w:b/>
        </w:rPr>
        <w:t>Stammdaten speichern</w:t>
      </w:r>
      <w:r>
        <w:t xml:space="preserve">; </w:t>
      </w:r>
      <w:r>
        <w:rPr>
          <w:b/>
        </w:rPr>
        <w:t>Aktualisieren</w:t>
      </w:r>
      <w:r>
        <w:t xml:space="preserve"> lädt die Werte neu.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Älterer Screenshot</w:t>
            </w:r>
          </w:p>
          <w:p>
            <w:pPr>
              <w:spacing w:after="40"/>
            </w:pPr>
            <w:r>
              <w:rPr>
                <w:sz w:val="19"/>
              </w:rPr>
              <w:t>Abb. 15 stammt aus dem Stand August 2026 oder früher (ggf. altes Design), Admin-Ansicht.</w:t>
            </w:r>
          </w:p>
        </w:tc>
      </w:tr>
    </w:tbl>
    <w:p>
      <w:pPr>
        <w:spacing w:after="40"/>
      </w:pP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10500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-08-stammdaten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10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15: Stammdaten für Kurs, Margen, IT-Sätze und Reise (älterer Screenshot, Admin-Ansicht)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951"/>
        <w:gridCol w:w="5098"/>
        <w:gridCol w:w="1475"/>
      </w:tblGrid>
      <w:tr>
        <w:trPr>
          <w:tblHeader w:val="true"/>
        </w:trPr>
        <w:tc>
          <w:tcPr>
            <w:tcW w:type="dxa" w:w="295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Gruppe</w:t>
            </w:r>
          </w:p>
        </w:tc>
        <w:tc>
          <w:tcPr>
            <w:tcW w:type="dxa" w:w="509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Standard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Währung &amp; Lizenz-Marge</w:t>
            </w: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Kurs EUR→CHF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0,93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DB-Marge Lizenz % (vom VK)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28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IT-Sätze &amp; Margen</w:t>
            </w: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IT-Stundensatz CHF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EUR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210 / 195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Interner Kostenfaktor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1,25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Zusatz-Marge IT %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0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Material-Marge %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20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Reisekosten</w:t>
            </w: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km-Satz CHF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EUR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1,40 / 1,30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Verpflegung CHF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EUR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35 / 28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Übernachtung CHF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EUR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150 / 140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  <w:r>
              <w:rPr>
                <w:sz w:val="17"/>
              </w:rPr>
              <w:t>Reise-Pakete</w:t>
            </w: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Basic – Fahrten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Verpflegungen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5 / 5</w:t>
            </w:r>
          </w:p>
        </w:tc>
      </w:tr>
      <w:tr>
        <w:tc>
          <w:tcPr>
            <w:tcW w:type="dxa" w:w="2951"/>
          </w:tcPr>
          <w:p>
            <w:pPr>
              <w:spacing w:after="0" w:line="252" w:lineRule="auto"/>
            </w:pPr>
          </w:p>
        </w:tc>
        <w:tc>
          <w:tcPr>
            <w:tcW w:type="dxa" w:w="5098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Advanced – Fahrten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Verpflegungen</w:t>
            </w:r>
          </w:p>
        </w:tc>
        <w:tc>
          <w:tcPr>
            <w:tcW w:type="dxa" w:w="1476"/>
          </w:tcPr>
          <w:p>
            <w:pPr>
              <w:spacing w:after="0" w:line="252" w:lineRule="auto"/>
            </w:pPr>
            <w:r>
              <w:rPr>
                <w:sz w:val="17"/>
              </w:rPr>
              <w:t>7 / 7</w:t>
            </w:r>
          </w:p>
        </w:tc>
      </w:tr>
    </w:tbl>
    <w:p>
      <w:pPr>
        <w:pStyle w:val="BeschriftungSSI"/>
      </w:pPr>
      <w:r>
        <w:t>Tab. 6: Stammdaten-Felder (Standardwerte laut Katalog)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Wo wird was geändert?</w:t>
            </w:r>
          </w:p>
          <w:p>
            <w:pPr>
              <w:spacing w:after="40"/>
            </w:pPr>
            <w:r>
              <w:rPr>
                <w:sz w:val="19"/>
              </w:rPr>
              <w:t xml:space="preserve">Marge für ein einzelnes Projekt: </w:t>
            </w:r>
            <w:r>
              <w:rPr>
                <w:b/>
                <w:sz w:val="19"/>
              </w:rPr>
              <w:t>Lizenzkalkulator</w:t>
            </w:r>
            <w:r>
              <w:rPr>
                <w:sz w:val="19"/>
              </w:rPr>
              <w:t xml:space="preserve"> Schritt 1 (</w:t>
            </w:r>
            <w:r>
              <w:rPr>
                <w:b/>
                <w:sz w:val="19"/>
              </w:rPr>
              <w:t>DB-Marge %</w:t>
            </w:r>
            <w:r>
              <w:rPr>
                <w:sz w:val="19"/>
              </w:rPr>
              <w:t xml:space="preserve">) bzw. </w:t>
            </w:r>
            <w:r>
              <w:rPr>
                <w:b/>
                <w:sz w:val="19"/>
              </w:rPr>
              <w:t>IT-Aufwand</w:t>
            </w:r>
            <w:r>
              <w:rPr>
                <w:sz w:val="19"/>
              </w:rPr>
              <w:t xml:space="preserve"> (</w:t>
            </w:r>
            <w:r>
              <w:rPr>
                <w:b/>
                <w:sz w:val="19"/>
              </w:rPr>
              <w:t>Zusatz-Marge %</w:t>
            </w:r>
            <w:r>
              <w:rPr>
                <w:sz w:val="19"/>
              </w:rPr>
              <w:t xml:space="preserve">, </w:t>
            </w:r>
            <w:r>
              <w:rPr>
                <w:b/>
                <w:sz w:val="19"/>
              </w:rPr>
              <w:t>Material-Marge %</w:t>
            </w:r>
            <w:r>
              <w:rPr>
                <w:sz w:val="19"/>
              </w:rPr>
              <w:t xml:space="preserve">). Stundensatz und Reisesätze: nur </w:t>
            </w:r>
            <w:r>
              <w:rPr>
                <w:b/>
                <w:sz w:val="19"/>
              </w:rPr>
              <w:t>Stammdaten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rFonts w:ascii="Consolas" w:hAnsi="Consolas" w:cs="Consolas" w:eastAsia="Consolas"/>
          <w:sz w:val="15"/>
        </w:rPr>
        <w:t>static/index.html</w:t>
      </w:r>
      <w:r>
        <w:rPr>
          <w:sz w:val="17"/>
        </w:rPr>
        <w:t xml:space="preserve"> (Stammdaten-Formular), </w:t>
      </w:r>
      <w:r>
        <w:rPr>
          <w:rFonts w:ascii="Consolas" w:hAnsi="Consolas" w:cs="Consolas" w:eastAsia="Consolas"/>
          <w:sz w:val="15"/>
        </w:rPr>
        <w:t>data/it_catalog.json</w:t>
      </w:r>
      <w:r>
        <w:rPr>
          <w:sz w:val="17"/>
        </w:rPr>
        <w:t xml:space="preserve">, </w:t>
      </w:r>
      <w:r>
        <w:rPr>
          <w:rFonts w:ascii="Consolas" w:hAnsi="Consolas" w:cs="Consolas" w:eastAsia="Consolas"/>
          <w:sz w:val="15"/>
        </w:rPr>
        <w:t>data/catalog.json</w:t>
      </w:r>
    </w:p>
    <w:p>
      <w:pPr>
        <w:pStyle w:val="Heading1"/>
      </w:pPr>
      <w:r>
        <w:t>13 Tipps und Fehlerbilder</w:t>
      </w:r>
    </w:p>
    <w:p>
      <w:pPr>
        <w:pStyle w:val="ListBullet"/>
      </w:pPr>
      <w:r>
        <w:t xml:space="preserve">Nach UI-Updates Seite mit </w:t>
      </w:r>
      <w:r>
        <w:rPr>
          <w:b/>
        </w:rPr>
        <w:t>Strg+F5</w:t>
      </w:r>
      <w:r>
        <w:t xml:space="preserve"> neu laden (Cache).</w:t>
      </w:r>
    </w:p>
    <w:p>
      <w:pPr>
        <w:pStyle w:val="ListBullet"/>
      </w:pPr>
      <w:r>
        <w:t xml:space="preserve">Nach Katalog- oder Textänderungen erneut </w:t>
      </w:r>
      <w:r>
        <w:rPr>
          <w:b/>
        </w:rPr>
        <w:t>Vorschau erzeugen</w:t>
      </w:r>
      <w:r>
        <w:t>.</w:t>
      </w:r>
    </w:p>
    <w:p>
      <w:pPr>
        <w:pStyle w:val="ListBullet"/>
      </w:pPr>
      <w:r>
        <w:t xml:space="preserve">Leere Vorschau: zuerst Lizenz und IT berechnen/speichern, dann </w:t>
      </w:r>
      <w:r>
        <w:rPr>
          <w:b/>
        </w:rPr>
        <w:t>Vorschau erzeugen</w:t>
      </w:r>
      <w:r>
        <w:t>.</w:t>
      </w:r>
    </w:p>
    <w:p>
      <w:pPr>
        <w:pStyle w:val="ListBullet"/>
      </w:pPr>
      <w:r>
        <w:t xml:space="preserve">Optionen fehlen im Optional-Block: Add-on als </w:t>
      </w:r>
      <w:r>
        <w:rPr>
          <w:b/>
        </w:rPr>
        <w:t>Option</w:t>
      </w:r>
      <w:r>
        <w:t xml:space="preserve"> (nicht nur Fest) setzen, IT-Spalte </w:t>
      </w:r>
      <w:r>
        <w:rPr>
          <w:b/>
        </w:rPr>
        <w:t>Option</w:t>
      </w:r>
      <w:r>
        <w:t xml:space="preserve"> prüfen.</w:t>
      </w:r>
    </w:p>
    <w:p>
      <w:pPr>
        <w:pStyle w:val="ListBullet"/>
      </w:pPr>
      <w:r>
        <w:t xml:space="preserve">Reisekosten 0: Kundenadresse erfassen und </w:t>
      </w:r>
      <w:r>
        <w:rPr>
          <w:b/>
        </w:rPr>
        <w:t>Reisekosten aus Adresse berechnen</w:t>
      </w:r>
      <w:r>
        <w:t>.</w:t>
      </w:r>
    </w:p>
    <w:p>
      <w:pPr>
        <w:pStyle w:val="ListBullet"/>
      </w:pPr>
      <w:r>
        <w:rPr>
          <w:b/>
        </w:rPr>
        <w:t>PDF 1:1</w:t>
      </w:r>
      <w:r>
        <w:t xml:space="preserve"> grau/fehlerhaft: Microsoft Word oder LibreOffice muss auf dem Server installiert sein.</w:t>
      </w:r>
    </w:p>
    <w:p>
      <w:pPr>
        <w:pStyle w:val="ListBullet"/>
      </w:pPr>
      <w:r>
        <w:t>Excel-Button liefert Fehler 403: Rolle Viewer/Verkauf – Editor oder Admin bitten.</w:t>
      </w:r>
    </w:p>
    <w:p>
      <w:pPr>
        <w:pStyle w:val="ListBullet"/>
      </w:pPr>
      <w:r>
        <w:t xml:space="preserve">Lokaler Betrieb: Fenster schliessen beendet den Server nicht (Konsole </w:t>
      </w:r>
      <w:r>
        <w:rPr>
          <w:b/>
        </w:rPr>
        <w:t>Strg+C</w:t>
      </w:r>
      <w:r>
        <w:t>); nicht zwei Server auf 8100 und 8765 parallel betreiben.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Anwenderhandbuch v1.0, Kap. 12</w:t>
      </w:r>
    </w:p>
    <w:p>
      <w:pPr>
        <w:pStyle w:val="Heading1"/>
      </w:pPr>
      <w:r>
        <w:t>14 Stolperfallen</w:t>
      </w:r>
    </w:p>
    <w:p>
      <w:pPr>
        <w:pStyle w:val="ListBullet"/>
      </w:pPr>
      <w:r>
        <w:t xml:space="preserve">Stammdaten-Änderungen wirken nicht rückwirkend auf gespeicherte Kalkulationen – Version laden, </w:t>
      </w:r>
      <w:r>
        <w:rPr>
          <w:b/>
        </w:rPr>
        <w:t>Neu berechnen</w:t>
      </w:r>
      <w:r>
        <w:t>, als neue Revision speichern.</w:t>
      </w:r>
    </w:p>
    <w:p>
      <w:pPr>
        <w:pStyle w:val="ListBullet"/>
      </w:pPr>
      <w:r>
        <w:t>Marge ist DB vom Verkaufspreis, kein Aufschlag auf den Einkauf: 28 % Marge ≠ +28 % auf EK.</w:t>
      </w:r>
    </w:p>
    <w:p>
      <w:pPr>
        <w:pStyle w:val="ListBullet"/>
      </w:pPr>
      <w:r>
        <w:t>Rabatt % und Rabatt CHF schliessen sich gegenseitig aus.</w:t>
      </w:r>
    </w:p>
    <w:p>
      <w:pPr>
        <w:pStyle w:val="ListBullet"/>
      </w:pPr>
      <w:r>
        <w:t>Option-Positionen fehlen bewusst im Gesamttotal.</w:t>
      </w:r>
    </w:p>
    <w:p>
      <w:pPr>
        <w:pStyle w:val="ListBullet"/>
      </w:pPr>
      <w:r>
        <w:t>SLL-Rabatt erscheint nur mit gesetztem Häkchen im Kundenangebot.</w:t>
      </w:r>
    </w:p>
    <w:p>
      <w:pPr>
        <w:pStyle w:val="ListBullet"/>
      </w:pPr>
      <w:r>
        <w:t xml:space="preserve">Bildschirmvorschau ist eine Annäherung – für den Kunden </w:t>
      </w:r>
      <w:r>
        <w:rPr>
          <w:b/>
        </w:rPr>
        <w:t>PDF 1:1 (aus Word)</w:t>
      </w:r>
      <w:r>
        <w:t xml:space="preserve"> verwenden.</w:t>
      </w:r>
    </w:p>
    <w:p>
      <w:pPr>
        <w:pStyle w:val="ListBullet"/>
      </w:pPr>
      <w:r>
        <w:t>Beim Speichern einer geladenen Version den Index erhöhen, sonst wird die alte Revision überschrieben.</w:t>
      </w:r>
    </w:p>
    <w:p>
      <w:pPr>
        <w:pStyle w:val="ListBullet"/>
      </w:pPr>
      <w:r>
        <w:t>Excel ist kein Rückweg: kein Import.</w:t>
      </w:r>
    </w:p>
    <w:p>
      <w:pPr>
        <w:pStyle w:val="ListBullet"/>
      </w:pPr>
      <w:r>
        <w:t xml:space="preserve">Ohne hinterlegte E-Mail funktioniert </w:t>
      </w:r>
      <w:r>
        <w:rPr>
          <w:b/>
        </w:rPr>
        <w:t>Passwort vergessen?</w:t>
      </w:r>
      <w:r>
        <w:t xml:space="preserve"> nicht.</w:t>
      </w:r>
    </w:p>
    <w:p>
      <w:pPr>
        <w:pStyle w:val="Heading1"/>
      </w:pPr>
      <w:r>
        <w:t>15 Praxisbeispiele</w:t>
      </w:r>
    </w:p>
    <w:p>
      <w:pPr>
        <w:pStyle w:val="Heading2"/>
      </w:pPr>
      <w:r>
        <w:t>15.1 Neues Projekt durchkalkulieren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Als Editor anmelden, </w:t>
      </w:r>
      <w:r>
        <w:rPr>
          <w:b/>
        </w:rPr>
        <w:t>Kalkulationswährung</w:t>
      </w:r>
      <w:r>
        <w:t xml:space="preserve"> CHF.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Lizenzkalkulator</w:t>
      </w:r>
      <w:r>
        <w:t xml:space="preserve"> Schritt 1: </w:t>
      </w:r>
      <w:r>
        <w:rPr>
          <w:rFonts w:ascii="Consolas" w:hAnsi="Consolas" w:cs="Consolas" w:eastAsia="Consolas"/>
          <w:sz w:val="18"/>
        </w:rPr>
        <w:t>Firma</w:t>
      </w:r>
      <w:r>
        <w:t xml:space="preserve"> und </w:t>
      </w:r>
      <w:r>
        <w:rPr>
          <w:rFonts w:ascii="Consolas" w:hAnsi="Consolas" w:cs="Consolas" w:eastAsia="Consolas"/>
          <w:sz w:val="18"/>
        </w:rPr>
        <w:t>Adresse</w:t>
      </w:r>
      <w:r>
        <w:t xml:space="preserve"> (Autovervollständigung) erfassen; </w:t>
      </w:r>
      <w:r>
        <w:rPr>
          <w:b/>
        </w:rPr>
        <w:t>DB-Marge %</w:t>
      </w:r>
      <w:r>
        <w:t xml:space="preserve"> 28 belassen.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Schritt 2/3: </w:t>
      </w:r>
      <w:r>
        <w:rPr>
          <w:b/>
        </w:rPr>
        <w:t>Neuinstallation</w:t>
      </w:r>
      <w:r>
        <w:t xml:space="preserve">, </w:t>
      </w:r>
      <w:r>
        <w:rPr>
          <w:b/>
        </w:rPr>
        <w:t>Advanced</w:t>
      </w:r>
      <w:r>
        <w:t>, 1 Instanz.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Schritt 4: Externe Lagerplätze fest; Put2Light als </w:t>
      </w:r>
      <w:r>
        <w:rPr>
          <w:b/>
        </w:rPr>
        <w:t>Option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Schritt 5: 1 zusätzlicher Opening Client; </w:t>
      </w:r>
      <w:r>
        <w:rPr>
          <w:b/>
        </w:rPr>
        <w:t>Lizenzkalkulation 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IT-Aufwand</w:t>
      </w:r>
      <w:r>
        <w:t xml:space="preserve">: Geräte 2, Zonen 1, Bedienöffnungen 2; Optionen prüfen; </w:t>
      </w:r>
      <w:r>
        <w:rPr>
          <w:b/>
        </w:rPr>
        <w:t>Reisekosten aus Adresse berechnen</w:t>
      </w:r>
      <w:r>
        <w:t xml:space="preserve">; </w:t>
      </w:r>
      <w:r>
        <w:rPr>
          <w:b/>
        </w:rPr>
        <w:t>IT-Kalkulation 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Angebot</w:t>
      </w:r>
      <w:r>
        <w:t xml:space="preserve">: Rabatt 5 %, Ansprechpartner und Unterschriften wählen, Layout </w:t>
      </w:r>
      <w:r>
        <w:rPr>
          <w:b/>
        </w:rPr>
        <w:t>Vorschau + SSI-Cover</w:t>
      </w:r>
      <w:r>
        <w:t xml:space="preserve">, </w:t>
      </w:r>
      <w:r>
        <w:rPr>
          <w:b/>
        </w:rPr>
        <w:t>Vorschau erzeugen</w:t>
      </w:r>
      <w:r>
        <w:t>,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Revision speichern</w:t>
      </w:r>
      <w:r>
        <w:t xml:space="preserve"> (Index A), </w:t>
      </w:r>
      <w:r>
        <w:rPr>
          <w:b/>
        </w:rPr>
        <w:t>PDF 1:1 (aus Word)</w:t>
      </w:r>
      <w:r>
        <w:t xml:space="preserve"> an den Kunden, </w:t>
      </w:r>
      <w:r>
        <w:rPr>
          <w:b/>
        </w:rPr>
        <w:t>Excel Preisliste</w:t>
      </w:r>
      <w:r>
        <w:t xml:space="preserve"> intern ablegen.</w:t>
      </w:r>
    </w:p>
    <w:p>
      <w:pPr>
        <w:pStyle w:val="Heading2"/>
      </w:pPr>
      <w:r>
        <w:t>15.2 Marge, Stundensatz und Reise anpassen</w:t>
      </w:r>
    </w:p>
    <w:p>
      <w:r>
        <w:t>Ausgangslage: Ein Kunde verlangt Revision B mit tieferer Lizenzmarge; der IT-Stundensatz wurde konzernweit erhöht.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Admin: </w:t>
      </w:r>
      <w:r>
        <w:rPr>
          <w:b/>
        </w:rPr>
        <w:t>Stammdaten</w:t>
      </w:r>
      <w:r>
        <w:t xml:space="preserve"> → </w:t>
      </w:r>
      <w:r>
        <w:rPr>
          <w:rFonts w:ascii="Consolas" w:hAnsi="Consolas" w:cs="Consolas" w:eastAsia="Consolas"/>
          <w:sz w:val="18"/>
        </w:rPr>
        <w:t>IT-Stundensatz CHF</w:t>
      </w:r>
      <w:r>
        <w:t xml:space="preserve"> anpassen → </w:t>
      </w:r>
      <w:r>
        <w:rPr>
          <w:b/>
        </w:rPr>
        <w:t>Stammdaten 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Editor: </w:t>
      </w:r>
      <w:r>
        <w:rPr>
          <w:b/>
        </w:rPr>
        <w:t>Archiv</w:t>
      </w:r>
      <w:r>
        <w:t xml:space="preserve"> → Projekt suchen → Version A </w:t>
      </w:r>
      <w:r>
        <w:rPr>
          <w:b/>
        </w:rPr>
        <w:t>Bearbeiten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Lizenzkalkulator</w:t>
      </w:r>
      <w:r>
        <w:t xml:space="preserve"> Schritt 1: </w:t>
      </w:r>
      <w:r>
        <w:rPr>
          <w:b/>
        </w:rPr>
        <w:t>DB-Marge %</w:t>
      </w:r>
      <w:r>
        <w:t xml:space="preserve"> z. B. von 28 auf 25 senken, </w:t>
      </w:r>
      <w:r>
        <w:rPr>
          <w:b/>
        </w:rPr>
        <w:t>Neu berechnen</w:t>
      </w:r>
      <w:r>
        <w:t>, 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IT-Aufwand</w:t>
      </w:r>
      <w:r>
        <w:t xml:space="preserve">: Fahrten manuell erhöhen (z. B. zusätzliche Inbetriebnahme), ggf. </w:t>
      </w:r>
      <w:r>
        <w:rPr>
          <w:rFonts w:ascii="Consolas" w:hAnsi="Consolas" w:cs="Consolas" w:eastAsia="Consolas"/>
          <w:sz w:val="18"/>
        </w:rPr>
        <w:t>Übernachtungen</w:t>
      </w:r>
      <w:r>
        <w:t xml:space="preserve"> erfassen; </w:t>
      </w:r>
      <w:r>
        <w:rPr>
          <w:b/>
        </w:rPr>
        <w:t>Neu berechnen</w:t>
      </w:r>
      <w:r>
        <w:t xml:space="preserve"> übernimmt den neuen Stundensatz; 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Angebot</w:t>
      </w:r>
      <w:r>
        <w:t xml:space="preserve">: </w:t>
      </w:r>
      <w:r>
        <w:rPr>
          <w:b/>
        </w:rPr>
        <w:t>Vorschau erzeugen</w:t>
      </w:r>
      <w:r>
        <w:t xml:space="preserve">, </w:t>
      </w:r>
      <w:r>
        <w:rPr>
          <w:b/>
        </w:rPr>
        <w:t>Revision speichern</w:t>
      </w:r>
      <w:r>
        <w:t xml:space="preserve"> mit Index </w:t>
      </w:r>
      <w:r>
        <w:rPr>
          <w:b/>
        </w:rPr>
        <w:t>B</w:t>
      </w:r>
      <w:r>
        <w:t>, exportieren.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Ob eine geladene Version automatisch die neuen Stammdatensätze übernimmt oder die beim Speichern eingefrorenen Werte behält, ist mit der Live-App zu verifizieren.</w:t>
            </w:r>
          </w:p>
        </w:tc>
      </w:tr>
    </w:tbl>
    <w:p>
      <w:pPr>
        <w:spacing w:after="40"/>
      </w:pPr>
    </w:p>
    <w:p>
      <w:pPr>
        <w:pStyle w:val="Heading1"/>
      </w:pPr>
      <w:r>
        <w:t>16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92"/>
        <w:gridCol w:w="4927"/>
        <w:gridCol w:w="4105"/>
      </w:tblGrid>
      <w:tr>
        <w:trPr>
          <w:tblHeader w:val="true"/>
        </w:trPr>
        <w:tc>
          <w:tcPr>
            <w:tcW w:type="dxa" w:w="4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49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 / Quelle</w:t>
            </w:r>
          </w:p>
        </w:tc>
        <w:tc>
          <w:tcPr>
            <w:tcW w:type="dxa" w:w="41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 für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HB1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docs/manuals/app/WAMAS_LS_Angebotskalkulator_Handbuch.md</w:t>
            </w:r>
            <w:r>
              <w:rPr>
                <w:sz w:val="17"/>
              </w:rPr>
              <w:t xml:space="preserve"> (v1.0, 20.08.2026)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Grundtext Kap. 2, 5–13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UI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static/index.html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static/app.js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data/ui_i18n.json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Bezeichnungen, Schritte, Stammdatenfelder, Sprache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SRV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server.py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Rollen, Excel-403, Löschen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AUTH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auth.py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auth_users.py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password_recovery.py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Anmeldung, Passwort, Benutzer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KAT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data/catalog.json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data/it_catalog.json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Kurs, Margen, Sätze, Reise-Pakete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EXP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docx_export.py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pdf_export.py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excel_export.py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Exportformate</w:t>
            </w:r>
          </w:p>
        </w:tc>
      </w:tr>
      <w:tr>
        <w:tc>
          <w:tcPr>
            <w:tcW w:type="dxa" w:w="493"/>
          </w:tcPr>
          <w:p>
            <w:pPr>
              <w:spacing w:after="0" w:line="252" w:lineRule="auto"/>
            </w:pPr>
            <w:r>
              <w:rPr>
                <w:sz w:val="17"/>
              </w:rPr>
              <w:t>APP</w:t>
            </w:r>
          </w:p>
        </w:tc>
        <w:tc>
          <w:tcPr>
            <w:tcW w:type="dxa" w:w="4926"/>
          </w:tcPr>
          <w:p>
            <w:pPr>
              <w:spacing w:after="0" w:line="252" w:lineRule="auto"/>
            </w:pPr>
            <w:r>
              <w:rPr>
                <w:sz w:val="17"/>
              </w:rPr>
              <w:t>Live-App ui-p1-041e207, Commit 041e207</w:t>
            </w:r>
          </w:p>
        </w:tc>
        <w:tc>
          <w:tcPr>
            <w:tcW w:type="dxa" w:w="4105"/>
          </w:tcPr>
          <w:p>
            <w:pPr>
              <w:spacing w:after="0" w:line="252" w:lineRule="auto"/>
            </w:pPr>
            <w:r>
              <w:rPr>
                <w:sz w:val="17"/>
              </w:rPr>
              <w:t>Abgleich Oberfläche</w:t>
            </w:r>
          </w:p>
        </w:tc>
      </w:tr>
    </w:tbl>
    <w:p>
      <w:pPr>
        <w:pStyle w:val="BeschriftungSSI"/>
      </w:pPr>
      <w:r>
        <w:t>Tab. 7: Quellenverzeichnis</w:t>
      </w:r>
    </w:p>
    <w:p>
      <w:r>
        <w:t>Abkürzungen: DB = Deckungsbeitrag, EK = Einkauf, VK = Verkauf. SLL und IC: Ausschreibung siehe LUECKE.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Die Langformen der Abkürzungen SLL und IC sind in den Quellen nicht ausgeschrieben.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Angebotsgenerator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2.0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 Lift &amp; Store Angebotsgenerator – Benutzeranleitung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 Lift &amp; Store Angebotsgenerator – Benutzeranleitung</dc:title>
  <dc:subject>Bedienung, Kalkulation, Marge, Reisekosten, Stundensatz und Export</dc:subject>
  <dc:creator>Marek Sobona /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