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Pflichtenheft (Entwurf)</w:t>
            </w:r>
          </w:p>
          <w:p>
            <w:pPr>
              <w:spacing w:after="120"/>
            </w:pPr>
            <w:r>
              <w:rPr>
                <w:b/>
                <w:sz w:val="48"/>
              </w:rPr>
              <w:t>Pflichtenheft WAMAS LVS</w:t>
            </w:r>
          </w:p>
          <w:p>
            <w:pPr>
              <w:spacing w:after="360"/>
            </w:pPr>
            <w:r>
              <w:rPr>
                <w:b w:val="0"/>
                <w:sz w:val="32"/>
              </w:rPr>
              <w:t>WAMAS Lift &amp; Store 2.8</w:t>
            </w:r>
          </w:p>
          <w:p>
            <w:pPr>
              <w:spacing w:after="0"/>
            </w:pPr>
            <w:r>
              <w:rPr>
                <w:b w:val="0"/>
                <w:sz w:val="22"/>
              </w:rPr>
              <w:t>Entwurf – vertraulich  ·  Deutsch (de-CH)</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Projekt 3796 · Manuelle Lagerverwaltung Hauptlager mit WAMAS</w:t>
            </w:r>
          </w:p>
          <w:p>
            <w:pPr>
              <w:spacing w:after="0"/>
            </w:pPr>
            <w:r>
              <w:rPr>
                <w:b w:val="0"/>
                <w:color w:val="555555"/>
                <w:sz w:val="18"/>
              </w:rPr>
              <w:t>Auftraggeber: Brütsch Technology AG · Auftragnehmer: SSI SCHÄFER</w:t>
            </w:r>
          </w:p>
        </w:tc>
      </w:tr>
    </w:tbl>
    <w:p>
      <w:pPr>
        <w:spacing w:before="8617"/>
      </w:pPr>
      <w:r>
        <w:rPr>
          <w:sz w:val="18"/>
        </w:rPr>
        <w:t>V 0.1  ·  23.10.2026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4</w:t>
      </w:r>
    </w:p>
    <w:p>
      <w:pPr>
        <w:pStyle w:val="TOC2"/>
        <w:tabs>
          <w:tab w:pos="9524" w:val="right" w:leader="dot"/>
        </w:tabs>
      </w:pPr>
      <w:r>
        <w:t>1.1 Zweck</w:t>
        <w:tab/>
        <w:t>4</w:t>
      </w:r>
    </w:p>
    <w:p>
      <w:pPr>
        <w:pStyle w:val="TOC2"/>
        <w:tabs>
          <w:tab w:pos="9524" w:val="right" w:leader="dot"/>
        </w:tabs>
      </w:pPr>
      <w:r>
        <w:t>1.2 Lesehinweise</w:t>
        <w:tab/>
        <w:t>4</w:t>
      </w:r>
    </w:p>
    <w:p>
      <w:pPr>
        <w:pStyle w:val="TOC2"/>
        <w:tabs>
          <w:tab w:pos="9524" w:val="right" w:leader="dot"/>
        </w:tabs>
      </w:pPr>
      <w:r>
        <w:t>1.3 Dokumentinformationen</w:t>
        <w:tab/>
        <w:t>4</w:t>
      </w:r>
    </w:p>
    <w:p>
      <w:pPr>
        <w:pStyle w:val="TOC1"/>
        <w:tabs>
          <w:tab w:pos="9524" w:val="right" w:leader="dot"/>
        </w:tabs>
      </w:pPr>
      <w:r>
        <w:t>2 Ausgangslage und Zielbild</w:t>
        <w:tab/>
        <w:t>5</w:t>
      </w:r>
    </w:p>
    <w:p>
      <w:pPr>
        <w:pStyle w:val="TOC2"/>
        <w:tabs>
          <w:tab w:pos="9524" w:val="right" w:leader="dot"/>
        </w:tabs>
      </w:pPr>
      <w:r>
        <w:t>2.1 Ist-Zustand</w:t>
        <w:tab/>
        <w:t>5</w:t>
      </w:r>
    </w:p>
    <w:p>
      <w:pPr>
        <w:pStyle w:val="TOC2"/>
        <w:tabs>
          <w:tab w:pos="9524" w:val="right" w:leader="dot"/>
        </w:tabs>
      </w:pPr>
      <w:r>
        <w:t>2.2 Zielbild</w:t>
        <w:tab/>
        <w:t>5</w:t>
      </w:r>
    </w:p>
    <w:p>
      <w:pPr>
        <w:pStyle w:val="TOC2"/>
        <w:tabs>
          <w:tab w:pos="9524" w:val="right" w:leader="dot"/>
        </w:tabs>
      </w:pPr>
      <w:r>
        <w:t>2.3 Geltungsbereich</w:t>
        <w:tab/>
        <w:t>5</w:t>
      </w:r>
    </w:p>
    <w:p>
      <w:pPr>
        <w:pStyle w:val="TOC1"/>
        <w:tabs>
          <w:tab w:pos="9524" w:val="right" w:leader="dot"/>
        </w:tabs>
      </w:pPr>
      <w:r>
        <w:t>3 Lösungsbeschreibung je Anforderung</w:t>
        <w:tab/>
        <w:t>6</w:t>
      </w:r>
    </w:p>
    <w:p>
      <w:pPr>
        <w:pStyle w:val="TOC2"/>
        <w:tabs>
          <w:tab w:pos="9524" w:val="right" w:leader="dot"/>
        </w:tabs>
      </w:pPr>
      <w:r>
        <w:t>3.1 Regulatorische Anforderungen (1.1–1.9)</w:t>
        <w:tab/>
        <w:t>6</w:t>
      </w:r>
    </w:p>
    <w:p>
      <w:pPr>
        <w:pStyle w:val="TOC2"/>
        <w:tabs>
          <w:tab w:pos="9524" w:val="right" w:leader="dot"/>
        </w:tabs>
      </w:pPr>
      <w:r>
        <w:t>3.2 Organisatorische Anforderungen (2–2.10)</w:t>
        <w:tab/>
        <w:t>6</w:t>
      </w:r>
    </w:p>
    <w:p>
      <w:pPr>
        <w:pStyle w:val="TOC2"/>
        <w:tabs>
          <w:tab w:pos="9524" w:val="right" w:leader="dot"/>
        </w:tabs>
      </w:pPr>
      <w:r>
        <w:t>3.3 Funktionale Anforderungen (3–3.58)</w:t>
        <w:tab/>
        <w:t>7</w:t>
      </w:r>
    </w:p>
    <w:p>
      <w:pPr>
        <w:pStyle w:val="TOC2"/>
        <w:tabs>
          <w:tab w:pos="9524" w:val="right" w:leader="dot"/>
        </w:tabs>
      </w:pPr>
      <w:r>
        <w:t>3.4 IT- und Systemanforderungen (4–4.15)</w:t>
        <w:tab/>
        <w:t>10</w:t>
      </w:r>
    </w:p>
    <w:p>
      <w:pPr>
        <w:pStyle w:val="TOC1"/>
        <w:tabs>
          <w:tab w:pos="9524" w:val="right" w:leader="dot"/>
        </w:tabs>
      </w:pPr>
      <w:r>
        <w:t>4 Systemabgrenzung Abacus / WAMAS</w:t>
        <w:tab/>
        <w:t>12</w:t>
      </w:r>
    </w:p>
    <w:p>
      <w:pPr>
        <w:pStyle w:val="TOC2"/>
        <w:tabs>
          <w:tab w:pos="9524" w:val="right" w:leader="dot"/>
        </w:tabs>
      </w:pPr>
      <w:r>
        <w:t>4.1 Systemlandschaft</w:t>
        <w:tab/>
        <w:t>12</w:t>
      </w:r>
    </w:p>
    <w:p>
      <w:pPr>
        <w:pStyle w:val="TOC2"/>
        <w:tabs>
          <w:tab w:pos="9524" w:val="right" w:leader="dot"/>
        </w:tabs>
      </w:pPr>
      <w:r>
        <w:t>4.2 Datenführerschaft</w:t>
        <w:tab/>
        <w:t>12</w:t>
      </w:r>
    </w:p>
    <w:p>
      <w:pPr>
        <w:pStyle w:val="TOC2"/>
        <w:tabs>
          <w:tab w:pos="9524" w:val="right" w:leader="dot"/>
        </w:tabs>
      </w:pPr>
      <w:r>
        <w:t>4.3 Verantwortlichkeiten</w:t>
        <w:tab/>
        <w:t>12</w:t>
      </w:r>
    </w:p>
    <w:p>
      <w:pPr>
        <w:pStyle w:val="TOC1"/>
        <w:tabs>
          <w:tab w:pos="9524" w:val="right" w:leader="dot"/>
        </w:tabs>
      </w:pPr>
      <w:r>
        <w:t>5 Lagerorte und Bestandsstatus</w:t>
        <w:tab/>
        <w:t>14</w:t>
      </w:r>
    </w:p>
    <w:p>
      <w:pPr>
        <w:pStyle w:val="TOC2"/>
        <w:tabs>
          <w:tab w:pos="9524" w:val="right" w:leader="dot"/>
        </w:tabs>
      </w:pPr>
      <w:r>
        <w:t>5.1 Lagerort WAM</w:t>
        <w:tab/>
        <w:t>14</w:t>
      </w:r>
    </w:p>
    <w:p>
      <w:pPr>
        <w:pStyle w:val="TOC2"/>
        <w:tabs>
          <w:tab w:pos="9524" w:val="right" w:leader="dot"/>
        </w:tabs>
      </w:pPr>
      <w:r>
        <w:t>5.2 WAM-Sperrlager</w:t>
        <w:tab/>
        <w:t>14</w:t>
      </w:r>
    </w:p>
    <w:p>
      <w:pPr>
        <w:pStyle w:val="TOC2"/>
        <w:tabs>
          <w:tab w:pos="9524" w:val="right" w:leader="dot"/>
        </w:tabs>
      </w:pPr>
      <w:r>
        <w:t>5.3 WAM-SER und WAM-GE</w:t>
        <w:tab/>
        <w:t>14</w:t>
      </w:r>
    </w:p>
    <w:p>
      <w:pPr>
        <w:pStyle w:val="TOC2"/>
        <w:tabs>
          <w:tab w:pos="9524" w:val="right" w:leader="dot"/>
        </w:tabs>
      </w:pPr>
      <w:r>
        <w:t>5.4 Lösungsvarianten</w:t>
        <w:tab/>
        <w:t>14</w:t>
      </w:r>
    </w:p>
    <w:p>
      <w:pPr>
        <w:pStyle w:val="TOC2"/>
        <w:tabs>
          <w:tab w:pos="9524" w:val="right" w:leader="dot"/>
        </w:tabs>
      </w:pPr>
      <w:r>
        <w:t>5.5 WEP, REP und Aussenlager</w:t>
        <w:tab/>
        <w:t>15</w:t>
      </w:r>
    </w:p>
    <w:p>
      <w:pPr>
        <w:pStyle w:val="TOC1"/>
        <w:tabs>
          <w:tab w:pos="9524" w:val="right" w:leader="dot"/>
        </w:tabs>
      </w:pPr>
      <w:r>
        <w:t>6 Lagerplatzstruktur und Codierung</w:t>
        <w:tab/>
        <w:t>16</w:t>
      </w:r>
    </w:p>
    <w:p>
      <w:pPr>
        <w:pStyle w:val="TOC2"/>
        <w:tabs>
          <w:tab w:pos="9524" w:val="right" w:leader="dot"/>
        </w:tabs>
      </w:pPr>
      <w:r>
        <w:t>6.1 Mengengerüst</w:t>
        <w:tab/>
        <w:t>16</w:t>
      </w:r>
    </w:p>
    <w:p>
      <w:pPr>
        <w:pStyle w:val="TOC2"/>
        <w:tabs>
          <w:tab w:pos="9524" w:val="right" w:leader="dot"/>
        </w:tabs>
      </w:pPr>
      <w:r>
        <w:t>6.2 Abbildung in WAMAS</w:t>
        <w:tab/>
        <w:t>16</w:t>
      </w:r>
    </w:p>
    <w:p>
      <w:pPr>
        <w:pStyle w:val="TOC2"/>
        <w:tabs>
          <w:tab w:pos="9524" w:val="right" w:leader="dot"/>
        </w:tabs>
      </w:pPr>
      <w:r>
        <w:t>6.3 Lagerplatzcodierung</w:t>
        <w:tab/>
        <w:t>16</w:t>
      </w:r>
    </w:p>
    <w:p>
      <w:pPr>
        <w:pStyle w:val="TOC2"/>
        <w:tabs>
          <w:tab w:pos="9524" w:val="right" w:leader="dot"/>
        </w:tabs>
      </w:pPr>
      <w:r>
        <w:t>6.4 Höhen und Kapazitäten</w:t>
        <w:tab/>
        <w:t>17</w:t>
      </w:r>
    </w:p>
    <w:p>
      <w:pPr>
        <w:pStyle w:val="TOC2"/>
        <w:tabs>
          <w:tab w:pos="9524" w:val="right" w:leader="dot"/>
        </w:tabs>
      </w:pPr>
      <w:r>
        <w:t>6.5 Prüfpunkte SSI aus der Lagerstruktur</w:t>
        <w:tab/>
        <w:t>17</w:t>
      </w:r>
    </w:p>
    <w:p>
      <w:pPr>
        <w:pStyle w:val="TOC1"/>
        <w:tabs>
          <w:tab w:pos="9524" w:val="right" w:leader="dot"/>
        </w:tabs>
      </w:pPr>
      <w:r>
        <w:t>7 Prozesse</w:t>
        <w:tab/>
        <w:t>18</w:t>
      </w:r>
    </w:p>
    <w:p>
      <w:pPr>
        <w:pStyle w:val="TOC2"/>
        <w:tabs>
          <w:tab w:pos="9524" w:val="right" w:leader="dot"/>
        </w:tabs>
      </w:pPr>
      <w:r>
        <w:t>7.1 Wareneingang und Einlagerung</w:t>
        <w:tab/>
        <w:t>18</w:t>
      </w:r>
    </w:p>
    <w:p>
      <w:pPr>
        <w:pStyle w:val="TOC2"/>
        <w:tabs>
          <w:tab w:pos="9524" w:val="right" w:leader="dot"/>
        </w:tabs>
      </w:pPr>
      <w:r>
        <w:t>7.2 Umlagerung innerhalb WAM</w:t>
        <w:tab/>
        <w:t>18</w:t>
      </w:r>
    </w:p>
    <w:p>
      <w:pPr>
        <w:pStyle w:val="TOC2"/>
        <w:tabs>
          <w:tab w:pos="9524" w:val="right" w:leader="dot"/>
        </w:tabs>
      </w:pPr>
      <w:r>
        <w:t>7.3 Umbuchung von WEP, REP und Aussenlagern nach WAM</w:t>
        <w:tab/>
        <w:t>18</w:t>
      </w:r>
    </w:p>
    <w:p>
      <w:pPr>
        <w:pStyle w:val="TOC2"/>
        <w:tabs>
          <w:tab w:pos="9524" w:val="right" w:leader="dot"/>
        </w:tabs>
      </w:pPr>
      <w:r>
        <w:t>7.4 Kommissionierung (Einzelauftrag)</w:t>
        <w:tab/>
        <w:t>19</w:t>
      </w:r>
    </w:p>
    <w:p>
      <w:pPr>
        <w:pStyle w:val="TOC2"/>
        <w:tabs>
          <w:tab w:pos="9524" w:val="right" w:leader="dot"/>
        </w:tabs>
      </w:pPr>
      <w:r>
        <w:t>7.5 Auftragsübergreifende Kommissionierung (Multi-Order)</w:t>
        <w:tab/>
        <w:t>19</w:t>
      </w:r>
    </w:p>
    <w:p>
      <w:pPr>
        <w:pStyle w:val="TOC2"/>
        <w:tabs>
          <w:tab w:pos="9524" w:val="right" w:leader="dot"/>
        </w:tabs>
      </w:pPr>
      <w:r>
        <w:t>7.6 Warenausgang</w:t>
        <w:tab/>
        <w:t>19</w:t>
      </w:r>
    </w:p>
    <w:p>
      <w:pPr>
        <w:pStyle w:val="TOC2"/>
        <w:tabs>
          <w:tab w:pos="9524" w:val="right" w:leader="dot"/>
        </w:tabs>
      </w:pPr>
      <w:r>
        <w:t>7.7 Nachrüstungen aus der Fabrikation</w:t>
        <w:tab/>
        <w:t>19</w:t>
      </w:r>
    </w:p>
    <w:p>
      <w:pPr>
        <w:pStyle w:val="TOC2"/>
        <w:tabs>
          <w:tab w:pos="9524" w:val="right" w:leader="dot"/>
        </w:tabs>
      </w:pPr>
      <w:r>
        <w:t>7.8 Manuelle Ausgänge und Verbrauchsmaterial</w:t>
        <w:tab/>
        <w:t>20</w:t>
      </w:r>
    </w:p>
    <w:p>
      <w:pPr>
        <w:pStyle w:val="TOC2"/>
        <w:tabs>
          <w:tab w:pos="9524" w:val="right" w:leader="dot"/>
        </w:tabs>
      </w:pPr>
      <w:r>
        <w:t>7.9 Inventur</w:t>
        <w:tab/>
        <w:t>20</w:t>
      </w:r>
    </w:p>
    <w:p>
      <w:pPr>
        <w:pStyle w:val="TOC2"/>
        <w:tabs>
          <w:tab w:pos="9524" w:val="right" w:leader="dot"/>
        </w:tabs>
      </w:pPr>
      <w:r>
        <w:t>7.10 Fehlmengen und Bestandsabweichungen</w:t>
        <w:tab/>
        <w:t>20</w:t>
      </w:r>
    </w:p>
    <w:p>
      <w:pPr>
        <w:pStyle w:val="TOC2"/>
        <w:tabs>
          <w:tab w:pos="9524" w:val="right" w:leader="dot"/>
        </w:tabs>
      </w:pPr>
      <w:r>
        <w:t>7.11 Mobile Etikettierung</w:t>
        <w:tab/>
        <w:t>20</w:t>
      </w:r>
    </w:p>
    <w:p>
      <w:pPr>
        <w:pStyle w:val="TOC1"/>
        <w:tabs>
          <w:tab w:pos="9524" w:val="right" w:leader="dot"/>
        </w:tabs>
      </w:pPr>
      <w:r>
        <w:t>8 Schnittstelle Abacus – WAMAS</w:t>
        <w:tab/>
        <w:t>21</w:t>
      </w:r>
    </w:p>
    <w:p>
      <w:pPr>
        <w:pStyle w:val="TOC2"/>
        <w:tabs>
          <w:tab w:pos="9524" w:val="right" w:leader="dot"/>
        </w:tabs>
      </w:pPr>
      <w:r>
        <w:t>8.1 Grundsatz</w:t>
        <w:tab/>
        <w:t>21</w:t>
      </w:r>
    </w:p>
    <w:p>
      <w:pPr>
        <w:pStyle w:val="TOC2"/>
        <w:tabs>
          <w:tab w:pos="9524" w:val="right" w:leader="dot"/>
        </w:tabs>
      </w:pPr>
      <w:r>
        <w:t>8.2 Nachrichtenfluss (WAMAS-Standardsatzarten)</w:t>
        <w:tab/>
        <w:t>21</w:t>
      </w:r>
    </w:p>
    <w:p>
      <w:pPr>
        <w:pStyle w:val="TOC2"/>
        <w:tabs>
          <w:tab w:pos="9524" w:val="right" w:leader="dot"/>
        </w:tabs>
      </w:pPr>
      <w:r>
        <w:t>8.3 Erweiterung der BPE-Prozesse (Lastenheft 4.12)</w:t>
        <w:tab/>
        <w:t>21</w:t>
      </w:r>
    </w:p>
    <w:p>
      <w:pPr>
        <w:pStyle w:val="TOC2"/>
        <w:tabs>
          <w:tab w:pos="9524" w:val="right" w:leader="dot"/>
        </w:tabs>
      </w:pPr>
      <w:r>
        <w:t>8.4 Prüfung REST</w:t>
        <w:tab/>
        <w:t>21</w:t>
      </w:r>
    </w:p>
    <w:p>
      <w:pPr>
        <w:pStyle w:val="TOC2"/>
        <w:tabs>
          <w:tab w:pos="9524" w:val="right" w:leader="dot"/>
        </w:tabs>
      </w:pPr>
      <w:r>
        <w:t>8.5 Täglicher Bestandsabgleich</w:t>
        <w:tab/>
        <w:t>22</w:t>
      </w:r>
    </w:p>
    <w:p>
      <w:pPr>
        <w:pStyle w:val="TOC2"/>
        <w:tabs>
          <w:tab w:pos="9524" w:val="right" w:leader="dot"/>
        </w:tabs>
      </w:pPr>
      <w:r>
        <w:t>8.6 Fehlerhandling</w:t>
        <w:tab/>
        <w:t>22</w:t>
      </w:r>
    </w:p>
    <w:p>
      <w:pPr>
        <w:pStyle w:val="TOC1"/>
        <w:tabs>
          <w:tab w:pos="9524" w:val="right" w:leader="dot"/>
        </w:tabs>
      </w:pPr>
      <w:r>
        <w:t>9 Benutzer, Rollen und Berechtigungen</w:t>
        <w:tab/>
        <w:t>23</w:t>
      </w:r>
    </w:p>
    <w:p>
      <w:pPr>
        <w:pStyle w:val="TOC2"/>
        <w:tabs>
          <w:tab w:pos="9524" w:val="right" w:leader="dot"/>
        </w:tabs>
      </w:pPr>
      <w:r>
        <w:t>9.1 Mechanismen in WAMAS</w:t>
        <w:tab/>
        <w:t>23</w:t>
      </w:r>
    </w:p>
    <w:p>
      <w:pPr>
        <w:pStyle w:val="TOC2"/>
        <w:tabs>
          <w:tab w:pos="9524" w:val="right" w:leader="dot"/>
        </w:tabs>
      </w:pPr>
      <w:r>
        <w:t>9.2 Rollenmodell (Vorschlag)</w:t>
        <w:tab/>
        <w:t>23</w:t>
      </w:r>
    </w:p>
    <w:p>
      <w:pPr>
        <w:pStyle w:val="TOC1"/>
        <w:tabs>
          <w:tab w:pos="9524" w:val="right" w:leader="dot"/>
        </w:tabs>
      </w:pPr>
      <w:r>
        <w:t>10 Kennzahlen und Auswertungen</w:t>
        <w:tab/>
        <w:t>24</w:t>
      </w:r>
    </w:p>
    <w:p>
      <w:pPr>
        <w:pStyle w:val="TOC1"/>
        <w:tabs>
          <w:tab w:pos="9524" w:val="right" w:leader="dot"/>
        </w:tabs>
      </w:pPr>
      <w:r>
        <w:t>11 Regulatorik und Validierung</w:t>
        <w:tab/>
        <w:t>25</w:t>
      </w:r>
    </w:p>
    <w:p>
      <w:pPr>
        <w:pStyle w:val="TOC2"/>
        <w:tabs>
          <w:tab w:pos="9524" w:val="right" w:leader="dot"/>
        </w:tabs>
      </w:pPr>
      <w:r>
        <w:t>11.1 Anforderungen aus dem Lastenheft</w:t>
        <w:tab/>
        <w:t>25</w:t>
      </w:r>
    </w:p>
    <w:p>
      <w:pPr>
        <w:pStyle w:val="TOC2"/>
        <w:tabs>
          <w:tab w:pos="9524" w:val="right" w:leader="dot"/>
        </w:tabs>
      </w:pPr>
      <w:r>
        <w:t>11.2 Rückverfolgbarkeit über 20 Jahre</w:t>
        <w:tab/>
        <w:t>25</w:t>
      </w:r>
    </w:p>
    <w:p>
      <w:pPr>
        <w:pStyle w:val="TOC2"/>
        <w:tabs>
          <w:tab w:pos="9524" w:val="right" w:leader="dot"/>
        </w:tabs>
      </w:pPr>
      <w:r>
        <w:t>11.3 21 CFR Part 11 – Gap-Analyse (Entwurf)</w:t>
        <w:tab/>
        <w:t>25</w:t>
      </w:r>
    </w:p>
    <w:p>
      <w:pPr>
        <w:pStyle w:val="TOC2"/>
        <w:tabs>
          <w:tab w:pos="9524" w:val="right" w:leader="dot"/>
        </w:tabs>
      </w:pPr>
      <w:r>
        <w:t>11.4 Validierungsvorgehen GAMP 5 (Vorschlag)</w:t>
        <w:tab/>
        <w:t>25</w:t>
      </w:r>
    </w:p>
    <w:p>
      <w:pPr>
        <w:pStyle w:val="TOC2"/>
        <w:tabs>
          <w:tab w:pos="9524" w:val="right" w:leader="dot"/>
        </w:tabs>
      </w:pPr>
      <w:r>
        <w:t>11.5 Lagerbedingungen, FIFO/FEFO, Status</w:t>
        <w:tab/>
        <w:t>26</w:t>
      </w:r>
    </w:p>
    <w:p>
      <w:pPr>
        <w:pStyle w:val="TOC1"/>
        <w:tabs>
          <w:tab w:pos="9524" w:val="right" w:leader="dot"/>
        </w:tabs>
      </w:pPr>
      <w:r>
        <w:t>12 Hardware, Betrieb und Einführung</w:t>
        <w:tab/>
        <w:t>27</w:t>
      </w:r>
    </w:p>
    <w:p>
      <w:pPr>
        <w:pStyle w:val="TOC2"/>
        <w:tabs>
          <w:tab w:pos="9524" w:val="right" w:leader="dot"/>
        </w:tabs>
      </w:pPr>
      <w:r>
        <w:t>12.1 Hardware und Infrastruktur</w:t>
        <w:tab/>
        <w:t>27</w:t>
      </w:r>
    </w:p>
    <w:p>
      <w:pPr>
        <w:pStyle w:val="TOC2"/>
        <w:tabs>
          <w:tab w:pos="9524" w:val="right" w:leader="dot"/>
        </w:tabs>
      </w:pPr>
      <w:r>
        <w:t>12.2 Stammdaten und Migration</w:t>
        <w:tab/>
        <w:t>27</w:t>
      </w:r>
    </w:p>
    <w:p>
      <w:pPr>
        <w:pStyle w:val="TOC2"/>
        <w:tabs>
          <w:tab w:pos="9524" w:val="right" w:leader="dot"/>
        </w:tabs>
      </w:pPr>
      <w:r>
        <w:t>12.3 Einführung (Vorschlag)</w:t>
        <w:tab/>
        <w:t>27</w:t>
      </w:r>
    </w:p>
    <w:p>
      <w:pPr>
        <w:pStyle w:val="TOC1"/>
        <w:tabs>
          <w:tab w:pos="9524" w:val="right" w:leader="dot"/>
        </w:tabs>
      </w:pPr>
      <w:r>
        <w:t>13 Risiken und Stolperfallen</w:t>
        <w:tab/>
        <w:t>28</w:t>
      </w:r>
    </w:p>
    <w:p>
      <w:pPr>
        <w:pStyle w:val="TOC1"/>
        <w:tabs>
          <w:tab w:pos="9524" w:val="right" w:leader="dot"/>
        </w:tabs>
      </w:pPr>
      <w:r>
        <w:t>14 Praxisbeispiele</w:t>
        <w:tab/>
        <w:t>29</w:t>
      </w:r>
    </w:p>
    <w:p>
      <w:pPr>
        <w:pStyle w:val="TOC2"/>
        <w:tabs>
          <w:tab w:pos="9524" w:val="right" w:leader="dot"/>
        </w:tabs>
      </w:pPr>
      <w:r>
        <w:t>14.1 Einlagerung von 20 seriennummernpflichtigen Teilen</w:t>
        <w:tab/>
        <w:t>29</w:t>
      </w:r>
    </w:p>
    <w:p>
      <w:pPr>
        <w:pStyle w:val="TOC2"/>
        <w:tabs>
          <w:tab w:pos="9524" w:val="right" w:leader="dot"/>
        </w:tabs>
      </w:pPr>
      <w:r>
        <w:t>14.2 Nachrüstung mit Positionen aus Logimat und Palettenregal</w:t>
        <w:tab/>
        <w:t>29</w:t>
      </w:r>
    </w:p>
    <w:p>
      <w:pPr>
        <w:pStyle w:val="TOC1"/>
        <w:tabs>
          <w:tab w:pos="9524" w:val="right" w:leader="dot"/>
        </w:tabs>
      </w:pPr>
      <w:r>
        <w:t>15 Offene Punkte</w:t>
        <w:tab/>
        <w:t>30</w:t>
      </w:r>
    </w:p>
    <w:p>
      <w:pPr>
        <w:pStyle w:val="TOC1"/>
        <w:tabs>
          <w:tab w:pos="9524" w:val="right" w:leader="dot"/>
        </w:tabs>
      </w:pPr>
      <w:r>
        <w:t>16 Quellenverzeichnis</w:t>
        <w:tab/>
        <w:t>31</w:t>
      </w:r>
      <w:r>
        <w:fldChar w:fldCharType="end"/>
      </w:r>
    </w:p>
    <w:p>
      <w:pPr>
        <w:pStyle w:val="Heading1"/>
      </w:pPr>
      <w:r>
        <w:t>1 Über dieses Dokument</w:t>
      </w:r>
    </w:p>
    <w:p>
      <w:pPr>
        <w:pStyle w:val="Heading2"/>
      </w:pPr>
      <w:r>
        <w:t>1.1 Zweck</w:t>
      </w:r>
    </w:p>
    <w:p>
      <w:r>
        <w:t xml:space="preserve">Dieses Pflichtenheft beschreibt, wie SSI SCHÄFER die Anforderungen aus dem Lastenheft 3796/0001 «Lastenheft WAMAS LVS» der Brütsch Technology AG mit </w:t>
      </w:r>
      <w:r>
        <w:rPr>
          <w:b/>
        </w:rPr>
        <w:t>WAMAS Lift &amp; Store 2.8</w:t>
      </w:r>
      <w:r>
        <w:t xml:space="preserve"> und der manuellen Lagerverwaltung (externe Lagerplätze, Mobilterminal) umsetzen will. Das automatische Lagersystem Logimat ist bereits über die BSB-Schnittstelle (XML/BPE) an Abacus angebunden; diese Anbindung bildet die Grundlage für die Erweiterung auf das Hauptlager.</w:t>
      </w:r>
    </w:p>
    <w:p>
      <w:r>
        <w:t xml:space="preserve">Die Fassung V 0.1 ist ein </w:t>
      </w:r>
      <w:r>
        <w:rPr>
          <w:b/>
        </w:rPr>
        <w:t>Entwurf auf Basis der Unterlagen</w:t>
      </w:r>
      <w:r>
        <w:t>. Es haben noch keine gemeinsamen Workshops stattgefunden. Die Einstufungen sind eine Erstbewertung anhand der WAMAS-Handbücher 2.7/2.8 und müssen durch die Projektleitung SSI SCHÄFER, das Produktmanagement und bsb bestätigt werden. Alles, was aus den Unterlagen nicht belegt ist, ist als «zu klären» markiert und in Kapitel 15 gesammelt.</w:t>
      </w:r>
    </w:p>
    <w:p>
      <w:pPr>
        <w:pStyle w:val="Heading2"/>
      </w:pPr>
      <w:r>
        <w:t>1.2 Lesehinweise</w:t>
      </w:r>
    </w:p>
    <w:p>
      <w:pPr>
        <w:pStyle w:val="ListBullet"/>
      </w:pPr>
      <w:r>
        <w:t>Kapitel 3 enthält für jede Lastenheft-Anforderung (Nr. 1.1–4.15) die vorgesehene Lösung und die Einstufung.</w:t>
      </w:r>
    </w:p>
    <w:p>
      <w:pPr>
        <w:pStyle w:val="ListBullet"/>
      </w:pPr>
      <w:r>
        <w:t>Kapitel 4 bis 12 beschreiben Systemabgrenzung, Lagerorte, Lagerplatzstruktur, Prozesse, Schnittstelle, Berechtigungen, Kennzahlen, Regulatorik und Einführung.</w:t>
      </w:r>
    </w:p>
    <w:p>
      <w:pPr>
        <w:pStyle w:val="ListBullet"/>
      </w:pPr>
      <w:r>
        <w:t>Kapitel 15 listet alle offenen Punkte (OP-01 ff.). In Kapitel 3 verweist «→ OP-xx» auf diese Liste.</w:t>
      </w:r>
    </w:p>
    <w:p>
      <w:pPr>
        <w:pStyle w:val="ListBullet"/>
      </w:pPr>
      <w:r>
        <w:t xml:space="preserve">Dialognamen sind </w:t>
      </w:r>
      <w:r>
        <w:rPr>
          <w:b/>
        </w:rPr>
        <w:t>fett</w:t>
      </w:r>
      <w:r>
        <w:t xml:space="preserve">, Satzarten und Felder der Schnittstelle in </w:t>
      </w:r>
      <w:r>
        <w:rPr>
          <w:rFonts w:ascii="Consolas" w:hAnsi="Consolas" w:cs="Consolas" w:eastAsia="Consolas"/>
          <w:sz w:val="18"/>
        </w:rPr>
        <w:t>Monospace</w:t>
      </w:r>
      <w:r>
        <w:t xml:space="preserve"> gesetzt. Dialognamen stammen aus den deutschen Handbüchern 2.7; im Release 2.8 sind sie zu verifizieren.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7144"/>
      </w:tblGrid>
      <w:tr>
        <w:trPr>
          <w:tblHeader w:val="true"/>
        </w:trPr>
        <w:tc>
          <w:tcPr>
            <w:tcW w:type="dxa" w:w="2381"/>
            <w:shd w:val="clear" w:color="auto" w:fill="FEEE19"/>
          </w:tcPr>
          <w:p>
            <w:pPr>
              <w:spacing w:after="0"/>
            </w:pPr>
            <w:r>
              <w:rPr>
                <w:b/>
                <w:sz w:val="17"/>
              </w:rPr>
              <w:t>Einstufung</w:t>
            </w:r>
          </w:p>
        </w:tc>
        <w:tc>
          <w:tcPr>
            <w:tcW w:type="dxa" w:w="7143"/>
            <w:shd w:val="clear" w:color="auto" w:fill="FEEE19"/>
          </w:tcPr>
          <w:p>
            <w:pPr>
              <w:spacing w:after="0"/>
            </w:pPr>
            <w:r>
              <w:rPr>
                <w:b/>
                <w:sz w:val="17"/>
              </w:rPr>
              <w:t>Bedeutung</w:t>
            </w:r>
          </w:p>
        </w:tc>
      </w:tr>
      <w:tr>
        <w:tc>
          <w:tcPr>
            <w:tcW w:type="dxa" w:w="2381"/>
          </w:tcPr>
          <w:p>
            <w:pPr>
              <w:spacing w:after="0" w:line="252" w:lineRule="auto"/>
            </w:pPr>
            <w:r>
              <w:rPr>
                <w:b/>
                <w:sz w:val="17"/>
              </w:rPr>
              <w:t>Standard</w:t>
            </w:r>
          </w:p>
        </w:tc>
        <w:tc>
          <w:tcPr>
            <w:tcW w:type="dxa" w:w="7143"/>
          </w:tcPr>
          <w:p>
            <w:pPr>
              <w:spacing w:after="0" w:line="252" w:lineRule="auto"/>
            </w:pPr>
            <w:r>
              <w:rPr>
                <w:sz w:val="17"/>
              </w:rPr>
              <w:t>Im WAMAS-Lift-&amp;-Store-Standard laut Handbuch vorhanden, ohne besondere Einstellungen nutzbar</w:t>
            </w:r>
          </w:p>
        </w:tc>
      </w:tr>
      <w:tr>
        <w:tc>
          <w:tcPr>
            <w:tcW w:type="dxa" w:w="2381"/>
          </w:tcPr>
          <w:p>
            <w:pPr>
              <w:spacing w:after="0" w:line="252" w:lineRule="auto"/>
            </w:pPr>
            <w:r>
              <w:rPr>
                <w:b/>
                <w:sz w:val="17"/>
              </w:rPr>
              <w:t>Konfiguration</w:t>
            </w:r>
          </w:p>
        </w:tc>
        <w:tc>
          <w:tcPr>
            <w:tcW w:type="dxa" w:w="7143"/>
          </w:tcPr>
          <w:p>
            <w:pPr>
              <w:spacing w:after="0" w:line="252" w:lineRule="auto"/>
            </w:pPr>
            <w:r>
              <w:rPr>
                <w:sz w:val="17"/>
              </w:rPr>
              <w:t>Standardfunktion, die im Projekt eingestellt oder gepflegt werden muss (Stammdaten, Strategien, Rechte, Parameter)</w:t>
            </w:r>
          </w:p>
        </w:tc>
      </w:tr>
      <w:tr>
        <w:tc>
          <w:tcPr>
            <w:tcW w:type="dxa" w:w="2381"/>
          </w:tcPr>
          <w:p>
            <w:pPr>
              <w:spacing w:after="0" w:line="252" w:lineRule="auto"/>
            </w:pPr>
            <w:r>
              <w:rPr>
                <w:b/>
                <w:sz w:val="17"/>
              </w:rPr>
              <w:t>Projektanpassung</w:t>
            </w:r>
          </w:p>
        </w:tc>
        <w:tc>
          <w:tcPr>
            <w:tcW w:type="dxa" w:w="7143"/>
          </w:tcPr>
          <w:p>
            <w:pPr>
              <w:spacing w:after="0" w:line="252" w:lineRule="auto"/>
            </w:pPr>
            <w:r>
              <w:rPr>
                <w:sz w:val="17"/>
              </w:rPr>
              <w:t>Nicht im dokumentierten Standard enthalten; erfordert Entwicklung, Layout oder Erweiterung (WAMAS, BPE durch bsb)</w:t>
            </w:r>
          </w:p>
        </w:tc>
      </w:tr>
      <w:tr>
        <w:tc>
          <w:tcPr>
            <w:tcW w:type="dxa" w:w="2381"/>
          </w:tcPr>
          <w:p>
            <w:pPr>
              <w:spacing w:after="0" w:line="252" w:lineRule="auto"/>
            </w:pPr>
            <w:r>
              <w:rPr>
                <w:b/>
                <w:sz w:val="17"/>
              </w:rPr>
              <w:t>Klärung nötig</w:t>
            </w:r>
          </w:p>
        </w:tc>
        <w:tc>
          <w:tcPr>
            <w:tcW w:type="dxa" w:w="7143"/>
          </w:tcPr>
          <w:p>
            <w:pPr>
              <w:spacing w:after="0" w:line="252" w:lineRule="auto"/>
            </w:pPr>
            <w:r>
              <w:rPr>
                <w:sz w:val="17"/>
              </w:rPr>
              <w:t>Umsetzbarkeit oder Lösungsweg aus den Unterlagen nicht belegt; Entscheid bzw. Bestätigung erforderlich</w:t>
            </w:r>
          </w:p>
        </w:tc>
      </w:tr>
      <w:tr>
        <w:tc>
          <w:tcPr>
            <w:tcW w:type="dxa" w:w="2381"/>
          </w:tcPr>
          <w:p>
            <w:pPr>
              <w:spacing w:after="0" w:line="252" w:lineRule="auto"/>
            </w:pPr>
            <w:r>
              <w:rPr>
                <w:b/>
                <w:sz w:val="17"/>
              </w:rPr>
              <w:t>Organisation</w:t>
            </w:r>
          </w:p>
        </w:tc>
        <w:tc>
          <w:tcPr>
            <w:tcW w:type="dxa" w:w="7143"/>
          </w:tcPr>
          <w:p>
            <w:pPr>
              <w:spacing w:after="0" w:line="252" w:lineRule="auto"/>
            </w:pPr>
            <w:r>
              <w:rPr>
                <w:sz w:val="17"/>
              </w:rPr>
              <w:t>Aufgabe ausserhalb des Systems (z. B. SOP-Pflege durch Brütsch)</w:t>
            </w:r>
          </w:p>
        </w:tc>
      </w:tr>
    </w:tbl>
    <w:p>
      <w:pPr>
        <w:pStyle w:val="BeschriftungSSI"/>
      </w:pPr>
      <w:r>
        <w:t>Tab. 1: Einstufung der Lösung</w:t>
      </w:r>
    </w:p>
    <w:p>
      <w:r>
        <w:t>Steht bei einer Anforderung mehr als eine Einstufung, ist die erste (fett) die Haupteinstufung.</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Pflichtenheft WAMAS LVS</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0.1</w:t>
            </w:r>
          </w:p>
        </w:tc>
      </w:tr>
      <w:tr>
        <w:tc>
          <w:tcPr>
            <w:tcW w:type="dxa" w:w="2268"/>
          </w:tcPr>
          <w:p>
            <w:pPr>
              <w:spacing w:after="0" w:line="252" w:lineRule="auto"/>
            </w:pPr>
            <w:r>
              <w:rPr>
                <w:b/>
                <w:sz w:val="17"/>
              </w:rPr>
              <w:t>Stand</w:t>
            </w:r>
          </w:p>
        </w:tc>
        <w:tc>
          <w:tcPr>
            <w:tcW w:type="dxa" w:w="7257"/>
          </w:tcPr>
          <w:p>
            <w:pPr>
              <w:spacing w:after="0" w:line="252" w:lineRule="auto"/>
            </w:pPr>
            <w:r>
              <w:rPr>
                <w:sz w:val="17"/>
              </w:rPr>
              <w:t>23.10.2026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SSI SCHÄFER</w:t>
            </w:r>
          </w:p>
        </w:tc>
      </w:tr>
      <w:tr>
        <w:tc>
          <w:tcPr>
            <w:tcW w:type="dxa" w:w="2268"/>
          </w:tcPr>
          <w:p>
            <w:pPr>
              <w:spacing w:after="0" w:line="252" w:lineRule="auto"/>
            </w:pPr>
            <w:r>
              <w:rPr>
                <w:b/>
                <w:sz w:val="17"/>
              </w:rPr>
              <w:t>Sprache</w:t>
            </w:r>
          </w:p>
        </w:tc>
        <w:tc>
          <w:tcPr>
            <w:tcW w:type="dxa" w:w="7257"/>
          </w:tcPr>
          <w:p>
            <w:pPr>
              <w:spacing w:after="0" w:line="252" w:lineRule="auto"/>
            </w:pPr>
            <w:r>
              <w:rPr>
                <w:sz w:val="17"/>
              </w:rPr>
              <w:t>Deutsch (de-CH)</w:t>
            </w:r>
          </w:p>
        </w:tc>
      </w:tr>
      <w:tr>
        <w:tc>
          <w:tcPr>
            <w:tcW w:type="dxa" w:w="2268"/>
          </w:tcPr>
          <w:p>
            <w:pPr>
              <w:spacing w:after="0" w:line="252" w:lineRule="auto"/>
            </w:pPr>
            <w:r>
              <w:rPr>
                <w:b/>
                <w:sz w:val="17"/>
              </w:rPr>
              <w:t>Zielgruppe</w:t>
            </w:r>
          </w:p>
        </w:tc>
        <w:tc>
          <w:tcPr>
            <w:tcW w:type="dxa" w:w="7257"/>
          </w:tcPr>
          <w:p>
            <w:pPr>
              <w:spacing w:after="0" w:line="252" w:lineRule="auto"/>
            </w:pPr>
            <w:r>
              <w:rPr>
                <w:sz w:val="17"/>
              </w:rPr>
              <w:t>Brütsch Technology AG (LOG, QS/QM, PPS, EK, ERP/IT), bsb, Projektteam SSI SCHÄFER</w:t>
            </w:r>
          </w:p>
        </w:tc>
      </w:tr>
      <w:tr>
        <w:tc>
          <w:tcPr>
            <w:tcW w:type="dxa" w:w="2268"/>
          </w:tcPr>
          <w:p>
            <w:pPr>
              <w:spacing w:after="0" w:line="252" w:lineRule="auto"/>
            </w:pPr>
            <w:r>
              <w:rPr>
                <w:b/>
                <w:sz w:val="17"/>
              </w:rPr>
              <w:t>Grundlage</w:t>
            </w:r>
          </w:p>
        </w:tc>
        <w:tc>
          <w:tcPr>
            <w:tcW w:type="dxa" w:w="7257"/>
          </w:tcPr>
          <w:p>
            <w:pPr>
              <w:spacing w:after="0" w:line="252" w:lineRule="auto"/>
            </w:pPr>
            <w:r>
              <w:rPr>
                <w:sz w:val="17"/>
              </w:rPr>
              <w:t>Lastenheft 3796/0001 «Lastenheft WAMAS LVS» (21 Seiten, letzte Prüfung 01.10.2026); Lagerstruktur Projekt 3796 (Excel, 425 Lagerplätze, 7 Prüfpunkte SSI); WAMAS-Lift-&amp;-Store-Handbücher 2.7/2.8</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34"/>
        <w:gridCol w:w="1360"/>
        <w:gridCol w:w="1701"/>
        <w:gridCol w:w="5329"/>
      </w:tblGrid>
      <w:tr>
        <w:trPr>
          <w:tblHeader w:val="true"/>
        </w:trPr>
        <w:tc>
          <w:tcPr>
            <w:tcW w:type="dxa" w:w="1134"/>
            <w:shd w:val="clear" w:color="auto" w:fill="FEEE19"/>
          </w:tcPr>
          <w:p>
            <w:pPr>
              <w:spacing w:after="0"/>
            </w:pPr>
            <w:r>
              <w:rPr>
                <w:b/>
                <w:sz w:val="17"/>
              </w:rPr>
              <w:t>Version</w:t>
            </w:r>
          </w:p>
        </w:tc>
        <w:tc>
          <w:tcPr>
            <w:tcW w:type="dxa" w:w="1361"/>
            <w:shd w:val="clear" w:color="auto" w:fill="FEEE19"/>
          </w:tcPr>
          <w:p>
            <w:pPr>
              <w:spacing w:after="0"/>
            </w:pPr>
            <w:r>
              <w:rPr>
                <w:b/>
                <w:sz w:val="17"/>
              </w:rPr>
              <w:t>Datum</w:t>
            </w:r>
          </w:p>
        </w:tc>
        <w:tc>
          <w:tcPr>
            <w:tcW w:type="dxa" w:w="1701"/>
            <w:shd w:val="clear" w:color="auto" w:fill="FEEE19"/>
          </w:tcPr>
          <w:p>
            <w:pPr>
              <w:spacing w:after="0"/>
            </w:pPr>
            <w:r>
              <w:rPr>
                <w:b/>
                <w:sz w:val="17"/>
              </w:rPr>
              <w:t>Autor</w:t>
            </w:r>
          </w:p>
        </w:tc>
        <w:tc>
          <w:tcPr>
            <w:tcW w:type="dxa" w:w="5329"/>
            <w:shd w:val="clear" w:color="auto" w:fill="FEEE19"/>
          </w:tcPr>
          <w:p>
            <w:pPr>
              <w:spacing w:after="0"/>
            </w:pPr>
            <w:r>
              <w:rPr>
                <w:b/>
                <w:sz w:val="17"/>
              </w:rPr>
              <w:t>Änderung</w:t>
            </w:r>
          </w:p>
        </w:tc>
      </w:tr>
      <w:tr>
        <w:tc>
          <w:tcPr>
            <w:tcW w:type="dxa" w:w="1134"/>
          </w:tcPr>
          <w:p>
            <w:pPr>
              <w:spacing w:after="0" w:line="252" w:lineRule="auto"/>
            </w:pPr>
            <w:r>
              <w:rPr>
                <w:sz w:val="17"/>
              </w:rPr>
              <w:t>0.1</w:t>
            </w:r>
          </w:p>
        </w:tc>
        <w:tc>
          <w:tcPr>
            <w:tcW w:type="dxa" w:w="1361"/>
          </w:tcPr>
          <w:p>
            <w:pPr>
              <w:spacing w:after="0" w:line="252" w:lineRule="auto"/>
            </w:pPr>
            <w:r>
              <w:rPr>
                <w:sz w:val="17"/>
              </w:rPr>
              <w:t>23.10.2026</w:t>
            </w:r>
          </w:p>
        </w:tc>
        <w:tc>
          <w:tcPr>
            <w:tcW w:type="dxa" w:w="1701"/>
          </w:tcPr>
          <w:p>
            <w:pPr>
              <w:spacing w:after="0" w:line="252" w:lineRule="auto"/>
            </w:pPr>
            <w:r>
              <w:rPr>
                <w:sz w:val="17"/>
              </w:rPr>
              <w:t>Marek, SSI SCHÄFER</w:t>
            </w:r>
          </w:p>
        </w:tc>
        <w:tc>
          <w:tcPr>
            <w:tcW w:type="dxa" w:w="5329"/>
          </w:tcPr>
          <w:p>
            <w:pPr>
              <w:spacing w:after="0" w:line="252" w:lineRule="auto"/>
            </w:pPr>
            <w:r>
              <w:rPr>
                <w:sz w:val="17"/>
              </w:rPr>
              <w:t>Erster Entwurf aus Lastenheft 3796/0001 und Lagerstruktur-Excel, ohne Workshop</w:t>
            </w:r>
          </w:p>
        </w:tc>
      </w:tr>
    </w:tbl>
    <w:p>
      <w:pPr>
        <w:pStyle w:val="BeschriftungSSI"/>
      </w:pPr>
      <w:r>
        <w:t>Tab. 2: Änderungshistorie</w:t>
      </w:r>
    </w:p>
    <w:p>
      <w:pPr>
        <w:pStyle w:val="Heading1"/>
      </w:pPr>
      <w:r>
        <w:t>2 Ausgangslage und Zielbild</w:t>
      </w:r>
    </w:p>
    <w:p>
      <w:pPr>
        <w:pStyle w:val="Heading2"/>
      </w:pPr>
      <w:r>
        <w:t>2.1 Ist-Zustand</w:t>
      </w:r>
    </w:p>
    <w:p>
      <w:pPr>
        <w:pStyle w:val="ListBullet"/>
      </w:pPr>
      <w:r>
        <w:t xml:space="preserve">Abacus ist das führende ERP-System und führt alle Lagerbuchungen, Umlagerungen und Bestände. Im Hauptlager (HL) kann einem Artikel in Abacus nur </w:t>
      </w:r>
      <w:r>
        <w:rPr>
          <w:b/>
        </w:rPr>
        <w:t>ein</w:t>
      </w:r>
      <w:r>
        <w:t xml:space="preserve"> Lagerplatz zugewiesen werden (z. B. HL/A01).</w:t>
      </w:r>
    </w:p>
    <w:p>
      <w:pPr>
        <w:pStyle w:val="ListBullet"/>
      </w:pPr>
      <w:r>
        <w:t>Lagerbereiche heute: HL (Hauptlager), WAM (Logimat), WEP, REP, Akkuschrank, Aussenlager.</w:t>
      </w:r>
    </w:p>
    <w:p>
      <w:pPr>
        <w:pStyle w:val="ListBullet"/>
      </w:pPr>
      <w:r>
        <w:t>Folgen: hoher Suchaufwand bei Kommissionierung und Inventur, schlechte Platznutzung, papierbasierte Kommissionierung ohne Plausibilitätsprüfung, keine klar geregelten Buchungsberechtigungen.</w:t>
      </w:r>
    </w:p>
    <w:p>
      <w:pPr>
        <w:pStyle w:val="ListBullet"/>
      </w:pPr>
      <w:r>
        <w:t>Logimat (WAM) ist über die BSB-Schnittstelle an WAMAS angebunden: Abacus übermittelt Lagerbewegungen, WAMAS meldet die Ausführung zurück.</w:t>
      </w:r>
    </w:p>
    <w:p>
      <w:pPr>
        <w:pStyle w:val="ListBullet"/>
      </w:pPr>
      <w:r>
        <w:t>Bestände in WEP und REP gelten für die PPS nicht als frei verfügbar. Diese Logik bleibt erhalten.</w:t>
      </w:r>
    </w:p>
    <w:p>
      <w:pPr>
        <w:pStyle w:val="Quelle"/>
      </w:pPr>
      <w:r>
        <w:rPr>
          <w:b/>
        </w:rPr>
        <w:t xml:space="preserve">Quelle: </w:t>
      </w:r>
      <w:r>
        <w:rPr>
          <w:sz w:val="17"/>
        </w:rPr>
        <w:t>Lastenheft 3796/0001, Kap. 2.1</w:t>
      </w:r>
    </w:p>
    <w:p>
      <w:pPr>
        <w:pStyle w:val="Heading2"/>
      </w:pPr>
      <w:r>
        <w:t>2.2 Zielbild</w:t>
      </w:r>
    </w:p>
    <w:p>
      <w:r>
        <w:t>Abacus bleibt führend für Stammdaten, Artikel, Aufträge, übergeordnete Lagerorte und ERP-relevante Buchungen. WAMAS übernimmt die operative Lagerplatzverwaltung im Lagerort WAM (Logimat und manuelle Plätze) und führt die Mitarbeitenden mit mobilen Scannern durch Einlagerung, Umlagerung, Kommissionierung, Warenausgang und Inventur. Der physische Bestand soll jederzeit lagerplatz-, mengen-, chargen- und, wo nötig, seriennummerngenau nachvollziehbar sein.</w:t>
      </w:r>
    </w:p>
    <w:p>
      <w:pPr>
        <w:pStyle w:val="Quelle"/>
      </w:pPr>
      <w:r>
        <w:rPr>
          <w:b/>
        </w:rPr>
        <w:t xml:space="preserve">Quelle: </w:t>
      </w:r>
      <w:r>
        <w:rPr>
          <w:sz w:val="17"/>
        </w:rPr>
        <w:t>Lastenheft 3796/0001, Kap. 2.2 und 2.2.20</w:t>
      </w:r>
    </w:p>
    <w:p>
      <w:pPr>
        <w:pStyle w:val="Heading2"/>
      </w:pPr>
      <w:r>
        <w:t>2.3 Geltungsbereich</w:t>
      </w:r>
    </w:p>
    <w:p>
      <w:r>
        <w:t>Im Umfang:</w:t>
      </w:r>
    </w:p>
    <w:p>
      <w:pPr>
        <w:pStyle w:val="ListBullet"/>
      </w:pPr>
      <w:r>
        <w:t>Hauptlager (HL) bzw. die künftig unter WAM geführten manuellen Lagerbereiche A–W gemäss Lagerstruktur (Kap. 6), Einbindung des bestehenden Logimat in den Gesamtprozess.</w:t>
      </w:r>
    </w:p>
    <w:p>
      <w:pPr>
        <w:pStyle w:val="ListBullet"/>
      </w:pPr>
      <w:r>
        <w:t>Prozesse: Wareneingang/Einlagerung, Lagerplatzfindung, Umlagerung, Kommissionierung (einzeln und, falls umsetzbar, auftragsübergreifend), Warenausgang, Nachrüstungen, manuelle Ausgänge, Inventur, Fehlmengen, mobile Etikettierung.</w:t>
      </w:r>
    </w:p>
    <w:p>
      <w:pPr>
        <w:pStyle w:val="ListBullet"/>
      </w:pPr>
      <w:r>
        <w:t>Benutzer-, Rollen- und Berechtigungskonzept, Kennzahlen, Schnittstelle Abacus–WAMAS.</w:t>
      </w:r>
    </w:p>
    <w:p>
      <w:r>
        <w:t>Zu prüfen (Option):</w:t>
      </w:r>
    </w:p>
    <w:p>
      <w:pPr>
        <w:pStyle w:val="ListBullet"/>
      </w:pPr>
      <w:r>
        <w:t>Zusätzliche, logisch getrennte WAMAS-Lagerorte: WAM-Sperrlager, WAM-SER (Service), WAM-GE (Entwicklung).</w:t>
      </w:r>
    </w:p>
    <w:p>
      <w:pPr>
        <w:pStyle w:val="ListBullet"/>
      </w:pPr>
      <w:r>
        <w:t>Verwaltung von WEP, REP und Aussenlagern über WAMAS, sofern mit vertretbarem Aufwand möglich.</w:t>
      </w:r>
    </w:p>
    <w:p>
      <w:r>
        <w:t>Nicht im Umfang:</w:t>
      </w:r>
    </w:p>
    <w:p>
      <w:pPr>
        <w:pStyle w:val="ListBullet"/>
      </w:pPr>
      <w:r>
        <w:t>Externe Aussenlager (z. B. Planzer) bleiben eigenständige Lagerorte in Abacus. Die Umbuchung nach WAM wird in Abacus ausgelöst; die physische Einlagerung erfolgt in WAMAS.</w:t>
      </w:r>
    </w:p>
    <w:p>
      <w:pPr>
        <w:pStyle w:val="ListBullet"/>
      </w:pPr>
      <w:r>
        <w:t>Wareneingangsbuchung und Stammdatenpflege (bleiben in Abacus).</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Phasenaufteilung im Lastenheft leer</w:t>
            </w:r>
          </w:p>
          <w:p>
            <w:pPr>
              <w:spacing w:after="40"/>
            </w:pPr>
            <w:r>
              <w:rPr>
                <w:sz w:val="19"/>
              </w:rPr>
              <w:t>Kapitel 4 «Phasenaufteilung» des Lastenhefts enthält nur eine leere Tabelle. Ein Vorschlag steht in Kapitel 12.3; die Phasen sind gemeinsam festzulegen (→ OP-16).</w:t>
            </w:r>
          </w:p>
        </w:tc>
      </w:tr>
    </w:tbl>
    <w:p>
      <w:pPr>
        <w:spacing w:after="40"/>
      </w:pPr>
    </w:p>
    <w:p>
      <w:pPr>
        <w:pStyle w:val="Quelle"/>
      </w:pPr>
      <w:r>
        <w:rPr>
          <w:b/>
        </w:rPr>
        <w:t xml:space="preserve">Quelle: </w:t>
      </w:r>
      <w:r>
        <w:rPr>
          <w:sz w:val="17"/>
        </w:rPr>
        <w:t>Lastenheft 3796/0001, Kap. 2.2.1, 2.2.2, 2.3 und 4</w:t>
      </w:r>
    </w:p>
    <w:p>
      <w:pPr>
        <w:pStyle w:val="Heading1"/>
      </w:pPr>
      <w:r>
        <w:t>3 Lösungsbeschreibung je Anforderung</w:t>
      </w:r>
    </w:p>
    <w:p>
      <w:r>
        <w:t>Die folgenden Tabellen ordnen jeder Anforderung des Lastenhefts (Kap. 3, Tabelle Nr. 1.1–4.15) die vorgesehene Lösung in WAMAS und die Einstufung nach Tab. 1 zu. Die Spalte M/W übernimmt die Kennzeichnung des Lastenhefts (M = Muss, W = Wunsch). Die Nummern 2, 3 und 4 sind im Lastenheft die jeweils erste Zeile einer Gruppe; Nr. 1.1 ist dort als «1..1» gedruckt.</w:t>
      </w:r>
    </w:p>
    <w:p>
      <w:r>
        <w:t>Übersicht: 95 Anforderungen (75 Muss, 20 Wunsch). Haupteinstufung: 37 Standard, 25 Konfiguration, 10 Projektanpassung, 22 Klärung nötig, 1 Organisation. Bei 59 Anforderungen ist mindestens ein Punkt zu klären, bei 28 ist eine Projektanpassung (WAMAS oder BPE) vorgesehen oder möglich.</w:t>
      </w:r>
    </w:p>
    <w:p>
      <w:pPr>
        <w:pStyle w:val="Heading2"/>
      </w:pPr>
      <w:r>
        <w:t>3.1 Regulatorische Anforderungen (1.1–1.9)</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10"/>
        <w:gridCol w:w="2154"/>
        <w:gridCol w:w="453"/>
        <w:gridCol w:w="4762"/>
        <w:gridCol w:w="1644"/>
      </w:tblGrid>
      <w:tr>
        <w:trPr>
          <w:tblHeader w:val="true"/>
        </w:trPr>
        <w:tc>
          <w:tcPr>
            <w:tcW w:type="dxa" w:w="510"/>
            <w:shd w:val="clear" w:color="auto" w:fill="FEEE19"/>
          </w:tcPr>
          <w:p>
            <w:pPr>
              <w:spacing w:after="0"/>
            </w:pPr>
            <w:r>
              <w:rPr>
                <w:b/>
                <w:sz w:val="15"/>
              </w:rPr>
              <w:t>Nr.</w:t>
            </w:r>
          </w:p>
        </w:tc>
        <w:tc>
          <w:tcPr>
            <w:tcW w:type="dxa" w:w="2154"/>
            <w:shd w:val="clear" w:color="auto" w:fill="FEEE19"/>
          </w:tcPr>
          <w:p>
            <w:pPr>
              <w:spacing w:after="0"/>
            </w:pPr>
            <w:r>
              <w:rPr>
                <w:b/>
                <w:sz w:val="15"/>
              </w:rPr>
              <w:t>Anforderung (Lastenheft, gekürzt)</w:t>
            </w:r>
          </w:p>
        </w:tc>
        <w:tc>
          <w:tcPr>
            <w:tcW w:type="dxa" w:w="454"/>
            <w:shd w:val="clear" w:color="auto" w:fill="FEEE19"/>
          </w:tcPr>
          <w:p>
            <w:pPr>
              <w:spacing w:after="0"/>
            </w:pPr>
            <w:r>
              <w:rPr>
                <w:b/>
                <w:sz w:val="15"/>
              </w:rPr>
              <w:t>M/W</w:t>
            </w:r>
          </w:p>
        </w:tc>
        <w:tc>
          <w:tcPr>
            <w:tcW w:type="dxa" w:w="4762"/>
            <w:shd w:val="clear" w:color="auto" w:fill="FEEE19"/>
          </w:tcPr>
          <w:p>
            <w:pPr>
              <w:spacing w:after="0"/>
            </w:pPr>
            <w:r>
              <w:rPr>
                <w:b/>
                <w:sz w:val="15"/>
              </w:rPr>
              <w:t>Lösung in WAMAS (Entwurf)</w:t>
            </w:r>
          </w:p>
        </w:tc>
        <w:tc>
          <w:tcPr>
            <w:tcW w:type="dxa" w:w="1644"/>
            <w:shd w:val="clear" w:color="auto" w:fill="FEEE19"/>
          </w:tcPr>
          <w:p>
            <w:pPr>
              <w:spacing w:after="0"/>
            </w:pPr>
            <w:r>
              <w:rPr>
                <w:b/>
                <w:sz w:val="15"/>
              </w:rPr>
              <w:t>Einstufung</w:t>
            </w:r>
          </w:p>
        </w:tc>
      </w:tr>
      <w:tr>
        <w:tc>
          <w:tcPr>
            <w:tcW w:type="dxa" w:w="510"/>
          </w:tcPr>
          <w:p>
            <w:pPr>
              <w:spacing w:after="0" w:line="252" w:lineRule="auto"/>
            </w:pPr>
            <w:r>
              <w:rPr>
                <w:sz w:val="15"/>
              </w:rPr>
              <w:t>1.1</w:t>
            </w:r>
          </w:p>
        </w:tc>
        <w:tc>
          <w:tcPr>
            <w:tcW w:type="dxa" w:w="2154"/>
          </w:tcPr>
          <w:p>
            <w:pPr>
              <w:spacing w:after="0" w:line="252" w:lineRule="auto"/>
            </w:pPr>
            <w:r>
              <w:rPr>
                <w:sz w:val="15"/>
              </w:rPr>
              <w:t>Sämtliche Lagerbewegungen vollständig, nachvollziehbar und benutzerbezogen protokollieren</w:t>
            </w:r>
          </w:p>
        </w:tc>
        <w:tc>
          <w:tcPr>
            <w:tcW w:type="dxa" w:w="454"/>
          </w:tcPr>
          <w:p>
            <w:pPr>
              <w:spacing w:after="0" w:line="252" w:lineRule="auto"/>
            </w:pPr>
            <w:r>
              <w:rPr>
                <w:sz w:val="15"/>
              </w:rPr>
              <w:t>M</w:t>
            </w:r>
          </w:p>
        </w:tc>
        <w:tc>
          <w:tcPr>
            <w:tcW w:type="dxa" w:w="4762"/>
          </w:tcPr>
          <w:p>
            <w:pPr>
              <w:spacing w:after="0" w:line="252" w:lineRule="auto"/>
            </w:pPr>
            <w:r>
              <w:rPr>
                <w:sz w:val="15"/>
              </w:rPr>
              <w:t xml:space="preserve">Bedarfe (Einlager-, Kommissionier-, Inventurbedarf) und Bestandsobjekte werden in WAMAS mit Status geführt, Rückmeldungen gehen als Satzarten an Abacus. Ein durchgängiges Bewegungsjournal je Bestandsobjekt (Benutzer, Zeit, Quell-/Zielplatz, Charge/SN, Referenz) ist in den Handbüchern nicht beschrieben; das Audit-Protokoll </w:t>
            </w:r>
            <w:r>
              <w:rPr>
                <w:b/>
                <w:sz w:val="15"/>
              </w:rPr>
              <w:t>UM028</w:t>
            </w:r>
            <w:r>
              <w:rPr>
                <w:sz w:val="15"/>
              </w:rPr>
              <w:t xml:space="preserve"> erfasst nur Änderungen an Benutzerdaten. Gap-Analyse siehe Kap. 11.</w:t>
            </w:r>
          </w:p>
        </w:tc>
        <w:tc>
          <w:tcPr>
            <w:tcW w:type="dxa" w:w="1644"/>
          </w:tcPr>
          <w:p>
            <w:pPr>
              <w:spacing w:after="0" w:line="252" w:lineRule="auto"/>
            </w:pPr>
            <w:r>
              <w:rPr>
                <w:b/>
                <w:sz w:val="15"/>
              </w:rPr>
              <w:t>Klärung nötig</w:t>
            </w:r>
          </w:p>
          <w:p>
            <w:pPr>
              <w:spacing w:after="0"/>
            </w:pPr>
            <w:r>
              <w:rPr>
                <w:sz w:val="15"/>
              </w:rPr>
              <w:t>Projektanpassung</w:t>
            </w:r>
          </w:p>
          <w:p>
            <w:pPr>
              <w:spacing w:after="0"/>
            </w:pPr>
            <w:r>
              <w:rPr>
                <w:sz w:val="15"/>
              </w:rPr>
              <w:t>→ OP-07</w:t>
            </w:r>
          </w:p>
        </w:tc>
      </w:tr>
      <w:tr>
        <w:tc>
          <w:tcPr>
            <w:tcW w:type="dxa" w:w="510"/>
          </w:tcPr>
          <w:p>
            <w:pPr>
              <w:spacing w:after="0" w:line="252" w:lineRule="auto"/>
            </w:pPr>
            <w:r>
              <w:rPr>
                <w:sz w:val="15"/>
              </w:rPr>
              <w:t>1.2</w:t>
            </w:r>
          </w:p>
        </w:tc>
        <w:tc>
          <w:tcPr>
            <w:tcW w:type="dxa" w:w="2154"/>
          </w:tcPr>
          <w:p>
            <w:pPr>
              <w:spacing w:after="0" w:line="252" w:lineRule="auto"/>
            </w:pPr>
            <w:r>
              <w:rPr>
                <w:sz w:val="15"/>
              </w:rPr>
              <w:t>Buchungen und Bestandsänderungen revisionssicher speichern</w:t>
            </w:r>
          </w:p>
        </w:tc>
        <w:tc>
          <w:tcPr>
            <w:tcW w:type="dxa" w:w="454"/>
          </w:tcPr>
          <w:p>
            <w:pPr>
              <w:spacing w:after="0" w:line="252" w:lineRule="auto"/>
            </w:pPr>
            <w:r>
              <w:rPr>
                <w:sz w:val="15"/>
              </w:rPr>
              <w:t>M</w:t>
            </w:r>
          </w:p>
        </w:tc>
        <w:tc>
          <w:tcPr>
            <w:tcW w:type="dxa" w:w="4762"/>
          </w:tcPr>
          <w:p>
            <w:pPr>
              <w:spacing w:after="0" w:line="252" w:lineRule="auto"/>
            </w:pPr>
            <w:r>
              <w:rPr>
                <w:sz w:val="15"/>
              </w:rPr>
              <w:t>Revisionssicherheit (unveränderbare Aufzeichnung, Audit Trail mit Alt-/Neuwert und Grund) ist für WAMAS nicht als Standard dokumentiert. Vorschlag: Nachweisführung kombiniert aus Abacus-Buchung und WAMAS-Protokoll; Bewertung in der Validierung (Kap. 11).</w:t>
            </w:r>
          </w:p>
        </w:tc>
        <w:tc>
          <w:tcPr>
            <w:tcW w:type="dxa" w:w="1644"/>
          </w:tcPr>
          <w:p>
            <w:pPr>
              <w:spacing w:after="0" w:line="252" w:lineRule="auto"/>
            </w:pPr>
            <w:r>
              <w:rPr>
                <w:b/>
                <w:sz w:val="15"/>
              </w:rPr>
              <w:t>Klärung nötig</w:t>
            </w:r>
          </w:p>
          <w:p>
            <w:pPr>
              <w:spacing w:after="0"/>
            </w:pPr>
            <w:r>
              <w:rPr>
                <w:sz w:val="15"/>
              </w:rPr>
              <w:t>→ OP-07</w:t>
            </w:r>
          </w:p>
        </w:tc>
      </w:tr>
      <w:tr>
        <w:tc>
          <w:tcPr>
            <w:tcW w:type="dxa" w:w="510"/>
          </w:tcPr>
          <w:p>
            <w:pPr>
              <w:spacing w:after="0" w:line="252" w:lineRule="auto"/>
            </w:pPr>
            <w:r>
              <w:rPr>
                <w:sz w:val="15"/>
              </w:rPr>
              <w:t>1.3</w:t>
            </w:r>
          </w:p>
        </w:tc>
        <w:tc>
          <w:tcPr>
            <w:tcW w:type="dxa" w:w="2154"/>
          </w:tcPr>
          <w:p>
            <w:pPr>
              <w:spacing w:after="0" w:line="252" w:lineRule="auto"/>
            </w:pPr>
            <w:r>
              <w:rPr>
                <w:sz w:val="15"/>
              </w:rPr>
              <w:t>Zugriff nur gemäss Rolle und Berechtigung auf Funktionen, Lagerorte und Bestände</w:t>
            </w:r>
          </w:p>
        </w:tc>
        <w:tc>
          <w:tcPr>
            <w:tcW w:type="dxa" w:w="454"/>
          </w:tcPr>
          <w:p>
            <w:pPr>
              <w:spacing w:after="0" w:line="252" w:lineRule="auto"/>
            </w:pPr>
            <w:r>
              <w:rPr>
                <w:sz w:val="15"/>
              </w:rPr>
              <w:t>M</w:t>
            </w:r>
          </w:p>
        </w:tc>
        <w:tc>
          <w:tcPr>
            <w:tcW w:type="dxa" w:w="4762"/>
          </w:tcPr>
          <w:p>
            <w:pPr>
              <w:spacing w:after="0" w:line="252" w:lineRule="auto"/>
            </w:pPr>
            <w:r>
              <w:rPr>
                <w:sz w:val="15"/>
              </w:rPr>
              <w:t xml:space="preserve">Benutzer, Rollen, Applikations-Zugriffs-Profile (inkl. Registerkarte </w:t>
            </w:r>
            <w:r>
              <w:rPr>
                <w:b/>
                <w:sz w:val="15"/>
              </w:rPr>
              <w:t>Mobiler Zugriff</w:t>
            </w:r>
            <w:r>
              <w:rPr>
                <w:sz w:val="15"/>
              </w:rPr>
              <w:t>) und Datenzugriffsprofile werden zentral gepflegt. Ob ein Datenzugriffsprofil auf Lagerort, Klient oder Zone eingeschränkt werden kann, ist nicht beschrieben.</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OP-18</w:t>
            </w:r>
          </w:p>
        </w:tc>
      </w:tr>
      <w:tr>
        <w:tc>
          <w:tcPr>
            <w:tcW w:type="dxa" w:w="510"/>
          </w:tcPr>
          <w:p>
            <w:pPr>
              <w:spacing w:after="0" w:line="252" w:lineRule="auto"/>
            </w:pPr>
            <w:r>
              <w:rPr>
                <w:sz w:val="15"/>
              </w:rPr>
              <w:t>1.4</w:t>
            </w:r>
          </w:p>
        </w:tc>
        <w:tc>
          <w:tcPr>
            <w:tcW w:type="dxa" w:w="2154"/>
          </w:tcPr>
          <w:p>
            <w:pPr>
              <w:spacing w:after="0" w:line="252" w:lineRule="auto"/>
            </w:pPr>
            <w:r>
              <w:rPr>
                <w:sz w:val="15"/>
              </w:rPr>
              <w:t>Inventurvorgänge, Differenzen, Nachzählungen und Korrekturen nachvollziehbar dokumentieren</w:t>
            </w:r>
          </w:p>
        </w:tc>
        <w:tc>
          <w:tcPr>
            <w:tcW w:type="dxa" w:w="454"/>
          </w:tcPr>
          <w:p>
            <w:pPr>
              <w:spacing w:after="0" w:line="252" w:lineRule="auto"/>
            </w:pPr>
            <w:r>
              <w:rPr>
                <w:sz w:val="15"/>
              </w:rPr>
              <w:t>M</w:t>
            </w:r>
          </w:p>
        </w:tc>
        <w:tc>
          <w:tcPr>
            <w:tcW w:type="dxa" w:w="4762"/>
          </w:tcPr>
          <w:p>
            <w:pPr>
              <w:spacing w:after="0" w:line="252" w:lineRule="auto"/>
            </w:pPr>
            <w:r>
              <w:rPr>
                <w:sz w:val="15"/>
              </w:rPr>
              <w:t>Inventurbedarfe (aus Abacus oder WAMAS) mit Quittierung an den Host sind Standard; Bestandskorrekturen gehen mit Grund und Inventurnummer an Abacus (</w:t>
            </w:r>
            <w:r>
              <w:rPr>
                <w:rFonts w:ascii="Consolas" w:hAnsi="Consolas" w:cs="Consolas" w:eastAsia="Consolas"/>
                <w:sz w:val="13"/>
              </w:rPr>
              <w:t>WLSSTOCKADJ002</w:t>
            </w:r>
            <w:r>
              <w:rPr>
                <w:sz w:val="15"/>
              </w:rPr>
              <w:t>). Ein Nachzähl- und Freigabeschritt ist nicht als Standard dokumentiert.</w:t>
            </w:r>
          </w:p>
        </w:tc>
        <w:tc>
          <w:tcPr>
            <w:tcW w:type="dxa" w:w="1644"/>
          </w:tcPr>
          <w:p>
            <w:pPr>
              <w:spacing w:after="0" w:line="252" w:lineRule="auto"/>
            </w:pPr>
            <w:r>
              <w:rPr>
                <w:b/>
                <w:sz w:val="15"/>
              </w:rPr>
              <w:t>Standard</w:t>
            </w:r>
          </w:p>
          <w:p>
            <w:pPr>
              <w:spacing w:after="0"/>
            </w:pPr>
            <w:r>
              <w:rPr>
                <w:sz w:val="15"/>
              </w:rPr>
              <w:t>Klärung nötig</w:t>
            </w:r>
          </w:p>
          <w:p>
            <w:pPr>
              <w:spacing w:after="0"/>
            </w:pPr>
            <w:r>
              <w:rPr>
                <w:sz w:val="15"/>
              </w:rPr>
              <w:t>→ OP-06</w:t>
            </w:r>
          </w:p>
        </w:tc>
      </w:tr>
      <w:tr>
        <w:tc>
          <w:tcPr>
            <w:tcW w:type="dxa" w:w="510"/>
          </w:tcPr>
          <w:p>
            <w:pPr>
              <w:spacing w:after="0" w:line="252" w:lineRule="auto"/>
            </w:pPr>
            <w:r>
              <w:rPr>
                <w:sz w:val="15"/>
              </w:rPr>
              <w:t>1.5</w:t>
            </w:r>
          </w:p>
        </w:tc>
        <w:tc>
          <w:tcPr>
            <w:tcW w:type="dxa" w:w="2154"/>
          </w:tcPr>
          <w:p>
            <w:pPr>
              <w:spacing w:after="0" w:line="252" w:lineRule="auto"/>
            </w:pPr>
            <w:r>
              <w:rPr>
                <w:sz w:val="15"/>
              </w:rPr>
              <w:t>Klare Trennung frei verfügbar / gesperrt / nicht freigegeben</w:t>
            </w:r>
          </w:p>
        </w:tc>
        <w:tc>
          <w:tcPr>
            <w:tcW w:type="dxa" w:w="454"/>
          </w:tcPr>
          <w:p>
            <w:pPr>
              <w:spacing w:after="0" w:line="252" w:lineRule="auto"/>
            </w:pPr>
            <w:r>
              <w:rPr>
                <w:sz w:val="15"/>
              </w:rPr>
              <w:t>M</w:t>
            </w:r>
          </w:p>
        </w:tc>
        <w:tc>
          <w:tcPr>
            <w:tcW w:type="dxa" w:w="4762"/>
          </w:tcPr>
          <w:p>
            <w:pPr>
              <w:spacing w:after="0" w:line="252" w:lineRule="auto"/>
            </w:pPr>
            <w:r>
              <w:rPr>
                <w:sz w:val="15"/>
              </w:rPr>
              <w:t>Bestandsklassifizierung je Klient (Beispiele im Handbuch: gesperrt, normal, QS-Bestand) mit Default-Wert; Kommissionierbedarfszeilen können eine Bestandsklassifizierung führen (</w:t>
            </w:r>
            <w:r>
              <w:rPr>
                <w:rFonts w:ascii="Consolas" w:hAnsi="Consolas" w:cs="Consolas" w:eastAsia="Consolas"/>
                <w:sz w:val="13"/>
              </w:rPr>
              <w:t>stockRating</w:t>
            </w:r>
            <w:r>
              <w:rPr>
                <w:sz w:val="15"/>
              </w:rPr>
              <w:t>). Abbildung gegenüber Abacus siehe Kap. 5.</w:t>
            </w:r>
          </w:p>
        </w:tc>
        <w:tc>
          <w:tcPr>
            <w:tcW w:type="dxa" w:w="1644"/>
          </w:tcPr>
          <w:p>
            <w:pPr>
              <w:spacing w:after="0" w:line="252" w:lineRule="auto"/>
            </w:pPr>
            <w:r>
              <w:rPr>
                <w:b/>
                <w:sz w:val="15"/>
              </w:rPr>
              <w:t>Konfiguration</w:t>
            </w:r>
          </w:p>
          <w:p>
            <w:pPr>
              <w:spacing w:after="0"/>
            </w:pPr>
            <w:r>
              <w:rPr>
                <w:sz w:val="15"/>
              </w:rPr>
              <w:t>→ OP-05</w:t>
            </w:r>
          </w:p>
        </w:tc>
      </w:tr>
      <w:tr>
        <w:tc>
          <w:tcPr>
            <w:tcW w:type="dxa" w:w="510"/>
          </w:tcPr>
          <w:p>
            <w:pPr>
              <w:spacing w:after="0" w:line="252" w:lineRule="auto"/>
            </w:pPr>
            <w:r>
              <w:rPr>
                <w:sz w:val="15"/>
              </w:rPr>
              <w:t>1.6</w:t>
            </w:r>
          </w:p>
        </w:tc>
        <w:tc>
          <w:tcPr>
            <w:tcW w:type="dxa" w:w="2154"/>
          </w:tcPr>
          <w:p>
            <w:pPr>
              <w:spacing w:after="0" w:line="252" w:lineRule="auto"/>
            </w:pPr>
            <w:r>
              <w:rPr>
                <w:sz w:val="15"/>
              </w:rPr>
              <w:t>Definierte Freigabeprozesse und Berechtigungen für gesperrte Bestände</w:t>
            </w:r>
          </w:p>
        </w:tc>
        <w:tc>
          <w:tcPr>
            <w:tcW w:type="dxa" w:w="454"/>
          </w:tcPr>
          <w:p>
            <w:pPr>
              <w:spacing w:after="0" w:line="252" w:lineRule="auto"/>
            </w:pPr>
            <w:r>
              <w:rPr>
                <w:sz w:val="15"/>
              </w:rPr>
              <w:t>M</w:t>
            </w:r>
          </w:p>
        </w:tc>
        <w:tc>
          <w:tcPr>
            <w:tcW w:type="dxa" w:w="4762"/>
          </w:tcPr>
          <w:p>
            <w:pPr>
              <w:spacing w:after="0" w:line="252" w:lineRule="auto"/>
            </w:pPr>
            <w:r>
              <w:rPr>
                <w:sz w:val="15"/>
              </w:rPr>
              <w:t>Je Bestandsklassifizierung kann festgelegt werden, dass Bestandskorrekturen erweiterte Berechtigungen erfordern. Ein Freigabe-Workflow (z. B. QS-Freigabe mit Begründung oder elektronischer Signatur) ist nicht dokumentiert.</w:t>
            </w:r>
          </w:p>
        </w:tc>
        <w:tc>
          <w:tcPr>
            <w:tcW w:type="dxa" w:w="1644"/>
          </w:tcPr>
          <w:p>
            <w:pPr>
              <w:spacing w:after="0" w:line="252" w:lineRule="auto"/>
            </w:pPr>
            <w:r>
              <w:rPr>
                <w:b/>
                <w:sz w:val="15"/>
              </w:rPr>
              <w:t>Konfiguration</w:t>
            </w:r>
          </w:p>
          <w:p>
            <w:pPr>
              <w:spacing w:after="0"/>
            </w:pPr>
            <w:r>
              <w:rPr>
                <w:sz w:val="15"/>
              </w:rPr>
              <w:t>Projektanpassung</w:t>
            </w:r>
          </w:p>
          <w:p>
            <w:pPr>
              <w:spacing w:after="0"/>
            </w:pPr>
            <w:r>
              <w:rPr>
                <w:sz w:val="15"/>
              </w:rPr>
              <w:t>Klärung nötig</w:t>
            </w:r>
          </w:p>
          <w:p>
            <w:pPr>
              <w:spacing w:after="0"/>
            </w:pPr>
            <w:r>
              <w:rPr>
                <w:sz w:val="15"/>
              </w:rPr>
              <w:t>→ OP-05, OP-07</w:t>
            </w:r>
          </w:p>
        </w:tc>
      </w:tr>
      <w:tr>
        <w:tc>
          <w:tcPr>
            <w:tcW w:type="dxa" w:w="510"/>
          </w:tcPr>
          <w:p>
            <w:pPr>
              <w:spacing w:after="0" w:line="252" w:lineRule="auto"/>
            </w:pPr>
            <w:r>
              <w:rPr>
                <w:sz w:val="15"/>
              </w:rPr>
              <w:t>1.7</w:t>
            </w:r>
          </w:p>
        </w:tc>
        <w:tc>
          <w:tcPr>
            <w:tcW w:type="dxa" w:w="2154"/>
          </w:tcPr>
          <w:p>
            <w:pPr>
              <w:spacing w:after="0" w:line="252" w:lineRule="auto"/>
            </w:pPr>
            <w:r>
              <w:rPr>
                <w:sz w:val="15"/>
              </w:rPr>
              <w:t>Chargen- und seriennummernpflichtige Artikel vollständig rückverfolgbar</w:t>
            </w:r>
          </w:p>
        </w:tc>
        <w:tc>
          <w:tcPr>
            <w:tcW w:type="dxa" w:w="454"/>
          </w:tcPr>
          <w:p>
            <w:pPr>
              <w:spacing w:after="0" w:line="252" w:lineRule="auto"/>
            </w:pPr>
            <w:r>
              <w:rPr>
                <w:sz w:val="15"/>
              </w:rPr>
              <w:t>M</w:t>
            </w:r>
          </w:p>
        </w:tc>
        <w:tc>
          <w:tcPr>
            <w:tcW w:type="dxa" w:w="4762"/>
          </w:tcPr>
          <w:p>
            <w:pPr>
              <w:spacing w:after="0" w:line="252" w:lineRule="auto"/>
            </w:pPr>
            <w:r>
              <w:rPr>
                <w:sz w:val="15"/>
              </w:rPr>
              <w:t xml:space="preserve">Charge ist Standardattribut des Bestandsobjekts; die Seriennummer wird als anpassbares bestandsidentifizierendes Attribut (ABIA) geführt, kann als eindeutig markiert werden und wird bei WE, Inventur, Korrektur und Kommissionierung geprüft. Telegramme führen </w:t>
            </w:r>
            <w:r>
              <w:rPr>
                <w:rFonts w:ascii="Consolas" w:hAnsi="Consolas" w:cs="Consolas" w:eastAsia="Consolas"/>
                <w:sz w:val="13"/>
              </w:rPr>
              <w:t>batch</w:t>
            </w:r>
            <w:r>
              <w:rPr>
                <w:sz w:val="15"/>
              </w:rPr>
              <w:t xml:space="preserve"> und </w:t>
            </w:r>
            <w:r>
              <w:rPr>
                <w:rFonts w:ascii="Consolas" w:hAnsi="Consolas" w:cs="Consolas" w:eastAsia="Consolas"/>
                <w:sz w:val="13"/>
              </w:rPr>
              <w:t>csia1</w:t>
            </w:r>
            <w:r>
              <w:rPr>
                <w:sz w:val="15"/>
              </w:rPr>
              <w:t>–</w:t>
            </w:r>
            <w:r>
              <w:rPr>
                <w:rFonts w:ascii="Consolas" w:hAnsi="Consolas" w:cs="Consolas" w:eastAsia="Consolas"/>
                <w:sz w:val="13"/>
              </w:rPr>
              <w:t>csia20</w:t>
            </w:r>
            <w:r>
              <w:rPr>
                <w:sz w:val="15"/>
              </w:rPr>
              <w:t>. Erfassung je SN am Mobilterminal offen.</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OP-02</w:t>
            </w:r>
          </w:p>
        </w:tc>
      </w:tr>
      <w:tr>
        <w:tc>
          <w:tcPr>
            <w:tcW w:type="dxa" w:w="510"/>
          </w:tcPr>
          <w:p>
            <w:pPr>
              <w:spacing w:after="0" w:line="252" w:lineRule="auto"/>
            </w:pPr>
            <w:r>
              <w:rPr>
                <w:sz w:val="15"/>
              </w:rPr>
              <w:t>1.8</w:t>
            </w:r>
          </w:p>
        </w:tc>
        <w:tc>
          <w:tcPr>
            <w:tcW w:type="dxa" w:w="2154"/>
          </w:tcPr>
          <w:p>
            <w:pPr>
              <w:spacing w:after="0" w:line="252" w:lineRule="auto"/>
            </w:pPr>
            <w:r>
              <w:rPr>
                <w:sz w:val="15"/>
              </w:rPr>
              <w:t>Bestandskorrekturen nur durch berechtigte Benutzer</w:t>
            </w:r>
          </w:p>
        </w:tc>
        <w:tc>
          <w:tcPr>
            <w:tcW w:type="dxa" w:w="454"/>
          </w:tcPr>
          <w:p>
            <w:pPr>
              <w:spacing w:after="0" w:line="252" w:lineRule="auto"/>
            </w:pPr>
            <w:r>
              <w:rPr>
                <w:sz w:val="15"/>
              </w:rPr>
              <w:t>M</w:t>
            </w:r>
          </w:p>
        </w:tc>
        <w:tc>
          <w:tcPr>
            <w:tcW w:type="dxa" w:w="4762"/>
          </w:tcPr>
          <w:p>
            <w:pPr>
              <w:spacing w:after="0" w:line="252" w:lineRule="auto"/>
            </w:pPr>
            <w:r>
              <w:rPr>
                <w:sz w:val="15"/>
              </w:rPr>
              <w:t xml:space="preserve">Rechte über Applikations-Zugriffs-Profil; je Bestandsklassifizierung «Änderungen erfordern erweiterte Berechtigungen»; Buchungsschlüssel und Korrekturgrund in </w:t>
            </w:r>
            <w:r>
              <w:rPr>
                <w:rFonts w:ascii="Consolas" w:hAnsi="Consolas" w:cs="Consolas" w:eastAsia="Consolas"/>
                <w:sz w:val="13"/>
              </w:rPr>
              <w:t>WLSSTOCKADJ002</w:t>
            </w:r>
            <w:r>
              <w:rPr>
                <w:sz w:val="15"/>
              </w:rPr>
              <w:t>.</w:t>
            </w:r>
          </w:p>
        </w:tc>
        <w:tc>
          <w:tcPr>
            <w:tcW w:type="dxa" w:w="1644"/>
          </w:tcPr>
          <w:p>
            <w:pPr>
              <w:spacing w:after="0" w:line="252" w:lineRule="auto"/>
            </w:pPr>
            <w:r>
              <w:rPr>
                <w:b/>
                <w:sz w:val="15"/>
              </w:rPr>
              <w:t>Konfiguration</w:t>
            </w:r>
          </w:p>
        </w:tc>
      </w:tr>
      <w:tr>
        <w:tc>
          <w:tcPr>
            <w:tcW w:type="dxa" w:w="510"/>
          </w:tcPr>
          <w:p>
            <w:pPr>
              <w:spacing w:after="0" w:line="252" w:lineRule="auto"/>
            </w:pPr>
            <w:r>
              <w:rPr>
                <w:sz w:val="15"/>
              </w:rPr>
              <w:t>1.9</w:t>
            </w:r>
          </w:p>
        </w:tc>
        <w:tc>
          <w:tcPr>
            <w:tcW w:type="dxa" w:w="2154"/>
          </w:tcPr>
          <w:p>
            <w:pPr>
              <w:spacing w:after="0" w:line="252" w:lineRule="auto"/>
            </w:pPr>
            <w:r>
              <w:rPr>
                <w:sz w:val="15"/>
              </w:rPr>
              <w:t>Auswertungen und Nachweise für interne und externe Audits</w:t>
            </w:r>
          </w:p>
        </w:tc>
        <w:tc>
          <w:tcPr>
            <w:tcW w:type="dxa" w:w="454"/>
          </w:tcPr>
          <w:p>
            <w:pPr>
              <w:spacing w:after="0" w:line="252" w:lineRule="auto"/>
            </w:pPr>
            <w:r>
              <w:rPr>
                <w:sz w:val="15"/>
              </w:rPr>
              <w:t>W</w:t>
            </w:r>
          </w:p>
        </w:tc>
        <w:tc>
          <w:tcPr>
            <w:tcW w:type="dxa" w:w="4762"/>
          </w:tcPr>
          <w:p>
            <w:pPr>
              <w:spacing w:after="0" w:line="252" w:lineRule="auto"/>
            </w:pPr>
            <w:r>
              <w:rPr>
                <w:sz w:val="15"/>
              </w:rPr>
              <w:t xml:space="preserve">Übersichtsdialoge mit Suche/Erweiterter Suche (z. B. </w:t>
            </w:r>
            <w:r>
              <w:rPr>
                <w:b/>
                <w:sz w:val="15"/>
              </w:rPr>
              <w:t>SM022</w:t>
            </w:r>
            <w:r>
              <w:rPr>
                <w:sz w:val="15"/>
              </w:rPr>
              <w:t xml:space="preserve"> Bestandsobjekte). Ein Audit-Bericht «SN → Lagerplatz → Auftrag» über den Gesamtzeitraum ist kein dokumentierter Standardbericht.</w:t>
            </w:r>
          </w:p>
        </w:tc>
        <w:tc>
          <w:tcPr>
            <w:tcW w:type="dxa" w:w="1644"/>
          </w:tcPr>
          <w:p>
            <w:pPr>
              <w:spacing w:after="0" w:line="252" w:lineRule="auto"/>
            </w:pPr>
            <w:r>
              <w:rPr>
                <w:b/>
                <w:sz w:val="15"/>
              </w:rPr>
              <w:t>Projektanpassung</w:t>
            </w:r>
          </w:p>
          <w:p>
            <w:pPr>
              <w:spacing w:after="0"/>
            </w:pPr>
            <w:r>
              <w:rPr>
                <w:sz w:val="15"/>
              </w:rPr>
              <w:t>Klärung nötig</w:t>
            </w:r>
          </w:p>
          <w:p>
            <w:pPr>
              <w:spacing w:after="0"/>
            </w:pPr>
            <w:r>
              <w:rPr>
                <w:sz w:val="15"/>
              </w:rPr>
              <w:t>→ OP-07, OP-10</w:t>
            </w:r>
          </w:p>
        </w:tc>
      </w:tr>
    </w:tbl>
    <w:p>
      <w:pPr>
        <w:pStyle w:val="BeschriftungSSI"/>
      </w:pPr>
      <w:r>
        <w:t>Tab. 3.1: Lösungsbeschreibung je Anforderung, Gruppe 1 (9 Anforderungen)</w:t>
      </w:r>
    </w:p>
    <w:p>
      <w:pPr>
        <w:pStyle w:val="Heading2"/>
      </w:pPr>
      <w:r>
        <w:t>3.2 Organisatorische Anforderungen (2–2.10)</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10"/>
        <w:gridCol w:w="2154"/>
        <w:gridCol w:w="453"/>
        <w:gridCol w:w="4762"/>
        <w:gridCol w:w="1644"/>
      </w:tblGrid>
      <w:tr>
        <w:trPr>
          <w:tblHeader w:val="true"/>
        </w:trPr>
        <w:tc>
          <w:tcPr>
            <w:tcW w:type="dxa" w:w="510"/>
            <w:shd w:val="clear" w:color="auto" w:fill="FEEE19"/>
          </w:tcPr>
          <w:p>
            <w:pPr>
              <w:spacing w:after="0"/>
            </w:pPr>
            <w:r>
              <w:rPr>
                <w:b/>
                <w:sz w:val="15"/>
              </w:rPr>
              <w:t>Nr.</w:t>
            </w:r>
          </w:p>
        </w:tc>
        <w:tc>
          <w:tcPr>
            <w:tcW w:type="dxa" w:w="2154"/>
            <w:shd w:val="clear" w:color="auto" w:fill="FEEE19"/>
          </w:tcPr>
          <w:p>
            <w:pPr>
              <w:spacing w:after="0"/>
            </w:pPr>
            <w:r>
              <w:rPr>
                <w:b/>
                <w:sz w:val="15"/>
              </w:rPr>
              <w:t>Anforderung (Lastenheft, gekürzt)</w:t>
            </w:r>
          </w:p>
        </w:tc>
        <w:tc>
          <w:tcPr>
            <w:tcW w:type="dxa" w:w="454"/>
            <w:shd w:val="clear" w:color="auto" w:fill="FEEE19"/>
          </w:tcPr>
          <w:p>
            <w:pPr>
              <w:spacing w:after="0"/>
            </w:pPr>
            <w:r>
              <w:rPr>
                <w:b/>
                <w:sz w:val="15"/>
              </w:rPr>
              <w:t>M/W</w:t>
            </w:r>
          </w:p>
        </w:tc>
        <w:tc>
          <w:tcPr>
            <w:tcW w:type="dxa" w:w="4762"/>
            <w:shd w:val="clear" w:color="auto" w:fill="FEEE19"/>
          </w:tcPr>
          <w:p>
            <w:pPr>
              <w:spacing w:after="0"/>
            </w:pPr>
            <w:r>
              <w:rPr>
                <w:b/>
                <w:sz w:val="15"/>
              </w:rPr>
              <w:t>Lösung in WAMAS (Entwurf)</w:t>
            </w:r>
          </w:p>
        </w:tc>
        <w:tc>
          <w:tcPr>
            <w:tcW w:type="dxa" w:w="1644"/>
            <w:shd w:val="clear" w:color="auto" w:fill="FEEE19"/>
          </w:tcPr>
          <w:p>
            <w:pPr>
              <w:spacing w:after="0"/>
            </w:pPr>
            <w:r>
              <w:rPr>
                <w:b/>
                <w:sz w:val="15"/>
              </w:rPr>
              <w:t>Einstufung</w:t>
            </w:r>
          </w:p>
        </w:tc>
      </w:tr>
      <w:tr>
        <w:tc>
          <w:tcPr>
            <w:tcW w:type="dxa" w:w="510"/>
          </w:tcPr>
          <w:p>
            <w:pPr>
              <w:spacing w:after="0" w:line="252" w:lineRule="auto"/>
            </w:pPr>
            <w:r>
              <w:rPr>
                <w:sz w:val="15"/>
              </w:rPr>
              <w:t>2</w:t>
            </w:r>
          </w:p>
        </w:tc>
        <w:tc>
          <w:tcPr>
            <w:tcW w:type="dxa" w:w="2154"/>
          </w:tcPr>
          <w:p>
            <w:pPr>
              <w:spacing w:after="0" w:line="252" w:lineRule="auto"/>
            </w:pPr>
            <w:r>
              <w:rPr>
                <w:sz w:val="15"/>
              </w:rPr>
              <w:t>Abacus bleibt führend für Stammdaten, Artikel, Aufträge und ERP-relevante Buchungen</w:t>
            </w:r>
          </w:p>
        </w:tc>
        <w:tc>
          <w:tcPr>
            <w:tcW w:type="dxa" w:w="454"/>
          </w:tcPr>
          <w:p>
            <w:pPr>
              <w:spacing w:after="0" w:line="252" w:lineRule="auto"/>
            </w:pPr>
            <w:r>
              <w:rPr>
                <w:sz w:val="15"/>
              </w:rPr>
              <w:t>M</w:t>
            </w:r>
          </w:p>
        </w:tc>
        <w:tc>
          <w:tcPr>
            <w:tcW w:type="dxa" w:w="4762"/>
          </w:tcPr>
          <w:p>
            <w:pPr>
              <w:spacing w:after="0" w:line="252" w:lineRule="auto"/>
            </w:pPr>
            <w:r>
              <w:rPr>
                <w:sz w:val="15"/>
              </w:rPr>
              <w:t>Entspricht der Standardarchitektur WAMAS ↔ Host (ERP sendet Stammdaten und Bedarfe, WAMAS quittiert) und der bestehenden BSB-Anbindung für Logimat. Abgrenzung siehe Kap. 4.</w:t>
            </w:r>
          </w:p>
        </w:tc>
        <w:tc>
          <w:tcPr>
            <w:tcW w:type="dxa" w:w="1644"/>
          </w:tcPr>
          <w:p>
            <w:pPr>
              <w:spacing w:after="0" w:line="252" w:lineRule="auto"/>
            </w:pPr>
            <w:r>
              <w:rPr>
                <w:b/>
                <w:sz w:val="15"/>
              </w:rPr>
              <w:t>Standard</w:t>
            </w:r>
          </w:p>
        </w:tc>
      </w:tr>
      <w:tr>
        <w:tc>
          <w:tcPr>
            <w:tcW w:type="dxa" w:w="510"/>
          </w:tcPr>
          <w:p>
            <w:pPr>
              <w:spacing w:after="0" w:line="252" w:lineRule="auto"/>
            </w:pPr>
            <w:r>
              <w:rPr>
                <w:sz w:val="15"/>
              </w:rPr>
              <w:t>2.1</w:t>
            </w:r>
          </w:p>
        </w:tc>
        <w:tc>
          <w:tcPr>
            <w:tcW w:type="dxa" w:w="2154"/>
          </w:tcPr>
          <w:p>
            <w:pPr>
              <w:spacing w:after="0" w:line="252" w:lineRule="auto"/>
            </w:pPr>
            <w:r>
              <w:rPr>
                <w:sz w:val="15"/>
              </w:rPr>
              <w:t>WAMAS übernimmt die operative Lagerplatzverwaltung der angebundenen Bereiche</w:t>
            </w:r>
          </w:p>
        </w:tc>
        <w:tc>
          <w:tcPr>
            <w:tcW w:type="dxa" w:w="454"/>
          </w:tcPr>
          <w:p>
            <w:pPr>
              <w:spacing w:after="0" w:line="252" w:lineRule="auto"/>
            </w:pPr>
            <w:r>
              <w:rPr>
                <w:sz w:val="15"/>
              </w:rPr>
              <w:t>M</w:t>
            </w:r>
          </w:p>
        </w:tc>
        <w:tc>
          <w:tcPr>
            <w:tcW w:type="dxa" w:w="4762"/>
          </w:tcPr>
          <w:p>
            <w:pPr>
              <w:spacing w:after="0" w:line="252" w:lineRule="auto"/>
            </w:pPr>
            <w:r>
              <w:rPr>
                <w:sz w:val="15"/>
              </w:rPr>
              <w:t xml:space="preserve">Manuelle Plätze werden als externe Lagerplätze (Lagerplatzgruppen </w:t>
            </w:r>
            <w:r>
              <w:rPr>
                <w:b/>
                <w:sz w:val="15"/>
              </w:rPr>
              <w:t>LM125/LM126</w:t>
            </w:r>
            <w:r>
              <w:rPr>
                <w:sz w:val="15"/>
              </w:rPr>
              <w:t xml:space="preserve">, Plätze </w:t>
            </w:r>
            <w:r>
              <w:rPr>
                <w:b/>
                <w:sz w:val="15"/>
              </w:rPr>
              <w:t>LM124/LM127</w:t>
            </w:r>
            <w:r>
              <w:rPr>
                <w:sz w:val="15"/>
              </w:rPr>
              <w:t>) in einer WAMAS-Lift-&amp;-Store-Zone geführt und am Mobilterminal bearbeitet. Einschränkung «Externer Artikel» beachten.</w:t>
            </w:r>
          </w:p>
        </w:tc>
        <w:tc>
          <w:tcPr>
            <w:tcW w:type="dxa" w:w="1644"/>
          </w:tcPr>
          <w:p>
            <w:pPr>
              <w:spacing w:after="0" w:line="252" w:lineRule="auto"/>
            </w:pPr>
            <w:r>
              <w:rPr>
                <w:b/>
                <w:sz w:val="15"/>
              </w:rPr>
              <w:t>Standard</w:t>
            </w:r>
          </w:p>
          <w:p>
            <w:pPr>
              <w:spacing w:after="0"/>
            </w:pPr>
            <w:r>
              <w:rPr>
                <w:sz w:val="15"/>
              </w:rPr>
              <w:t>Konfiguration</w:t>
            </w:r>
          </w:p>
          <w:p>
            <w:pPr>
              <w:spacing w:after="0"/>
            </w:pPr>
            <w:r>
              <w:rPr>
                <w:sz w:val="15"/>
              </w:rPr>
              <w:t>→ OP-01</w:t>
            </w:r>
          </w:p>
        </w:tc>
      </w:tr>
      <w:tr>
        <w:tc>
          <w:tcPr>
            <w:tcW w:type="dxa" w:w="510"/>
          </w:tcPr>
          <w:p>
            <w:pPr>
              <w:spacing w:after="0" w:line="252" w:lineRule="auto"/>
            </w:pPr>
            <w:r>
              <w:rPr>
                <w:sz w:val="15"/>
              </w:rPr>
              <w:t>2.2</w:t>
            </w:r>
          </w:p>
        </w:tc>
        <w:tc>
          <w:tcPr>
            <w:tcW w:type="dxa" w:w="2154"/>
          </w:tcPr>
          <w:p>
            <w:pPr>
              <w:spacing w:after="0" w:line="252" w:lineRule="auto"/>
            </w:pPr>
            <w:r>
              <w:rPr>
                <w:sz w:val="15"/>
              </w:rPr>
              <w:t>Alle über WAMAS verwalteten Bereiche in Abacus unter WAM führen</w:t>
            </w:r>
          </w:p>
        </w:tc>
        <w:tc>
          <w:tcPr>
            <w:tcW w:type="dxa" w:w="454"/>
          </w:tcPr>
          <w:p>
            <w:pPr>
              <w:spacing w:after="0" w:line="252" w:lineRule="auto"/>
            </w:pPr>
            <w:r>
              <w:rPr>
                <w:sz w:val="15"/>
              </w:rPr>
              <w:t>M</w:t>
            </w:r>
          </w:p>
        </w:tc>
        <w:tc>
          <w:tcPr>
            <w:tcW w:type="dxa" w:w="4762"/>
          </w:tcPr>
          <w:p>
            <w:pPr>
              <w:spacing w:after="0" w:line="252" w:lineRule="auto"/>
            </w:pPr>
            <w:r>
              <w:rPr>
                <w:sz w:val="15"/>
              </w:rPr>
              <w:t>Abacus-Lagerort WAM umfasst Logimat und manuelle Plätze; die Unterscheidung erfolgt nur in WAMAS (Zone/Lagerplatzgruppe). Widerspruch zu 2.7/2.8 (WAM-Sperrlager, WAM-SER, WAM-GE sind WAMAS-verwaltet, aber nicht WAM) – Formulierung zu klären.</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OP-05, OP-21</w:t>
            </w:r>
          </w:p>
        </w:tc>
      </w:tr>
      <w:tr>
        <w:tc>
          <w:tcPr>
            <w:tcW w:type="dxa" w:w="510"/>
          </w:tcPr>
          <w:p>
            <w:pPr>
              <w:spacing w:after="0" w:line="252" w:lineRule="auto"/>
            </w:pPr>
            <w:r>
              <w:rPr>
                <w:sz w:val="15"/>
              </w:rPr>
              <w:t>2.3</w:t>
            </w:r>
          </w:p>
        </w:tc>
        <w:tc>
          <w:tcPr>
            <w:tcW w:type="dxa" w:w="2154"/>
          </w:tcPr>
          <w:p>
            <w:pPr>
              <w:spacing w:after="0" w:line="252" w:lineRule="auto"/>
            </w:pPr>
            <w:r>
              <w:rPr>
                <w:sz w:val="15"/>
              </w:rPr>
              <w:t>Regulär verfügbare Bestände ausserhalb WEP, REP, Aussenlager unter WAM</w:t>
            </w:r>
          </w:p>
        </w:tc>
        <w:tc>
          <w:tcPr>
            <w:tcW w:type="dxa" w:w="454"/>
          </w:tcPr>
          <w:p>
            <w:pPr>
              <w:spacing w:after="0" w:line="252" w:lineRule="auto"/>
            </w:pPr>
            <w:r>
              <w:rPr>
                <w:sz w:val="15"/>
              </w:rPr>
              <w:t>M</w:t>
            </w:r>
          </w:p>
        </w:tc>
        <w:tc>
          <w:tcPr>
            <w:tcW w:type="dxa" w:w="4762"/>
          </w:tcPr>
          <w:p>
            <w:pPr>
              <w:spacing w:after="0" w:line="252" w:lineRule="auto"/>
            </w:pPr>
            <w:r>
              <w:rPr>
                <w:sz w:val="15"/>
              </w:rPr>
              <w:t>Umbuchung HL → WAM in Abacus (Brütsch/ERP). Erstbefüllung der Platzbestände in WAMAS über Ersterfassung am Mobilterminal oder Bestandsimport (</w:t>
            </w:r>
            <w:r>
              <w:rPr>
                <w:rFonts w:ascii="Consolas" w:hAnsi="Consolas" w:cs="Consolas" w:eastAsia="Consolas"/>
                <w:sz w:val="13"/>
              </w:rPr>
              <w:t>WLSSTOCKIMPORT001</w:t>
            </w:r>
            <w:r>
              <w:rPr>
                <w:sz w:val="15"/>
              </w:rPr>
              <w:t xml:space="preserve"> bzw. Import in </w:t>
            </w:r>
            <w:r>
              <w:rPr>
                <w:b/>
                <w:sz w:val="15"/>
              </w:rPr>
              <w:t>LM127</w:t>
            </w:r>
            <w:r>
              <w:rPr>
                <w:sz w:val="15"/>
              </w:rPr>
              <w:t>); Importformat nicht dokumentiert.</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OP-16</w:t>
            </w:r>
          </w:p>
        </w:tc>
      </w:tr>
      <w:tr>
        <w:tc>
          <w:tcPr>
            <w:tcW w:type="dxa" w:w="510"/>
          </w:tcPr>
          <w:p>
            <w:pPr>
              <w:spacing w:after="0" w:line="252" w:lineRule="auto"/>
            </w:pPr>
            <w:r>
              <w:rPr>
                <w:sz w:val="15"/>
              </w:rPr>
              <w:t>2.4</w:t>
            </w:r>
          </w:p>
        </w:tc>
        <w:tc>
          <w:tcPr>
            <w:tcW w:type="dxa" w:w="2154"/>
          </w:tcPr>
          <w:p>
            <w:pPr>
              <w:spacing w:after="0" w:line="252" w:lineRule="auto"/>
            </w:pPr>
            <w:r>
              <w:rPr>
                <w:sz w:val="15"/>
              </w:rPr>
              <w:t>Einführung im laufenden Betrieb mit geringer Beeinträchtigung</w:t>
            </w:r>
          </w:p>
        </w:tc>
        <w:tc>
          <w:tcPr>
            <w:tcW w:type="dxa" w:w="454"/>
          </w:tcPr>
          <w:p>
            <w:pPr>
              <w:spacing w:after="0" w:line="252" w:lineRule="auto"/>
            </w:pPr>
            <w:r>
              <w:rPr>
                <w:sz w:val="15"/>
              </w:rPr>
              <w:t>M</w:t>
            </w:r>
          </w:p>
        </w:tc>
        <w:tc>
          <w:tcPr>
            <w:tcW w:type="dxa" w:w="4762"/>
          </w:tcPr>
          <w:p>
            <w:pPr>
              <w:spacing w:after="0" w:line="252" w:lineRule="auto"/>
            </w:pPr>
            <w:r>
              <w:rPr>
                <w:sz w:val="15"/>
              </w:rPr>
              <w:t>Vorschlag: bereichsweise Umstellung mit Testsystem, Etikettierung und Ersterfassung je Bereich (Kap. 12). Phasenaufteilung im Lastenheft (Kap. 4) ist leer.</w:t>
            </w:r>
          </w:p>
        </w:tc>
        <w:tc>
          <w:tcPr>
            <w:tcW w:type="dxa" w:w="1644"/>
          </w:tcPr>
          <w:p>
            <w:pPr>
              <w:spacing w:after="0" w:line="252" w:lineRule="auto"/>
            </w:pPr>
            <w:r>
              <w:rPr>
                <w:b/>
                <w:sz w:val="15"/>
              </w:rPr>
              <w:t>Klärung nötig</w:t>
            </w:r>
          </w:p>
          <w:p>
            <w:pPr>
              <w:spacing w:after="0"/>
            </w:pPr>
            <w:r>
              <w:rPr>
                <w:sz w:val="15"/>
              </w:rPr>
              <w:t>→ OP-16</w:t>
            </w:r>
          </w:p>
        </w:tc>
      </w:tr>
      <w:tr>
        <w:tc>
          <w:tcPr>
            <w:tcW w:type="dxa" w:w="510"/>
          </w:tcPr>
          <w:p>
            <w:pPr>
              <w:spacing w:after="0" w:line="252" w:lineRule="auto"/>
            </w:pPr>
            <w:r>
              <w:rPr>
                <w:sz w:val="15"/>
              </w:rPr>
              <w:t>2.5</w:t>
            </w:r>
          </w:p>
        </w:tc>
        <w:tc>
          <w:tcPr>
            <w:tcW w:type="dxa" w:w="2154"/>
          </w:tcPr>
          <w:p>
            <w:pPr>
              <w:spacing w:after="0" w:line="252" w:lineRule="auto"/>
            </w:pPr>
            <w:r>
              <w:rPr>
                <w:sz w:val="15"/>
              </w:rPr>
              <w:t>SOPs, Arbeitsanweisungen und Prozessdokumente vor Go-Live prüfen/aktualisieren</w:t>
            </w:r>
          </w:p>
        </w:tc>
        <w:tc>
          <w:tcPr>
            <w:tcW w:type="dxa" w:w="454"/>
          </w:tcPr>
          <w:p>
            <w:pPr>
              <w:spacing w:after="0" w:line="252" w:lineRule="auto"/>
            </w:pPr>
            <w:r>
              <w:rPr>
                <w:sz w:val="15"/>
              </w:rPr>
              <w:t>M</w:t>
            </w:r>
          </w:p>
        </w:tc>
        <w:tc>
          <w:tcPr>
            <w:tcW w:type="dxa" w:w="4762"/>
          </w:tcPr>
          <w:p>
            <w:pPr>
              <w:spacing w:after="0" w:line="252" w:lineRule="auto"/>
            </w:pPr>
            <w:r>
              <w:rPr>
                <w:sz w:val="15"/>
              </w:rPr>
              <w:t>Aufgabe Brütsch (LOG, QM). SSI SCHÄFER liefert Prozessbeschreibungen und Schulungsunterlagen als Input.</w:t>
            </w:r>
          </w:p>
        </w:tc>
        <w:tc>
          <w:tcPr>
            <w:tcW w:type="dxa" w:w="1644"/>
          </w:tcPr>
          <w:p>
            <w:pPr>
              <w:spacing w:after="0" w:line="252" w:lineRule="auto"/>
            </w:pPr>
            <w:r>
              <w:rPr>
                <w:b/>
                <w:sz w:val="15"/>
              </w:rPr>
              <w:t>Organisation</w:t>
            </w:r>
          </w:p>
        </w:tc>
      </w:tr>
      <w:tr>
        <w:tc>
          <w:tcPr>
            <w:tcW w:type="dxa" w:w="510"/>
          </w:tcPr>
          <w:p>
            <w:pPr>
              <w:spacing w:after="0" w:line="252" w:lineRule="auto"/>
            </w:pPr>
            <w:r>
              <w:rPr>
                <w:sz w:val="15"/>
              </w:rPr>
              <w:t>2.6</w:t>
            </w:r>
          </w:p>
        </w:tc>
        <w:tc>
          <w:tcPr>
            <w:tcW w:type="dxa" w:w="2154"/>
          </w:tcPr>
          <w:p>
            <w:pPr>
              <w:spacing w:after="0" w:line="252" w:lineRule="auto"/>
            </w:pPr>
            <w:r>
              <w:rPr>
                <w:sz w:val="15"/>
              </w:rPr>
              <w:t>Einfache Erweiterung auf weitere Lagerbereiche</w:t>
            </w:r>
          </w:p>
        </w:tc>
        <w:tc>
          <w:tcPr>
            <w:tcW w:type="dxa" w:w="454"/>
          </w:tcPr>
          <w:p>
            <w:pPr>
              <w:spacing w:after="0" w:line="252" w:lineRule="auto"/>
            </w:pPr>
            <w:r>
              <w:rPr>
                <w:sz w:val="15"/>
              </w:rPr>
              <w:t>W</w:t>
            </w:r>
          </w:p>
        </w:tc>
        <w:tc>
          <w:tcPr>
            <w:tcW w:type="dxa" w:w="4762"/>
          </w:tcPr>
          <w:p>
            <w:pPr>
              <w:spacing w:after="0" w:line="252" w:lineRule="auto"/>
            </w:pPr>
            <w:r>
              <w:rPr>
                <w:sz w:val="15"/>
              </w:rPr>
              <w:t>Weitere Lagerplatzgruppen/Zonen per Generator oder Import, ohne Programmierung.</w:t>
            </w:r>
          </w:p>
        </w:tc>
        <w:tc>
          <w:tcPr>
            <w:tcW w:type="dxa" w:w="1644"/>
          </w:tcPr>
          <w:p>
            <w:pPr>
              <w:spacing w:after="0" w:line="252" w:lineRule="auto"/>
            </w:pPr>
            <w:r>
              <w:rPr>
                <w:b/>
                <w:sz w:val="15"/>
              </w:rPr>
              <w:t>Standard</w:t>
            </w:r>
          </w:p>
        </w:tc>
      </w:tr>
      <w:tr>
        <w:tc>
          <w:tcPr>
            <w:tcW w:type="dxa" w:w="510"/>
          </w:tcPr>
          <w:p>
            <w:pPr>
              <w:spacing w:after="0" w:line="252" w:lineRule="auto"/>
            </w:pPr>
            <w:r>
              <w:rPr>
                <w:sz w:val="15"/>
              </w:rPr>
              <w:t>2.7</w:t>
            </w:r>
          </w:p>
        </w:tc>
        <w:tc>
          <w:tcPr>
            <w:tcW w:type="dxa" w:w="2154"/>
          </w:tcPr>
          <w:p>
            <w:pPr>
              <w:spacing w:after="0" w:line="252" w:lineRule="auto"/>
            </w:pPr>
            <w:r>
              <w:rPr>
                <w:sz w:val="15"/>
              </w:rPr>
              <w:t>Zusätzlicher Lagerort WAM-Sperrlager für gesperrte Bestände</w:t>
            </w:r>
          </w:p>
        </w:tc>
        <w:tc>
          <w:tcPr>
            <w:tcW w:type="dxa" w:w="454"/>
          </w:tcPr>
          <w:p>
            <w:pPr>
              <w:spacing w:after="0" w:line="252" w:lineRule="auto"/>
            </w:pPr>
            <w:r>
              <w:rPr>
                <w:sz w:val="15"/>
              </w:rPr>
              <w:t>W</w:t>
            </w:r>
          </w:p>
        </w:tc>
        <w:tc>
          <w:tcPr>
            <w:tcW w:type="dxa" w:w="4762"/>
          </w:tcPr>
          <w:p>
            <w:pPr>
              <w:spacing w:after="0" w:line="252" w:lineRule="auto"/>
            </w:pPr>
            <w:r>
              <w:rPr>
                <w:sz w:val="15"/>
              </w:rPr>
              <w:t>Varianten: Bestandsklassifizierung «gesperrt» und/oder eigene Lagerplatzgruppe/Zone für den physischen Sperrbereich; Abacus-Lagerort WAM-Sperrlager mit Umbuchung über die Schnittstelle. Variantenentscheid und Mapping mit bsb (Kap. 5.4).</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OP-05</w:t>
            </w:r>
          </w:p>
        </w:tc>
      </w:tr>
      <w:tr>
        <w:tc>
          <w:tcPr>
            <w:tcW w:type="dxa" w:w="510"/>
          </w:tcPr>
          <w:p>
            <w:pPr>
              <w:spacing w:after="0" w:line="252" w:lineRule="auto"/>
            </w:pPr>
            <w:r>
              <w:rPr>
                <w:sz w:val="15"/>
              </w:rPr>
              <w:t>2.8</w:t>
            </w:r>
          </w:p>
        </w:tc>
        <w:tc>
          <w:tcPr>
            <w:tcW w:type="dxa" w:w="2154"/>
          </w:tcPr>
          <w:p>
            <w:pPr>
              <w:spacing w:after="0" w:line="252" w:lineRule="auto"/>
            </w:pPr>
            <w:r>
              <w:rPr>
                <w:sz w:val="15"/>
              </w:rPr>
              <w:t>Weitere Lagerorte WAM-SER (Service) und WAM-GE (Entwicklung)</w:t>
            </w:r>
          </w:p>
        </w:tc>
        <w:tc>
          <w:tcPr>
            <w:tcW w:type="dxa" w:w="454"/>
          </w:tcPr>
          <w:p>
            <w:pPr>
              <w:spacing w:after="0" w:line="252" w:lineRule="auto"/>
            </w:pPr>
            <w:r>
              <w:rPr>
                <w:sz w:val="15"/>
              </w:rPr>
              <w:t>W</w:t>
            </w:r>
          </w:p>
        </w:tc>
        <w:tc>
          <w:tcPr>
            <w:tcW w:type="dxa" w:w="4762"/>
          </w:tcPr>
          <w:p>
            <w:pPr>
              <w:spacing w:after="0" w:line="252" w:lineRule="auto"/>
            </w:pPr>
            <w:r>
              <w:rPr>
                <w:sz w:val="15"/>
              </w:rPr>
              <w:t>Varianten: Klient, Wareneigentümer oder Bestandsklassifizierung je Lagerort; Auswirkungen auf PPS-Verfügbarkeit, Berechtigungen und BPE zu prüfen (Kap. 5.4).</w:t>
            </w:r>
          </w:p>
        </w:tc>
        <w:tc>
          <w:tcPr>
            <w:tcW w:type="dxa" w:w="1644"/>
          </w:tcPr>
          <w:p>
            <w:pPr>
              <w:spacing w:after="0" w:line="252" w:lineRule="auto"/>
            </w:pPr>
            <w:r>
              <w:rPr>
                <w:b/>
                <w:sz w:val="15"/>
              </w:rPr>
              <w:t>Klärung nötig</w:t>
            </w:r>
          </w:p>
          <w:p>
            <w:pPr>
              <w:spacing w:after="0"/>
            </w:pPr>
            <w:r>
              <w:rPr>
                <w:sz w:val="15"/>
              </w:rPr>
              <w:t>→ OP-05</w:t>
            </w:r>
          </w:p>
        </w:tc>
      </w:tr>
      <w:tr>
        <w:tc>
          <w:tcPr>
            <w:tcW w:type="dxa" w:w="510"/>
          </w:tcPr>
          <w:p>
            <w:pPr>
              <w:spacing w:after="0" w:line="252" w:lineRule="auto"/>
            </w:pPr>
            <w:r>
              <w:rPr>
                <w:sz w:val="15"/>
              </w:rPr>
              <w:t>2.9</w:t>
            </w:r>
          </w:p>
        </w:tc>
        <w:tc>
          <w:tcPr>
            <w:tcW w:type="dxa" w:w="2154"/>
          </w:tcPr>
          <w:p>
            <w:pPr>
              <w:spacing w:after="0" w:line="252" w:lineRule="auto"/>
            </w:pPr>
            <w:r>
              <w:rPr>
                <w:sz w:val="15"/>
              </w:rPr>
              <w:t>Separate Lagerorte logisch getrennt (Bestand, Berechtigung, Verfügbarkeit)</w:t>
            </w:r>
          </w:p>
        </w:tc>
        <w:tc>
          <w:tcPr>
            <w:tcW w:type="dxa" w:w="454"/>
          </w:tcPr>
          <w:p>
            <w:pPr>
              <w:spacing w:after="0" w:line="252" w:lineRule="auto"/>
            </w:pPr>
            <w:r>
              <w:rPr>
                <w:sz w:val="15"/>
              </w:rPr>
              <w:t>M</w:t>
            </w:r>
          </w:p>
        </w:tc>
        <w:tc>
          <w:tcPr>
            <w:tcW w:type="dxa" w:w="4762"/>
          </w:tcPr>
          <w:p>
            <w:pPr>
              <w:spacing w:after="0" w:line="252" w:lineRule="auto"/>
            </w:pPr>
            <w:r>
              <w:rPr>
                <w:sz w:val="15"/>
              </w:rPr>
              <w:t>Trennung von Bestand und Verfügbarkeit über die gewählte Variante (2.7/2.8); Trennung der Berechtigungen hängt von der Einschränkbarkeit der Datenzugriffsprofile ab.</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OP-05, OP-18</w:t>
            </w:r>
          </w:p>
        </w:tc>
      </w:tr>
      <w:tr>
        <w:tc>
          <w:tcPr>
            <w:tcW w:type="dxa" w:w="510"/>
          </w:tcPr>
          <w:p>
            <w:pPr>
              <w:spacing w:after="0" w:line="252" w:lineRule="auto"/>
            </w:pPr>
            <w:r>
              <w:rPr>
                <w:sz w:val="15"/>
              </w:rPr>
              <w:t>2.10</w:t>
            </w:r>
          </w:p>
        </w:tc>
        <w:tc>
          <w:tcPr>
            <w:tcW w:type="dxa" w:w="2154"/>
          </w:tcPr>
          <w:p>
            <w:pPr>
              <w:spacing w:after="0" w:line="252" w:lineRule="auto"/>
            </w:pPr>
            <w:r>
              <w:rPr>
                <w:sz w:val="15"/>
              </w:rPr>
              <w:t>Schulung der betroffenen Mitarbeitenden vor Go-Live</w:t>
            </w:r>
          </w:p>
        </w:tc>
        <w:tc>
          <w:tcPr>
            <w:tcW w:type="dxa" w:w="454"/>
          </w:tcPr>
          <w:p>
            <w:pPr>
              <w:spacing w:after="0" w:line="252" w:lineRule="auto"/>
            </w:pPr>
            <w:r>
              <w:rPr>
                <w:sz w:val="15"/>
              </w:rPr>
              <w:t>M</w:t>
            </w:r>
          </w:p>
        </w:tc>
        <w:tc>
          <w:tcPr>
            <w:tcW w:type="dxa" w:w="4762"/>
          </w:tcPr>
          <w:p>
            <w:pPr>
              <w:spacing w:after="0" w:line="252" w:lineRule="auto"/>
            </w:pPr>
            <w:r>
              <w:rPr>
                <w:sz w:val="15"/>
              </w:rPr>
              <w:t>Key-User- und Anwenderschulung (Desktop, Mobilterminal, Druck) als Projektleistung; Umfang, Termine und Teilnehmende zu planen.</w:t>
            </w:r>
          </w:p>
        </w:tc>
        <w:tc>
          <w:tcPr>
            <w:tcW w:type="dxa" w:w="1644"/>
          </w:tcPr>
          <w:p>
            <w:pPr>
              <w:spacing w:after="0" w:line="252" w:lineRule="auto"/>
            </w:pPr>
            <w:r>
              <w:rPr>
                <w:b/>
                <w:sz w:val="15"/>
              </w:rPr>
              <w:t>Standard</w:t>
            </w:r>
          </w:p>
          <w:p>
            <w:pPr>
              <w:spacing w:after="0"/>
            </w:pPr>
            <w:r>
              <w:rPr>
                <w:sz w:val="15"/>
              </w:rPr>
              <w:t>Klärung nötig</w:t>
            </w:r>
          </w:p>
          <w:p>
            <w:pPr>
              <w:spacing w:after="0"/>
            </w:pPr>
            <w:r>
              <w:rPr>
                <w:sz w:val="15"/>
              </w:rPr>
              <w:t>→ OP-16</w:t>
            </w:r>
          </w:p>
        </w:tc>
      </w:tr>
    </w:tbl>
    <w:p>
      <w:pPr>
        <w:pStyle w:val="BeschriftungSSI"/>
      </w:pPr>
      <w:r>
        <w:t>Tab. 3.2: Lösungsbeschreibung je Anforderung, Gruppe 2 (11 Anforderungen)</w:t>
      </w:r>
    </w:p>
    <w:p>
      <w:pPr>
        <w:pStyle w:val="Heading2"/>
      </w:pPr>
      <w:r>
        <w:t>3.3 Funktionale Anforderungen (3–3.58)</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10"/>
        <w:gridCol w:w="2154"/>
        <w:gridCol w:w="453"/>
        <w:gridCol w:w="4762"/>
        <w:gridCol w:w="1644"/>
      </w:tblGrid>
      <w:tr>
        <w:trPr>
          <w:tblHeader w:val="true"/>
        </w:trPr>
        <w:tc>
          <w:tcPr>
            <w:tcW w:type="dxa" w:w="510"/>
            <w:shd w:val="clear" w:color="auto" w:fill="FEEE19"/>
          </w:tcPr>
          <w:p>
            <w:pPr>
              <w:spacing w:after="0"/>
            </w:pPr>
            <w:r>
              <w:rPr>
                <w:b/>
                <w:sz w:val="15"/>
              </w:rPr>
              <w:t>Nr.</w:t>
            </w:r>
          </w:p>
        </w:tc>
        <w:tc>
          <w:tcPr>
            <w:tcW w:type="dxa" w:w="2154"/>
            <w:shd w:val="clear" w:color="auto" w:fill="FEEE19"/>
          </w:tcPr>
          <w:p>
            <w:pPr>
              <w:spacing w:after="0"/>
            </w:pPr>
            <w:r>
              <w:rPr>
                <w:b/>
                <w:sz w:val="15"/>
              </w:rPr>
              <w:t>Anforderung (Lastenheft, gekürzt)</w:t>
            </w:r>
          </w:p>
        </w:tc>
        <w:tc>
          <w:tcPr>
            <w:tcW w:type="dxa" w:w="454"/>
            <w:shd w:val="clear" w:color="auto" w:fill="FEEE19"/>
          </w:tcPr>
          <w:p>
            <w:pPr>
              <w:spacing w:after="0"/>
            </w:pPr>
            <w:r>
              <w:rPr>
                <w:b/>
                <w:sz w:val="15"/>
              </w:rPr>
              <w:t>M/W</w:t>
            </w:r>
          </w:p>
        </w:tc>
        <w:tc>
          <w:tcPr>
            <w:tcW w:type="dxa" w:w="4762"/>
            <w:shd w:val="clear" w:color="auto" w:fill="FEEE19"/>
          </w:tcPr>
          <w:p>
            <w:pPr>
              <w:spacing w:after="0"/>
            </w:pPr>
            <w:r>
              <w:rPr>
                <w:b/>
                <w:sz w:val="15"/>
              </w:rPr>
              <w:t>Lösung in WAMAS (Entwurf)</w:t>
            </w:r>
          </w:p>
        </w:tc>
        <w:tc>
          <w:tcPr>
            <w:tcW w:type="dxa" w:w="1644"/>
            <w:shd w:val="clear" w:color="auto" w:fill="FEEE19"/>
          </w:tcPr>
          <w:p>
            <w:pPr>
              <w:spacing w:after="0"/>
            </w:pPr>
            <w:r>
              <w:rPr>
                <w:b/>
                <w:sz w:val="15"/>
              </w:rPr>
              <w:t>Einstufung</w:t>
            </w:r>
          </w:p>
        </w:tc>
      </w:tr>
      <w:tr>
        <w:tc>
          <w:tcPr>
            <w:tcW w:type="dxa" w:w="510"/>
          </w:tcPr>
          <w:p>
            <w:pPr>
              <w:spacing w:after="0" w:line="252" w:lineRule="auto"/>
            </w:pPr>
            <w:r>
              <w:rPr>
                <w:sz w:val="15"/>
              </w:rPr>
              <w:t>3</w:t>
            </w:r>
          </w:p>
        </w:tc>
        <w:tc>
          <w:tcPr>
            <w:tcW w:type="dxa" w:w="2154"/>
          </w:tcPr>
          <w:p>
            <w:pPr>
              <w:spacing w:after="0" w:line="252" w:lineRule="auto"/>
            </w:pPr>
            <w:r>
              <w:rPr>
                <w:sz w:val="15"/>
              </w:rPr>
              <w:t>Ein Artikel auf mehreren Lagerplätzen</w:t>
            </w:r>
          </w:p>
        </w:tc>
        <w:tc>
          <w:tcPr>
            <w:tcW w:type="dxa" w:w="454"/>
          </w:tcPr>
          <w:p>
            <w:pPr>
              <w:spacing w:after="0" w:line="252" w:lineRule="auto"/>
            </w:pPr>
            <w:r>
              <w:rPr>
                <w:sz w:val="15"/>
              </w:rPr>
              <w:t>M</w:t>
            </w:r>
          </w:p>
        </w:tc>
        <w:tc>
          <w:tcPr>
            <w:tcW w:type="dxa" w:w="4762"/>
          </w:tcPr>
          <w:p>
            <w:pPr>
              <w:spacing w:after="0" w:line="252" w:lineRule="auto"/>
            </w:pPr>
            <w:r>
              <w:rPr>
                <w:sz w:val="15"/>
              </w:rPr>
              <w:t>Bestand wird als Bestandsobjekt je Lagerplatz geführt; ein Artikel kann auf beliebig vielen Plätzen liegen.</w:t>
            </w:r>
          </w:p>
        </w:tc>
        <w:tc>
          <w:tcPr>
            <w:tcW w:type="dxa" w:w="1644"/>
          </w:tcPr>
          <w:p>
            <w:pPr>
              <w:spacing w:after="0" w:line="252" w:lineRule="auto"/>
            </w:pPr>
            <w:r>
              <w:rPr>
                <w:b/>
                <w:sz w:val="15"/>
              </w:rPr>
              <w:t>Standard</w:t>
            </w:r>
          </w:p>
        </w:tc>
      </w:tr>
      <w:tr>
        <w:tc>
          <w:tcPr>
            <w:tcW w:type="dxa" w:w="510"/>
          </w:tcPr>
          <w:p>
            <w:pPr>
              <w:spacing w:after="0" w:line="252" w:lineRule="auto"/>
            </w:pPr>
            <w:r>
              <w:rPr>
                <w:sz w:val="15"/>
              </w:rPr>
              <w:t>3.1</w:t>
            </w:r>
          </w:p>
        </w:tc>
        <w:tc>
          <w:tcPr>
            <w:tcW w:type="dxa" w:w="2154"/>
          </w:tcPr>
          <w:p>
            <w:pPr>
              <w:spacing w:after="0" w:line="252" w:lineRule="auto"/>
            </w:pPr>
            <w:r>
              <w:rPr>
                <w:sz w:val="15"/>
              </w:rPr>
              <w:t>Mehrere unterschiedliche Artikel auf einem Lagerplatz</w:t>
            </w:r>
          </w:p>
        </w:tc>
        <w:tc>
          <w:tcPr>
            <w:tcW w:type="dxa" w:w="454"/>
          </w:tcPr>
          <w:p>
            <w:pPr>
              <w:spacing w:after="0" w:line="252" w:lineRule="auto"/>
            </w:pPr>
            <w:r>
              <w:rPr>
                <w:sz w:val="15"/>
              </w:rPr>
              <w:t>M</w:t>
            </w:r>
          </w:p>
        </w:tc>
        <w:tc>
          <w:tcPr>
            <w:tcW w:type="dxa" w:w="4762"/>
          </w:tcPr>
          <w:p>
            <w:pPr>
              <w:spacing w:after="0" w:line="252" w:lineRule="auto"/>
            </w:pPr>
            <w:r>
              <w:rPr>
                <w:sz w:val="15"/>
              </w:rPr>
              <w:t>Lagerplatztypzuordnung (</w:t>
            </w:r>
            <w:r>
              <w:rPr>
                <w:b/>
                <w:sz w:val="15"/>
              </w:rPr>
              <w:t>LM132</w:t>
            </w:r>
            <w:r>
              <w:rPr>
                <w:sz w:val="15"/>
              </w:rPr>
              <w:t>) je Verpackungsversion und Lagerfachträgertyp mit Höchstmenge; Mischbelegung externer Plätze und Homogenitätsregeln (</w:t>
            </w:r>
            <w:r>
              <w:rPr>
                <w:b/>
                <w:sz w:val="15"/>
              </w:rPr>
              <w:t>SM041/SM042</w:t>
            </w:r>
            <w:r>
              <w:rPr>
                <w:sz w:val="15"/>
              </w:rPr>
              <w:t>) im Projekt zu bestätigen (Prüfpunkte 4 und 6).</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OP-04</w:t>
            </w:r>
          </w:p>
        </w:tc>
      </w:tr>
      <w:tr>
        <w:tc>
          <w:tcPr>
            <w:tcW w:type="dxa" w:w="510"/>
          </w:tcPr>
          <w:p>
            <w:pPr>
              <w:spacing w:after="0" w:line="252" w:lineRule="auto"/>
            </w:pPr>
            <w:r>
              <w:rPr>
                <w:sz w:val="15"/>
              </w:rPr>
              <w:t>3.2</w:t>
            </w:r>
          </w:p>
        </w:tc>
        <w:tc>
          <w:tcPr>
            <w:tcW w:type="dxa" w:w="2154"/>
          </w:tcPr>
          <w:p>
            <w:pPr>
              <w:spacing w:after="0" w:line="252" w:lineRule="auto"/>
            </w:pPr>
            <w:r>
              <w:rPr>
                <w:sz w:val="15"/>
              </w:rPr>
              <w:t>Aktueller Bestand je Lagerplatz jederzeit sichtbar</w:t>
            </w:r>
          </w:p>
        </w:tc>
        <w:tc>
          <w:tcPr>
            <w:tcW w:type="dxa" w:w="454"/>
          </w:tcPr>
          <w:p>
            <w:pPr>
              <w:spacing w:after="0" w:line="252" w:lineRule="auto"/>
            </w:pPr>
            <w:r>
              <w:rPr>
                <w:sz w:val="15"/>
              </w:rPr>
              <w:t>M</w:t>
            </w:r>
          </w:p>
        </w:tc>
        <w:tc>
          <w:tcPr>
            <w:tcW w:type="dxa" w:w="4762"/>
          </w:tcPr>
          <w:p>
            <w:pPr>
              <w:spacing w:after="0" w:line="252" w:lineRule="auto"/>
            </w:pPr>
            <w:r>
              <w:rPr>
                <w:sz w:val="15"/>
              </w:rPr>
              <w:t xml:space="preserve">Desktop </w:t>
            </w:r>
            <w:r>
              <w:rPr>
                <w:b/>
                <w:sz w:val="15"/>
              </w:rPr>
              <w:t>SM022</w:t>
            </w:r>
            <w:r>
              <w:rPr>
                <w:sz w:val="15"/>
              </w:rPr>
              <w:t xml:space="preserve"> Übersicht Bestandsobjekte und </w:t>
            </w:r>
            <w:r>
              <w:rPr>
                <w:b/>
                <w:sz w:val="15"/>
              </w:rPr>
              <w:t>LM127</w:t>
            </w:r>
            <w:r>
              <w:rPr>
                <w:sz w:val="15"/>
              </w:rPr>
              <w:t xml:space="preserve"> Übersicht externe Lagerplätze; mobil Lagerplatz-/Artikelinfo (</w:t>
            </w:r>
            <w:r>
              <w:rPr>
                <w:b/>
                <w:sz w:val="15"/>
              </w:rPr>
              <w:t>MFW004</w:t>
            </w:r>
            <w:r>
              <w:rPr>
                <w:sz w:val="15"/>
              </w:rPr>
              <w:t xml:space="preserve">, </w:t>
            </w:r>
            <w:r>
              <w:rPr>
                <w:b/>
                <w:sz w:val="15"/>
              </w:rPr>
              <w:t>MFW008</w:t>
            </w:r>
            <w:r>
              <w:rPr>
                <w:sz w:val="15"/>
              </w:rPr>
              <w:t>).</w:t>
            </w:r>
          </w:p>
        </w:tc>
        <w:tc>
          <w:tcPr>
            <w:tcW w:type="dxa" w:w="1644"/>
          </w:tcPr>
          <w:p>
            <w:pPr>
              <w:spacing w:after="0" w:line="252" w:lineRule="auto"/>
            </w:pPr>
            <w:r>
              <w:rPr>
                <w:b/>
                <w:sz w:val="15"/>
              </w:rPr>
              <w:t>Standard</w:t>
            </w:r>
          </w:p>
        </w:tc>
      </w:tr>
      <w:tr>
        <w:tc>
          <w:tcPr>
            <w:tcW w:type="dxa" w:w="510"/>
          </w:tcPr>
          <w:p>
            <w:pPr>
              <w:spacing w:after="0" w:line="252" w:lineRule="auto"/>
            </w:pPr>
            <w:r>
              <w:rPr>
                <w:sz w:val="15"/>
              </w:rPr>
              <w:t>3.3</w:t>
            </w:r>
          </w:p>
        </w:tc>
        <w:tc>
          <w:tcPr>
            <w:tcW w:type="dxa" w:w="2154"/>
          </w:tcPr>
          <w:p>
            <w:pPr>
              <w:spacing w:after="0" w:line="252" w:lineRule="auto"/>
            </w:pPr>
            <w:r>
              <w:rPr>
                <w:sz w:val="15"/>
              </w:rPr>
              <w:t>Einlagermenge auf mehrere Lagerplätze aufteilen</w:t>
            </w:r>
          </w:p>
        </w:tc>
        <w:tc>
          <w:tcPr>
            <w:tcW w:type="dxa" w:w="454"/>
          </w:tcPr>
          <w:p>
            <w:pPr>
              <w:spacing w:after="0" w:line="252" w:lineRule="auto"/>
            </w:pPr>
            <w:r>
              <w:rPr>
                <w:sz w:val="15"/>
              </w:rPr>
              <w:t>M</w:t>
            </w:r>
          </w:p>
        </w:tc>
        <w:tc>
          <w:tcPr>
            <w:tcW w:type="dxa" w:w="4762"/>
          </w:tcPr>
          <w:p>
            <w:pPr>
              <w:spacing w:after="0" w:line="252" w:lineRule="auto"/>
            </w:pPr>
            <w:r>
              <w:rPr>
                <w:sz w:val="15"/>
              </w:rPr>
              <w:t xml:space="preserve">Im dokumentierten Mobil-Ablauf wird eine Teilmenge über </w:t>
            </w:r>
            <w:r>
              <w:rPr>
                <w:b/>
                <w:sz w:val="15"/>
              </w:rPr>
              <w:t>F3 Fehlmenge</w:t>
            </w:r>
            <w:r>
              <w:rPr>
                <w:sz w:val="15"/>
              </w:rPr>
              <w:t xml:space="preserve"> abgeschlossen. Ob eine Einlagerbedarfszeile am Mobilterminal auf mehrere Plätze verteilt werden kann, ist zu bestätigen; Ausweichlösung: Einlagerung und anschliessend </w:t>
            </w:r>
            <w:r>
              <w:rPr>
                <w:b/>
                <w:sz w:val="15"/>
              </w:rPr>
              <w:t>Bestand verteilen</w:t>
            </w:r>
            <w:r>
              <w:rPr>
                <w:sz w:val="15"/>
              </w:rPr>
              <w:t>.</w:t>
            </w:r>
          </w:p>
        </w:tc>
        <w:tc>
          <w:tcPr>
            <w:tcW w:type="dxa" w:w="1644"/>
          </w:tcPr>
          <w:p>
            <w:pPr>
              <w:spacing w:after="0" w:line="252" w:lineRule="auto"/>
            </w:pPr>
            <w:r>
              <w:rPr>
                <w:b/>
                <w:sz w:val="15"/>
              </w:rPr>
              <w:t>Klärung nötig</w:t>
            </w:r>
          </w:p>
          <w:p>
            <w:pPr>
              <w:spacing w:after="0"/>
            </w:pPr>
            <w:r>
              <w:rPr>
                <w:sz w:val="15"/>
              </w:rPr>
              <w:t>→ OP-17</w:t>
            </w:r>
          </w:p>
        </w:tc>
      </w:tr>
      <w:tr>
        <w:tc>
          <w:tcPr>
            <w:tcW w:type="dxa" w:w="510"/>
          </w:tcPr>
          <w:p>
            <w:pPr>
              <w:spacing w:after="0" w:line="252" w:lineRule="auto"/>
            </w:pPr>
            <w:r>
              <w:rPr>
                <w:sz w:val="15"/>
              </w:rPr>
              <w:t>3.4</w:t>
            </w:r>
          </w:p>
        </w:tc>
        <w:tc>
          <w:tcPr>
            <w:tcW w:type="dxa" w:w="2154"/>
          </w:tcPr>
          <w:p>
            <w:pPr>
              <w:spacing w:after="0" w:line="252" w:lineRule="auto"/>
            </w:pPr>
            <w:r>
              <w:rPr>
                <w:sz w:val="15"/>
              </w:rPr>
              <w:t>Geeignete Lagerplätze automatisch vorschlagen</w:t>
            </w:r>
          </w:p>
        </w:tc>
        <w:tc>
          <w:tcPr>
            <w:tcW w:type="dxa" w:w="454"/>
          </w:tcPr>
          <w:p>
            <w:pPr>
              <w:spacing w:after="0" w:line="252" w:lineRule="auto"/>
            </w:pPr>
            <w:r>
              <w:rPr>
                <w:sz w:val="15"/>
              </w:rPr>
              <w:t>M</w:t>
            </w:r>
          </w:p>
        </w:tc>
        <w:tc>
          <w:tcPr>
            <w:tcW w:type="dxa" w:w="4762"/>
          </w:tcPr>
          <w:p>
            <w:pPr>
              <w:spacing w:after="0" w:line="252" w:lineRule="auto"/>
            </w:pPr>
            <w:r>
              <w:rPr>
                <w:sz w:val="15"/>
              </w:rPr>
              <w:t xml:space="preserve">Mobil </w:t>
            </w:r>
            <w:r>
              <w:rPr>
                <w:b/>
                <w:sz w:val="15"/>
              </w:rPr>
              <w:t>MLS002</w:t>
            </w:r>
            <w:r>
              <w:rPr>
                <w:sz w:val="15"/>
              </w:rPr>
              <w:t xml:space="preserve"> → </w:t>
            </w:r>
            <w:r>
              <w:rPr>
                <w:b/>
                <w:sz w:val="15"/>
              </w:rPr>
              <w:t>F2 Ziel vorschlagen</w:t>
            </w:r>
            <w:r>
              <w:rPr>
                <w:sz w:val="15"/>
              </w:rPr>
              <w:t xml:space="preserve"> auf Basis der externen Lagerreservierungsstrategie (</w:t>
            </w:r>
            <w:r>
              <w:rPr>
                <w:rFonts w:ascii="Consolas" w:hAnsi="Consolas" w:cs="Consolas" w:eastAsia="Consolas"/>
                <w:sz w:val="13"/>
              </w:rPr>
              <w:t>ASSIGNMENT_EXTERN</w:t>
            </w:r>
            <w:r>
              <w:rPr>
                <w:sz w:val="15"/>
              </w:rPr>
              <w:t xml:space="preserve">, </w:t>
            </w:r>
            <w:r>
              <w:rPr>
                <w:rFonts w:ascii="Consolas" w:hAnsi="Consolas" w:cs="Consolas" w:eastAsia="Consolas"/>
                <w:sz w:val="13"/>
              </w:rPr>
              <w:t>LOWEST_STOCK_EXTERN</w:t>
            </w:r>
            <w:r>
              <w:rPr>
                <w:sz w:val="15"/>
              </w:rPr>
              <w:t xml:space="preserve">, </w:t>
            </w:r>
            <w:r>
              <w:rPr>
                <w:rFonts w:ascii="Consolas" w:hAnsi="Consolas" w:cs="Consolas" w:eastAsia="Consolas"/>
                <w:sz w:val="13"/>
              </w:rPr>
              <w:t>ABC_EXTERNAL</w:t>
            </w:r>
            <w:r>
              <w:rPr>
                <w:sz w:val="15"/>
              </w:rPr>
              <w:t>).</w:t>
            </w:r>
          </w:p>
        </w:tc>
        <w:tc>
          <w:tcPr>
            <w:tcW w:type="dxa" w:w="1644"/>
          </w:tcPr>
          <w:p>
            <w:pPr>
              <w:spacing w:after="0" w:line="252" w:lineRule="auto"/>
            </w:pPr>
            <w:r>
              <w:rPr>
                <w:b/>
                <w:sz w:val="15"/>
              </w:rPr>
              <w:t>Standard</w:t>
            </w:r>
          </w:p>
          <w:p>
            <w:pPr>
              <w:spacing w:after="0"/>
            </w:pPr>
            <w:r>
              <w:rPr>
                <w:sz w:val="15"/>
              </w:rPr>
              <w:t>Konfiguration</w:t>
            </w:r>
          </w:p>
        </w:tc>
      </w:tr>
      <w:tr>
        <w:tc>
          <w:tcPr>
            <w:tcW w:type="dxa" w:w="510"/>
          </w:tcPr>
          <w:p>
            <w:pPr>
              <w:spacing w:after="0" w:line="252" w:lineRule="auto"/>
            </w:pPr>
            <w:r>
              <w:rPr>
                <w:sz w:val="15"/>
              </w:rPr>
              <w:t>3.5</w:t>
            </w:r>
          </w:p>
        </w:tc>
        <w:tc>
          <w:tcPr>
            <w:tcW w:type="dxa" w:w="2154"/>
          </w:tcPr>
          <w:p>
            <w:pPr>
              <w:spacing w:after="0" w:line="252" w:lineRule="auto"/>
            </w:pPr>
            <w:r>
              <w:rPr>
                <w:sz w:val="15"/>
              </w:rPr>
              <w:t>Platzfindung nach Klassifizierung, Platzbedarf, Bestand, Entnahmehäufigkeit, Zone</w:t>
            </w:r>
          </w:p>
        </w:tc>
        <w:tc>
          <w:tcPr>
            <w:tcW w:type="dxa" w:w="454"/>
          </w:tcPr>
          <w:p>
            <w:pPr>
              <w:spacing w:after="0" w:line="252" w:lineRule="auto"/>
            </w:pPr>
            <w:r>
              <w:rPr>
                <w:sz w:val="15"/>
              </w:rPr>
              <w:t>W</w:t>
            </w:r>
          </w:p>
        </w:tc>
        <w:tc>
          <w:tcPr>
            <w:tcW w:type="dxa" w:w="4762"/>
          </w:tcPr>
          <w:p>
            <w:pPr>
              <w:spacing w:after="0" w:line="252" w:lineRule="auto"/>
            </w:pPr>
            <w:r>
              <w:rPr>
                <w:rFonts w:ascii="Consolas" w:hAnsi="Consolas" w:cs="Consolas" w:eastAsia="Consolas"/>
                <w:sz w:val="13"/>
              </w:rPr>
              <w:t>ASSIGNMENT_EXTERN</w:t>
            </w:r>
            <w:r>
              <w:rPr>
                <w:sz w:val="15"/>
              </w:rPr>
              <w:t xml:space="preserve"> berücksichtigt Verpackungsversion, Artikelbeschränkungen, begrenzte Kapazität und Bestandsniveau; </w:t>
            </w:r>
            <w:r>
              <w:rPr>
                <w:rFonts w:ascii="Consolas" w:hAnsi="Consolas" w:cs="Consolas" w:eastAsia="Consolas"/>
                <w:sz w:val="13"/>
              </w:rPr>
              <w:t>ABC_EXTERNAL</w:t>
            </w:r>
            <w:r>
              <w:rPr>
                <w:sz w:val="15"/>
              </w:rPr>
              <w:t xml:space="preserve"> nutzt den ABC-Wert (# Picks oder kommissionierte Menge, </w:t>
            </w:r>
            <w:r>
              <w:rPr>
                <w:b/>
                <w:sz w:val="15"/>
              </w:rPr>
              <w:t>LM069</w:t>
            </w:r>
            <w:r>
              <w:rPr>
                <w:sz w:val="15"/>
              </w:rPr>
              <w:t>). Prüfung der Platzhöhe gegen Artikelmasse und Lagerbedingungen zu bestätigen.</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OP-20, OP-14</w:t>
            </w:r>
          </w:p>
        </w:tc>
      </w:tr>
      <w:tr>
        <w:tc>
          <w:tcPr>
            <w:tcW w:type="dxa" w:w="510"/>
          </w:tcPr>
          <w:p>
            <w:pPr>
              <w:spacing w:after="0" w:line="252" w:lineRule="auto"/>
            </w:pPr>
            <w:r>
              <w:rPr>
                <w:sz w:val="15"/>
              </w:rPr>
              <w:t>3.6</w:t>
            </w:r>
          </w:p>
        </w:tc>
        <w:tc>
          <w:tcPr>
            <w:tcW w:type="dxa" w:w="2154"/>
          </w:tcPr>
          <w:p>
            <w:pPr>
              <w:spacing w:after="0" w:line="252" w:lineRule="auto"/>
            </w:pPr>
            <w:r>
              <w:rPr>
                <w:sz w:val="15"/>
              </w:rPr>
              <w:t>Bei Platzmangel Einlagerung auf anderen geeigneten Platz</w:t>
            </w:r>
          </w:p>
        </w:tc>
        <w:tc>
          <w:tcPr>
            <w:tcW w:type="dxa" w:w="454"/>
          </w:tcPr>
          <w:p>
            <w:pPr>
              <w:spacing w:after="0" w:line="252" w:lineRule="auto"/>
            </w:pPr>
            <w:r>
              <w:rPr>
                <w:sz w:val="15"/>
              </w:rPr>
              <w:t>M</w:t>
            </w:r>
          </w:p>
        </w:tc>
        <w:tc>
          <w:tcPr>
            <w:tcW w:type="dxa" w:w="4762"/>
          </w:tcPr>
          <w:p>
            <w:pPr>
              <w:spacing w:after="0" w:line="252" w:lineRule="auto"/>
            </w:pPr>
            <w:r>
              <w:rPr>
                <w:sz w:val="15"/>
              </w:rPr>
              <w:t xml:space="preserve">Auswahl eines anderen Platzes in </w:t>
            </w:r>
            <w:r>
              <w:rPr>
                <w:b/>
                <w:sz w:val="15"/>
              </w:rPr>
              <w:t>MLS004</w:t>
            </w:r>
            <w:r>
              <w:rPr>
                <w:sz w:val="15"/>
              </w:rPr>
              <w:t xml:space="preserve"> möglich; ob ein frei gescannter Platz ausserhalb des Vorschlags akzeptiert wird, ist zu bestätigen.</w:t>
            </w:r>
          </w:p>
        </w:tc>
        <w:tc>
          <w:tcPr>
            <w:tcW w:type="dxa" w:w="1644"/>
          </w:tcPr>
          <w:p>
            <w:pPr>
              <w:spacing w:after="0" w:line="252" w:lineRule="auto"/>
            </w:pPr>
            <w:r>
              <w:rPr>
                <w:b/>
                <w:sz w:val="15"/>
              </w:rPr>
              <w:t>Standard</w:t>
            </w:r>
          </w:p>
          <w:p>
            <w:pPr>
              <w:spacing w:after="0"/>
            </w:pPr>
            <w:r>
              <w:rPr>
                <w:sz w:val="15"/>
              </w:rPr>
              <w:t>Klärung nötig</w:t>
            </w:r>
          </w:p>
          <w:p>
            <w:pPr>
              <w:spacing w:after="0"/>
            </w:pPr>
            <w:r>
              <w:rPr>
                <w:sz w:val="15"/>
              </w:rPr>
              <w:t>→ OP-17</w:t>
            </w:r>
          </w:p>
        </w:tc>
      </w:tr>
      <w:tr>
        <w:tc>
          <w:tcPr>
            <w:tcW w:type="dxa" w:w="510"/>
          </w:tcPr>
          <w:p>
            <w:pPr>
              <w:spacing w:after="0" w:line="252" w:lineRule="auto"/>
            </w:pPr>
            <w:r>
              <w:rPr>
                <w:sz w:val="15"/>
              </w:rPr>
              <w:t>3.7</w:t>
            </w:r>
          </w:p>
        </w:tc>
        <w:tc>
          <w:tcPr>
            <w:tcW w:type="dxa" w:w="2154"/>
          </w:tcPr>
          <w:p>
            <w:pPr>
              <w:spacing w:after="0" w:line="252" w:lineRule="auto"/>
            </w:pPr>
            <w:r>
              <w:rPr>
                <w:sz w:val="15"/>
              </w:rPr>
              <w:t>Optimierungspotenziale erkennen, Umlagerungsvorschläge</w:t>
            </w:r>
          </w:p>
        </w:tc>
        <w:tc>
          <w:tcPr>
            <w:tcW w:type="dxa" w:w="454"/>
          </w:tcPr>
          <w:p>
            <w:pPr>
              <w:spacing w:after="0" w:line="252" w:lineRule="auto"/>
            </w:pPr>
            <w:r>
              <w:rPr>
                <w:sz w:val="15"/>
              </w:rPr>
              <w:t>W</w:t>
            </w:r>
          </w:p>
        </w:tc>
        <w:tc>
          <w:tcPr>
            <w:tcW w:type="dxa" w:w="4762"/>
          </w:tcPr>
          <w:p>
            <w:pPr>
              <w:spacing w:after="0" w:line="252" w:lineRule="auto"/>
            </w:pPr>
            <w:r>
              <w:rPr>
                <w:sz w:val="15"/>
              </w:rPr>
              <w:t>ABC-Wertberechnung für externe Artikel ist Standard. Automatische Umlagerungsvorschläge für externe Plätze sind nicht dokumentiert.</w:t>
            </w:r>
          </w:p>
        </w:tc>
        <w:tc>
          <w:tcPr>
            <w:tcW w:type="dxa" w:w="1644"/>
          </w:tcPr>
          <w:p>
            <w:pPr>
              <w:spacing w:after="0" w:line="252" w:lineRule="auto"/>
            </w:pPr>
            <w:r>
              <w:rPr>
                <w:b/>
                <w:sz w:val="15"/>
              </w:rPr>
              <w:t>Projektanpassung</w:t>
            </w:r>
          </w:p>
          <w:p>
            <w:pPr>
              <w:spacing w:after="0"/>
            </w:pPr>
            <w:r>
              <w:rPr>
                <w:sz w:val="15"/>
              </w:rPr>
              <w:t>Klärung nötig</w:t>
            </w:r>
          </w:p>
          <w:p>
            <w:pPr>
              <w:spacing w:after="0"/>
            </w:pPr>
            <w:r>
              <w:rPr>
                <w:sz w:val="15"/>
              </w:rPr>
              <w:t>→ OP-10</w:t>
            </w:r>
          </w:p>
        </w:tc>
      </w:tr>
      <w:tr>
        <w:tc>
          <w:tcPr>
            <w:tcW w:type="dxa" w:w="510"/>
          </w:tcPr>
          <w:p>
            <w:pPr>
              <w:spacing w:after="0" w:line="252" w:lineRule="auto"/>
            </w:pPr>
            <w:r>
              <w:rPr>
                <w:sz w:val="15"/>
              </w:rPr>
              <w:t>3.8</w:t>
            </w:r>
          </w:p>
        </w:tc>
        <w:tc>
          <w:tcPr>
            <w:tcW w:type="dxa" w:w="2154"/>
          </w:tcPr>
          <w:p>
            <w:pPr>
              <w:spacing w:after="0" w:line="252" w:lineRule="auto"/>
            </w:pPr>
            <w:r>
              <w:rPr>
                <w:sz w:val="15"/>
              </w:rPr>
              <w:t>Scanner lesen die bei Brütsch verwendeten QR-Codes</w:t>
            </w:r>
          </w:p>
        </w:tc>
        <w:tc>
          <w:tcPr>
            <w:tcW w:type="dxa" w:w="454"/>
          </w:tcPr>
          <w:p>
            <w:pPr>
              <w:spacing w:after="0" w:line="252" w:lineRule="auto"/>
            </w:pPr>
            <w:r>
              <w:rPr>
                <w:sz w:val="15"/>
              </w:rPr>
              <w:t>M</w:t>
            </w:r>
          </w:p>
        </w:tc>
        <w:tc>
          <w:tcPr>
            <w:tcW w:type="dxa" w:w="4762"/>
          </w:tcPr>
          <w:p>
            <w:pPr>
              <w:spacing w:after="0" w:line="252" w:lineRule="auto"/>
            </w:pPr>
            <w:r>
              <w:rPr>
                <w:sz w:val="15"/>
              </w:rPr>
              <w:t>Abhängig vom Gerät (2D-Imager) und vom QR-Inhalt. Gerätemodell und Muster-QR-Codes sind nicht bekannt.</w:t>
            </w:r>
          </w:p>
        </w:tc>
        <w:tc>
          <w:tcPr>
            <w:tcW w:type="dxa" w:w="1644"/>
          </w:tcPr>
          <w:p>
            <w:pPr>
              <w:spacing w:after="0" w:line="252" w:lineRule="auto"/>
            </w:pPr>
            <w:r>
              <w:rPr>
                <w:b/>
                <w:sz w:val="15"/>
              </w:rPr>
              <w:t>Klärung nötig</w:t>
            </w:r>
          </w:p>
          <w:p>
            <w:pPr>
              <w:spacing w:after="0"/>
            </w:pPr>
            <w:r>
              <w:rPr>
                <w:sz w:val="15"/>
              </w:rPr>
              <w:t>→ OP-03, OP-19</w:t>
            </w:r>
          </w:p>
        </w:tc>
      </w:tr>
      <w:tr>
        <w:tc>
          <w:tcPr>
            <w:tcW w:type="dxa" w:w="510"/>
          </w:tcPr>
          <w:p>
            <w:pPr>
              <w:spacing w:after="0" w:line="252" w:lineRule="auto"/>
            </w:pPr>
            <w:r>
              <w:rPr>
                <w:sz w:val="15"/>
              </w:rPr>
              <w:t>3.9</w:t>
            </w:r>
          </w:p>
        </w:tc>
        <w:tc>
          <w:tcPr>
            <w:tcW w:type="dxa" w:w="2154"/>
          </w:tcPr>
          <w:p>
            <w:pPr>
              <w:spacing w:after="0" w:line="252" w:lineRule="auto"/>
            </w:pPr>
            <w:r>
              <w:rPr>
                <w:sz w:val="15"/>
              </w:rPr>
              <w:t>QR-Code ermöglicht eindeutige Zuordnung zu Artikelnummer und Charge</w:t>
            </w:r>
          </w:p>
        </w:tc>
        <w:tc>
          <w:tcPr>
            <w:tcW w:type="dxa" w:w="454"/>
          </w:tcPr>
          <w:p>
            <w:pPr>
              <w:spacing w:after="0" w:line="252" w:lineRule="auto"/>
            </w:pPr>
            <w:r>
              <w:rPr>
                <w:sz w:val="15"/>
              </w:rPr>
              <w:t>M</w:t>
            </w:r>
          </w:p>
        </w:tc>
        <w:tc>
          <w:tcPr>
            <w:tcW w:type="dxa" w:w="4762"/>
          </w:tcPr>
          <w:p>
            <w:pPr>
              <w:spacing w:after="0" w:line="252" w:lineRule="auto"/>
            </w:pPr>
            <w:r>
              <w:rPr>
                <w:sz w:val="15"/>
              </w:rPr>
              <w:t>Standard: Artikel-Alias (</w:t>
            </w:r>
            <w:r>
              <w:rPr>
                <w:rFonts w:ascii="Consolas" w:hAnsi="Consolas" w:cs="Consolas" w:eastAsia="Consolas"/>
                <w:sz w:val="13"/>
              </w:rPr>
              <w:t>WLSITEMALIAS001</w:t>
            </w:r>
            <w:r>
              <w:rPr>
                <w:sz w:val="15"/>
              </w:rPr>
              <w:t>) und Barcode-Interpretation (EAN/GS1). Die Zerlegung eines QR-Codes mit mehreren Datenelementen (Artikel, Charge, SN) ist nicht dokumentiert; voraussichtlich Projektanpassung, abhängig vom Format.</w:t>
            </w:r>
          </w:p>
        </w:tc>
        <w:tc>
          <w:tcPr>
            <w:tcW w:type="dxa" w:w="1644"/>
          </w:tcPr>
          <w:p>
            <w:pPr>
              <w:spacing w:after="0" w:line="252" w:lineRule="auto"/>
            </w:pPr>
            <w:r>
              <w:rPr>
                <w:b/>
                <w:sz w:val="15"/>
              </w:rPr>
              <w:t>Projektanpassung</w:t>
            </w:r>
          </w:p>
          <w:p>
            <w:pPr>
              <w:spacing w:after="0"/>
            </w:pPr>
            <w:r>
              <w:rPr>
                <w:sz w:val="15"/>
              </w:rPr>
              <w:t>Klärung nötig</w:t>
            </w:r>
          </w:p>
          <w:p>
            <w:pPr>
              <w:spacing w:after="0"/>
            </w:pPr>
            <w:r>
              <w:rPr>
                <w:sz w:val="15"/>
              </w:rPr>
              <w:t>→ OP-03</w:t>
            </w:r>
          </w:p>
        </w:tc>
      </w:tr>
      <w:tr>
        <w:tc>
          <w:tcPr>
            <w:tcW w:type="dxa" w:w="510"/>
          </w:tcPr>
          <w:p>
            <w:pPr>
              <w:spacing w:after="0" w:line="252" w:lineRule="auto"/>
            </w:pPr>
            <w:r>
              <w:rPr>
                <w:sz w:val="15"/>
              </w:rPr>
              <w:t>3.10</w:t>
            </w:r>
          </w:p>
        </w:tc>
        <w:tc>
          <w:tcPr>
            <w:tcW w:type="dxa" w:w="2154"/>
          </w:tcPr>
          <w:p>
            <w:pPr>
              <w:spacing w:after="0" w:line="252" w:lineRule="auto"/>
            </w:pPr>
            <w:r>
              <w:rPr>
                <w:sz w:val="15"/>
              </w:rPr>
              <w:t>Seriennummer über QR-Code bzw. Scanner eindeutig erfassen</w:t>
            </w:r>
          </w:p>
        </w:tc>
        <w:tc>
          <w:tcPr>
            <w:tcW w:type="dxa" w:w="454"/>
          </w:tcPr>
          <w:p>
            <w:pPr>
              <w:spacing w:after="0" w:line="252" w:lineRule="auto"/>
            </w:pPr>
            <w:r>
              <w:rPr>
                <w:sz w:val="15"/>
              </w:rPr>
              <w:t>M</w:t>
            </w:r>
          </w:p>
        </w:tc>
        <w:tc>
          <w:tcPr>
            <w:tcW w:type="dxa" w:w="4762"/>
          </w:tcPr>
          <w:p>
            <w:pPr>
              <w:spacing w:after="0" w:line="252" w:lineRule="auto"/>
            </w:pPr>
            <w:r>
              <w:rPr>
                <w:sz w:val="15"/>
              </w:rPr>
              <w:t>Wie 3.9; Seriennummer als eindeutiges ABIA.</w:t>
            </w:r>
          </w:p>
        </w:tc>
        <w:tc>
          <w:tcPr>
            <w:tcW w:type="dxa" w:w="1644"/>
          </w:tcPr>
          <w:p>
            <w:pPr>
              <w:spacing w:after="0" w:line="252" w:lineRule="auto"/>
            </w:pPr>
            <w:r>
              <w:rPr>
                <w:b/>
                <w:sz w:val="15"/>
              </w:rPr>
              <w:t>Projektanpassung</w:t>
            </w:r>
          </w:p>
          <w:p>
            <w:pPr>
              <w:spacing w:after="0"/>
            </w:pPr>
            <w:r>
              <w:rPr>
                <w:sz w:val="15"/>
              </w:rPr>
              <w:t>Klärung nötig</w:t>
            </w:r>
          </w:p>
          <w:p>
            <w:pPr>
              <w:spacing w:after="0"/>
            </w:pPr>
            <w:r>
              <w:rPr>
                <w:sz w:val="15"/>
              </w:rPr>
              <w:t>→ OP-02, OP-03</w:t>
            </w:r>
          </w:p>
        </w:tc>
      </w:tr>
      <w:tr>
        <w:tc>
          <w:tcPr>
            <w:tcW w:type="dxa" w:w="510"/>
          </w:tcPr>
          <w:p>
            <w:pPr>
              <w:spacing w:after="0" w:line="252" w:lineRule="auto"/>
            </w:pPr>
            <w:r>
              <w:rPr>
                <w:sz w:val="15"/>
              </w:rPr>
              <w:t>3.11</w:t>
            </w:r>
          </w:p>
        </w:tc>
        <w:tc>
          <w:tcPr>
            <w:tcW w:type="dxa" w:w="2154"/>
          </w:tcPr>
          <w:p>
            <w:pPr>
              <w:spacing w:after="0" w:line="252" w:lineRule="auto"/>
            </w:pPr>
            <w:r>
              <w:rPr>
                <w:sz w:val="15"/>
              </w:rPr>
              <w:t>Falsch gescannte Artikel oder Lagerplätze erkennen und melden</w:t>
            </w:r>
          </w:p>
        </w:tc>
        <w:tc>
          <w:tcPr>
            <w:tcW w:type="dxa" w:w="454"/>
          </w:tcPr>
          <w:p>
            <w:pPr>
              <w:spacing w:after="0" w:line="252" w:lineRule="auto"/>
            </w:pPr>
            <w:r>
              <w:rPr>
                <w:sz w:val="15"/>
              </w:rPr>
              <w:t>M</w:t>
            </w:r>
          </w:p>
        </w:tc>
        <w:tc>
          <w:tcPr>
            <w:tcW w:type="dxa" w:w="4762"/>
          </w:tcPr>
          <w:p>
            <w:pPr>
              <w:spacing w:after="0" w:line="252" w:lineRule="auto"/>
            </w:pPr>
            <w:r>
              <w:rPr>
                <w:sz w:val="15"/>
              </w:rPr>
              <w:t>Die Mobil-Dialoge prüfen gescannte Artikel und den Zielplatz (</w:t>
            </w:r>
            <w:r>
              <w:rPr>
                <w:b/>
                <w:sz w:val="15"/>
              </w:rPr>
              <w:t>MLP006</w:t>
            </w:r>
            <w:r>
              <w:rPr>
                <w:sz w:val="15"/>
              </w:rPr>
              <w:t>). Verhalten bei falschem Quellplatz im Test nachweisen.</w:t>
            </w:r>
          </w:p>
        </w:tc>
        <w:tc>
          <w:tcPr>
            <w:tcW w:type="dxa" w:w="1644"/>
          </w:tcPr>
          <w:p>
            <w:pPr>
              <w:spacing w:after="0" w:line="252" w:lineRule="auto"/>
            </w:pPr>
            <w:r>
              <w:rPr>
                <w:b/>
                <w:sz w:val="15"/>
              </w:rPr>
              <w:t>Standard</w:t>
            </w:r>
          </w:p>
          <w:p>
            <w:pPr>
              <w:spacing w:after="0"/>
            </w:pPr>
            <w:r>
              <w:rPr>
                <w:sz w:val="15"/>
              </w:rPr>
              <w:t>Klärung nötig</w:t>
            </w:r>
          </w:p>
          <w:p>
            <w:pPr>
              <w:spacing w:after="0"/>
            </w:pPr>
            <w:r>
              <w:rPr>
                <w:sz w:val="15"/>
              </w:rPr>
              <w:t>→ OP-02</w:t>
            </w:r>
          </w:p>
        </w:tc>
      </w:tr>
      <w:tr>
        <w:tc>
          <w:tcPr>
            <w:tcW w:type="dxa" w:w="510"/>
          </w:tcPr>
          <w:p>
            <w:pPr>
              <w:spacing w:after="0" w:line="252" w:lineRule="auto"/>
            </w:pPr>
            <w:r>
              <w:rPr>
                <w:sz w:val="15"/>
              </w:rPr>
              <w:t>3.12</w:t>
            </w:r>
          </w:p>
        </w:tc>
        <w:tc>
          <w:tcPr>
            <w:tcW w:type="dxa" w:w="2154"/>
          </w:tcPr>
          <w:p>
            <w:pPr>
              <w:spacing w:after="0" w:line="252" w:lineRule="auto"/>
            </w:pPr>
            <w:r>
              <w:rPr>
                <w:sz w:val="15"/>
              </w:rPr>
              <w:t>Scannerprozesse mit wenigen Eingaben und klarer Führung</w:t>
            </w:r>
          </w:p>
        </w:tc>
        <w:tc>
          <w:tcPr>
            <w:tcW w:type="dxa" w:w="454"/>
          </w:tcPr>
          <w:p>
            <w:pPr>
              <w:spacing w:after="0" w:line="252" w:lineRule="auto"/>
            </w:pPr>
            <w:r>
              <w:rPr>
                <w:sz w:val="15"/>
              </w:rPr>
              <w:t>M</w:t>
            </w:r>
          </w:p>
        </w:tc>
        <w:tc>
          <w:tcPr>
            <w:tcW w:type="dxa" w:w="4762"/>
          </w:tcPr>
          <w:p>
            <w:pPr>
              <w:spacing w:after="0" w:line="252" w:lineRule="auto"/>
            </w:pPr>
            <w:r>
              <w:rPr>
                <w:sz w:val="15"/>
              </w:rPr>
              <w:t>Standardabläufe Scan → Menge → Bestätigung. Bewertung mit Key-Usern im Prototyp-Test.</w:t>
            </w:r>
          </w:p>
        </w:tc>
        <w:tc>
          <w:tcPr>
            <w:tcW w:type="dxa" w:w="1644"/>
          </w:tcPr>
          <w:p>
            <w:pPr>
              <w:spacing w:after="0" w:line="252" w:lineRule="auto"/>
            </w:pPr>
            <w:r>
              <w:rPr>
                <w:b/>
                <w:sz w:val="15"/>
              </w:rPr>
              <w:t>Standard</w:t>
            </w:r>
          </w:p>
        </w:tc>
      </w:tr>
      <w:tr>
        <w:tc>
          <w:tcPr>
            <w:tcW w:type="dxa" w:w="510"/>
          </w:tcPr>
          <w:p>
            <w:pPr>
              <w:spacing w:after="0" w:line="252" w:lineRule="auto"/>
            </w:pPr>
            <w:r>
              <w:rPr>
                <w:sz w:val="15"/>
              </w:rPr>
              <w:t>3.13</w:t>
            </w:r>
          </w:p>
        </w:tc>
        <w:tc>
          <w:tcPr>
            <w:tcW w:type="dxa" w:w="2154"/>
          </w:tcPr>
          <w:p>
            <w:pPr>
              <w:spacing w:after="0" w:line="252" w:lineRule="auto"/>
            </w:pPr>
            <w:r>
              <w:rPr>
                <w:sz w:val="15"/>
              </w:rPr>
              <w:t>Wareneingang wird weiterhin in Abacus gebucht</w:t>
            </w:r>
          </w:p>
        </w:tc>
        <w:tc>
          <w:tcPr>
            <w:tcW w:type="dxa" w:w="454"/>
          </w:tcPr>
          <w:p>
            <w:pPr>
              <w:spacing w:after="0" w:line="252" w:lineRule="auto"/>
            </w:pPr>
            <w:r>
              <w:rPr>
                <w:sz w:val="15"/>
              </w:rPr>
              <w:t>M</w:t>
            </w:r>
          </w:p>
        </w:tc>
        <w:tc>
          <w:tcPr>
            <w:tcW w:type="dxa" w:w="4762"/>
          </w:tcPr>
          <w:p>
            <w:pPr>
              <w:spacing w:after="0" w:line="252" w:lineRule="auto"/>
            </w:pPr>
            <w:r>
              <w:rPr>
                <w:sz w:val="15"/>
              </w:rPr>
              <w:t>Ausserhalb WAMAS, unverändert.</w:t>
            </w:r>
          </w:p>
        </w:tc>
        <w:tc>
          <w:tcPr>
            <w:tcW w:type="dxa" w:w="1644"/>
          </w:tcPr>
          <w:p>
            <w:pPr>
              <w:spacing w:after="0" w:line="252" w:lineRule="auto"/>
            </w:pPr>
            <w:r>
              <w:rPr>
                <w:b/>
                <w:sz w:val="15"/>
              </w:rPr>
              <w:t>Standard</w:t>
            </w:r>
          </w:p>
        </w:tc>
      </w:tr>
      <w:tr>
        <w:tc>
          <w:tcPr>
            <w:tcW w:type="dxa" w:w="510"/>
          </w:tcPr>
          <w:p>
            <w:pPr>
              <w:spacing w:after="0" w:line="252" w:lineRule="auto"/>
            </w:pPr>
            <w:r>
              <w:rPr>
                <w:sz w:val="15"/>
              </w:rPr>
              <w:t>3.14</w:t>
            </w:r>
          </w:p>
        </w:tc>
        <w:tc>
          <w:tcPr>
            <w:tcW w:type="dxa" w:w="2154"/>
          </w:tcPr>
          <w:p>
            <w:pPr>
              <w:spacing w:after="0" w:line="252" w:lineRule="auto"/>
            </w:pPr>
            <w:r>
              <w:rPr>
                <w:sz w:val="15"/>
              </w:rPr>
              <w:t>Nach WE-Buchung Einlagerinformationen an WAMAS übermitteln</w:t>
            </w:r>
          </w:p>
        </w:tc>
        <w:tc>
          <w:tcPr>
            <w:tcW w:type="dxa" w:w="454"/>
          </w:tcPr>
          <w:p>
            <w:pPr>
              <w:spacing w:after="0" w:line="252" w:lineRule="auto"/>
            </w:pPr>
            <w:r>
              <w:rPr>
                <w:sz w:val="15"/>
              </w:rPr>
              <w:t>M</w:t>
            </w:r>
          </w:p>
        </w:tc>
        <w:tc>
          <w:tcPr>
            <w:tcW w:type="dxa" w:w="4762"/>
          </w:tcPr>
          <w:p>
            <w:pPr>
              <w:spacing w:after="0" w:line="252" w:lineRule="auto"/>
            </w:pPr>
            <w:r>
              <w:rPr>
                <w:sz w:val="15"/>
              </w:rPr>
              <w:t xml:space="preserve">Einlagerbedarf </w:t>
            </w:r>
            <w:r>
              <w:rPr>
                <w:rFonts w:ascii="Consolas" w:hAnsi="Consolas" w:cs="Consolas" w:eastAsia="Consolas"/>
                <w:sz w:val="13"/>
              </w:rPr>
              <w:t>WLSSD003</w:t>
            </w:r>
            <w:r>
              <w:rPr>
                <w:sz w:val="15"/>
              </w:rPr>
              <w:t>/</w:t>
            </w:r>
            <w:r>
              <w:rPr>
                <w:rFonts w:ascii="Consolas" w:hAnsi="Consolas" w:cs="Consolas" w:eastAsia="Consolas"/>
                <w:sz w:val="13"/>
              </w:rPr>
              <w:t>WLSSDL002</w:t>
            </w:r>
            <w:r>
              <w:rPr>
                <w:sz w:val="15"/>
              </w:rPr>
              <w:t xml:space="preserve"> über BSB inkl. Zone, Charge, ABIA; BPE-Erweiterung für die manuellen Bereiche (4.12).</w:t>
            </w:r>
          </w:p>
        </w:tc>
        <w:tc>
          <w:tcPr>
            <w:tcW w:type="dxa" w:w="1644"/>
          </w:tcPr>
          <w:p>
            <w:pPr>
              <w:spacing w:after="0" w:line="252" w:lineRule="auto"/>
            </w:pPr>
            <w:r>
              <w:rPr>
                <w:b/>
                <w:sz w:val="15"/>
              </w:rPr>
              <w:t>Konfiguration</w:t>
            </w:r>
          </w:p>
          <w:p>
            <w:pPr>
              <w:spacing w:after="0"/>
            </w:pPr>
            <w:r>
              <w:rPr>
                <w:sz w:val="15"/>
              </w:rPr>
              <w:t>Projektanpassung</w:t>
            </w:r>
          </w:p>
          <w:p>
            <w:pPr>
              <w:spacing w:after="0"/>
            </w:pPr>
            <w:r>
              <w:rPr>
                <w:sz w:val="15"/>
              </w:rPr>
              <w:t>→ OP-11</w:t>
            </w:r>
          </w:p>
        </w:tc>
      </w:tr>
      <w:tr>
        <w:tc>
          <w:tcPr>
            <w:tcW w:type="dxa" w:w="510"/>
          </w:tcPr>
          <w:p>
            <w:pPr>
              <w:spacing w:after="0" w:line="252" w:lineRule="auto"/>
            </w:pPr>
            <w:r>
              <w:rPr>
                <w:sz w:val="15"/>
              </w:rPr>
              <w:t>3.15</w:t>
            </w:r>
          </w:p>
        </w:tc>
        <w:tc>
          <w:tcPr>
            <w:tcW w:type="dxa" w:w="2154"/>
          </w:tcPr>
          <w:p>
            <w:pPr>
              <w:spacing w:after="0" w:line="252" w:lineRule="auto"/>
            </w:pPr>
            <w:r>
              <w:rPr>
                <w:sz w:val="15"/>
              </w:rPr>
              <w:t>Bereits beim WE zwischen Logimat und manuellem Bereich unterscheiden</w:t>
            </w:r>
          </w:p>
        </w:tc>
        <w:tc>
          <w:tcPr>
            <w:tcW w:type="dxa" w:w="454"/>
          </w:tcPr>
          <w:p>
            <w:pPr>
              <w:spacing w:after="0" w:line="252" w:lineRule="auto"/>
            </w:pPr>
            <w:r>
              <w:rPr>
                <w:sz w:val="15"/>
              </w:rPr>
              <w:t>M</w:t>
            </w:r>
          </w:p>
        </w:tc>
        <w:tc>
          <w:tcPr>
            <w:tcW w:type="dxa" w:w="4762"/>
          </w:tcPr>
          <w:p>
            <w:pPr>
              <w:spacing w:after="0" w:line="252" w:lineRule="auto"/>
            </w:pPr>
            <w:r>
              <w:rPr>
                <w:sz w:val="15"/>
              </w:rPr>
              <w:t>Steuerung über Zone im Einlagerbedarf bzw. Artikelkennzeichen. Regel (wer entscheidet: Abacus-Feld, Artikelstamm, Mitarbeitende) offen. Kritisch: Ein als «Externer Artikel» markierter Artikel ist laut Handbuch nicht am Touch-Client verarbeitbar.</w:t>
            </w:r>
          </w:p>
        </w:tc>
        <w:tc>
          <w:tcPr>
            <w:tcW w:type="dxa" w:w="1644"/>
          </w:tcPr>
          <w:p>
            <w:pPr>
              <w:spacing w:after="0" w:line="252" w:lineRule="auto"/>
            </w:pPr>
            <w:r>
              <w:rPr>
                <w:b/>
                <w:sz w:val="15"/>
              </w:rPr>
              <w:t>Klärung nötig</w:t>
            </w:r>
          </w:p>
          <w:p>
            <w:pPr>
              <w:spacing w:after="0"/>
            </w:pPr>
            <w:r>
              <w:rPr>
                <w:sz w:val="15"/>
              </w:rPr>
              <w:t>→ OP-01, OP-11</w:t>
            </w:r>
          </w:p>
        </w:tc>
      </w:tr>
      <w:tr>
        <w:tc>
          <w:tcPr>
            <w:tcW w:type="dxa" w:w="510"/>
          </w:tcPr>
          <w:p>
            <w:pPr>
              <w:spacing w:after="0" w:line="252" w:lineRule="auto"/>
            </w:pPr>
            <w:r>
              <w:rPr>
                <w:sz w:val="15"/>
              </w:rPr>
              <w:t>3.16</w:t>
            </w:r>
          </w:p>
        </w:tc>
        <w:tc>
          <w:tcPr>
            <w:tcW w:type="dxa" w:w="2154"/>
          </w:tcPr>
          <w:p>
            <w:pPr>
              <w:spacing w:after="0" w:line="252" w:lineRule="auto"/>
            </w:pPr>
            <w:r>
              <w:rPr>
                <w:sz w:val="15"/>
              </w:rPr>
              <w:t>Einlagerungsaufträge für manuelle Bereiche auf dem Scanner</w:t>
            </w:r>
          </w:p>
        </w:tc>
        <w:tc>
          <w:tcPr>
            <w:tcW w:type="dxa" w:w="454"/>
          </w:tcPr>
          <w:p>
            <w:pPr>
              <w:spacing w:after="0" w:line="252" w:lineRule="auto"/>
            </w:pPr>
            <w:r>
              <w:rPr>
                <w:sz w:val="15"/>
              </w:rPr>
              <w:t>M</w:t>
            </w:r>
          </w:p>
        </w:tc>
        <w:tc>
          <w:tcPr>
            <w:tcW w:type="dxa" w:w="4762"/>
          </w:tcPr>
          <w:p>
            <w:pPr>
              <w:spacing w:after="0" w:line="252" w:lineRule="auto"/>
            </w:pPr>
            <w:r>
              <w:rPr>
                <w:sz w:val="15"/>
              </w:rPr>
              <w:t xml:space="preserve">Mobil-Tätigkeit </w:t>
            </w:r>
            <w:r>
              <w:rPr>
                <w:b/>
                <w:sz w:val="15"/>
              </w:rPr>
              <w:t>Einlagerung</w:t>
            </w:r>
            <w:r>
              <w:rPr>
                <w:sz w:val="15"/>
              </w:rPr>
              <w:t xml:space="preserve"> (</w:t>
            </w:r>
            <w:r>
              <w:rPr>
                <w:b/>
                <w:sz w:val="15"/>
              </w:rPr>
              <w:t>MLS003</w:t>
            </w:r>
            <w:r>
              <w:rPr>
                <w:sz w:val="15"/>
              </w:rPr>
              <w:t xml:space="preserve"> ff.).</w:t>
            </w:r>
          </w:p>
        </w:tc>
        <w:tc>
          <w:tcPr>
            <w:tcW w:type="dxa" w:w="1644"/>
          </w:tcPr>
          <w:p>
            <w:pPr>
              <w:spacing w:after="0" w:line="252" w:lineRule="auto"/>
            </w:pPr>
            <w:r>
              <w:rPr>
                <w:b/>
                <w:sz w:val="15"/>
              </w:rPr>
              <w:t>Standard</w:t>
            </w:r>
          </w:p>
        </w:tc>
      </w:tr>
      <w:tr>
        <w:tc>
          <w:tcPr>
            <w:tcW w:type="dxa" w:w="510"/>
          </w:tcPr>
          <w:p>
            <w:pPr>
              <w:spacing w:after="0" w:line="252" w:lineRule="auto"/>
            </w:pPr>
            <w:r>
              <w:rPr>
                <w:sz w:val="15"/>
              </w:rPr>
              <w:t>3.17</w:t>
            </w:r>
          </w:p>
        </w:tc>
        <w:tc>
          <w:tcPr>
            <w:tcW w:type="dxa" w:w="2154"/>
          </w:tcPr>
          <w:p>
            <w:pPr>
              <w:spacing w:after="0" w:line="252" w:lineRule="auto"/>
            </w:pPr>
            <w:r>
              <w:rPr>
                <w:sz w:val="15"/>
              </w:rPr>
              <w:t>Charge und SN bei der Einlagerung dem tatsächlichen Platz zuordnen</w:t>
            </w:r>
          </w:p>
        </w:tc>
        <w:tc>
          <w:tcPr>
            <w:tcW w:type="dxa" w:w="454"/>
          </w:tcPr>
          <w:p>
            <w:pPr>
              <w:spacing w:after="0" w:line="252" w:lineRule="auto"/>
            </w:pPr>
            <w:r>
              <w:rPr>
                <w:sz w:val="15"/>
              </w:rPr>
              <w:t>M</w:t>
            </w:r>
          </w:p>
        </w:tc>
        <w:tc>
          <w:tcPr>
            <w:tcW w:type="dxa" w:w="4762"/>
          </w:tcPr>
          <w:p>
            <w:pPr>
              <w:spacing w:after="0" w:line="252" w:lineRule="auto"/>
            </w:pPr>
            <w:r>
              <w:rPr>
                <w:sz w:val="15"/>
              </w:rPr>
              <w:t>Das Bestandsobjekt trägt Platz, Charge und ABIA. Die Erfassung einzelner SN im Mobil-Einlagerdialog ist nicht beschrieben.</w:t>
            </w:r>
          </w:p>
        </w:tc>
        <w:tc>
          <w:tcPr>
            <w:tcW w:type="dxa" w:w="1644"/>
          </w:tcPr>
          <w:p>
            <w:pPr>
              <w:spacing w:after="0" w:line="252" w:lineRule="auto"/>
            </w:pPr>
            <w:r>
              <w:rPr>
                <w:b/>
                <w:sz w:val="15"/>
              </w:rPr>
              <w:t>Klärung nötig</w:t>
            </w:r>
          </w:p>
          <w:p>
            <w:pPr>
              <w:spacing w:after="0"/>
            </w:pPr>
            <w:r>
              <w:rPr>
                <w:sz w:val="15"/>
              </w:rPr>
              <w:t>→ OP-02</w:t>
            </w:r>
          </w:p>
        </w:tc>
      </w:tr>
      <w:tr>
        <w:tc>
          <w:tcPr>
            <w:tcW w:type="dxa" w:w="510"/>
          </w:tcPr>
          <w:p>
            <w:pPr>
              <w:spacing w:after="0" w:line="252" w:lineRule="auto"/>
            </w:pPr>
            <w:r>
              <w:rPr>
                <w:sz w:val="15"/>
              </w:rPr>
              <w:t>3.18</w:t>
            </w:r>
          </w:p>
        </w:tc>
        <w:tc>
          <w:tcPr>
            <w:tcW w:type="dxa" w:w="2154"/>
          </w:tcPr>
          <w:p>
            <w:pPr>
              <w:spacing w:after="0" w:line="252" w:lineRule="auto"/>
            </w:pPr>
            <w:r>
              <w:rPr>
                <w:sz w:val="15"/>
              </w:rPr>
              <w:t>Alle SN eines Artikels auf einem Platz sichtbar und eindeutig zugeordnet</w:t>
            </w:r>
          </w:p>
        </w:tc>
        <w:tc>
          <w:tcPr>
            <w:tcW w:type="dxa" w:w="454"/>
          </w:tcPr>
          <w:p>
            <w:pPr>
              <w:spacing w:after="0" w:line="252" w:lineRule="auto"/>
            </w:pPr>
            <w:r>
              <w:rPr>
                <w:sz w:val="15"/>
              </w:rPr>
              <w:t>M</w:t>
            </w:r>
          </w:p>
        </w:tc>
        <w:tc>
          <w:tcPr>
            <w:tcW w:type="dxa" w:w="4762"/>
          </w:tcPr>
          <w:p>
            <w:pPr>
              <w:spacing w:after="0" w:line="252" w:lineRule="auto"/>
            </w:pPr>
            <w:r>
              <w:rPr>
                <w:sz w:val="15"/>
              </w:rPr>
              <w:t xml:space="preserve">Desktop: Bestandsobjekte mit ABIA in </w:t>
            </w:r>
            <w:r>
              <w:rPr>
                <w:b/>
                <w:sz w:val="15"/>
              </w:rPr>
              <w:t>SM022</w:t>
            </w:r>
            <w:r>
              <w:rPr>
                <w:sz w:val="15"/>
              </w:rPr>
              <w:t>; mobil BIA-Info (</w:t>
            </w:r>
            <w:r>
              <w:rPr>
                <w:b/>
                <w:sz w:val="15"/>
              </w:rPr>
              <w:t>MFW012</w:t>
            </w:r>
            <w:r>
              <w:rPr>
                <w:sz w:val="15"/>
              </w:rPr>
              <w:t>). Darstellung je SN (z. B. 20 SN auf einem Platz) zu bestätigen.</w:t>
            </w:r>
          </w:p>
        </w:tc>
        <w:tc>
          <w:tcPr>
            <w:tcW w:type="dxa" w:w="1644"/>
          </w:tcPr>
          <w:p>
            <w:pPr>
              <w:spacing w:after="0" w:line="252" w:lineRule="auto"/>
            </w:pPr>
            <w:r>
              <w:rPr>
                <w:b/>
                <w:sz w:val="15"/>
              </w:rPr>
              <w:t>Standard</w:t>
            </w:r>
          </w:p>
          <w:p>
            <w:pPr>
              <w:spacing w:after="0"/>
            </w:pPr>
            <w:r>
              <w:rPr>
                <w:sz w:val="15"/>
              </w:rPr>
              <w:t>Klärung nötig</w:t>
            </w:r>
          </w:p>
          <w:p>
            <w:pPr>
              <w:spacing w:after="0"/>
            </w:pPr>
            <w:r>
              <w:rPr>
                <w:sz w:val="15"/>
              </w:rPr>
              <w:t>→ OP-02</w:t>
            </w:r>
          </w:p>
        </w:tc>
      </w:tr>
      <w:tr>
        <w:tc>
          <w:tcPr>
            <w:tcW w:type="dxa" w:w="510"/>
          </w:tcPr>
          <w:p>
            <w:pPr>
              <w:spacing w:after="0" w:line="252" w:lineRule="auto"/>
            </w:pPr>
            <w:r>
              <w:rPr>
                <w:sz w:val="15"/>
              </w:rPr>
              <w:t>3.19</w:t>
            </w:r>
          </w:p>
        </w:tc>
        <w:tc>
          <w:tcPr>
            <w:tcW w:type="dxa" w:w="2154"/>
          </w:tcPr>
          <w:p>
            <w:pPr>
              <w:spacing w:after="0" w:line="252" w:lineRule="auto"/>
            </w:pPr>
            <w:r>
              <w:rPr>
                <w:sz w:val="15"/>
              </w:rPr>
              <w:t>Umlagerungen in WAM vollständig per Scanner</w:t>
            </w:r>
          </w:p>
        </w:tc>
        <w:tc>
          <w:tcPr>
            <w:tcW w:type="dxa" w:w="454"/>
          </w:tcPr>
          <w:p>
            <w:pPr>
              <w:spacing w:after="0" w:line="252" w:lineRule="auto"/>
            </w:pPr>
            <w:r>
              <w:rPr>
                <w:sz w:val="15"/>
              </w:rPr>
              <w:t>M</w:t>
            </w:r>
          </w:p>
        </w:tc>
        <w:tc>
          <w:tcPr>
            <w:tcW w:type="dxa" w:w="4762"/>
          </w:tcPr>
          <w:p>
            <w:pPr>
              <w:spacing w:after="0" w:line="252" w:lineRule="auto"/>
            </w:pPr>
            <w:r>
              <w:rPr>
                <w:sz w:val="15"/>
              </w:rPr>
              <w:t xml:space="preserve">Mobil-Tätigkeit </w:t>
            </w:r>
            <w:r>
              <w:rPr>
                <w:b/>
                <w:sz w:val="15"/>
              </w:rPr>
              <w:t>Bestand verteilen</w:t>
            </w:r>
            <w:r>
              <w:rPr>
                <w:sz w:val="15"/>
              </w:rPr>
              <w:t xml:space="preserve">: </w:t>
            </w:r>
            <w:r>
              <w:rPr>
                <w:b/>
                <w:sz w:val="15"/>
              </w:rPr>
              <w:t>MLD001</w:t>
            </w:r>
            <w:r>
              <w:rPr>
                <w:sz w:val="15"/>
              </w:rPr>
              <w:t xml:space="preserve"> Quellplatz → </w:t>
            </w:r>
            <w:r>
              <w:rPr>
                <w:b/>
                <w:sz w:val="15"/>
              </w:rPr>
              <w:t>MLD002</w:t>
            </w:r>
            <w:r>
              <w:rPr>
                <w:sz w:val="15"/>
              </w:rPr>
              <w:t xml:space="preserve"> Artikel → </w:t>
            </w:r>
            <w:r>
              <w:rPr>
                <w:b/>
                <w:sz w:val="15"/>
              </w:rPr>
              <w:t>MLD004</w:t>
            </w:r>
            <w:r>
              <w:rPr>
                <w:sz w:val="15"/>
              </w:rPr>
              <w:t xml:space="preserve"> Menge und Zielplatz → </w:t>
            </w:r>
            <w:r>
              <w:rPr>
                <w:b/>
                <w:sz w:val="15"/>
              </w:rPr>
              <w:t>MLD010</w:t>
            </w:r>
            <w:r>
              <w:rPr>
                <w:sz w:val="15"/>
              </w:rPr>
              <w:t>.</w:t>
            </w:r>
          </w:p>
        </w:tc>
        <w:tc>
          <w:tcPr>
            <w:tcW w:type="dxa" w:w="1644"/>
          </w:tcPr>
          <w:p>
            <w:pPr>
              <w:spacing w:after="0" w:line="252" w:lineRule="auto"/>
            </w:pPr>
            <w:r>
              <w:rPr>
                <w:b/>
                <w:sz w:val="15"/>
              </w:rPr>
              <w:t>Standard</w:t>
            </w:r>
          </w:p>
        </w:tc>
      </w:tr>
      <w:tr>
        <w:tc>
          <w:tcPr>
            <w:tcW w:type="dxa" w:w="510"/>
          </w:tcPr>
          <w:p>
            <w:pPr>
              <w:spacing w:after="0" w:line="252" w:lineRule="auto"/>
            </w:pPr>
            <w:r>
              <w:rPr>
                <w:sz w:val="15"/>
              </w:rPr>
              <w:t>3.20</w:t>
            </w:r>
          </w:p>
        </w:tc>
        <w:tc>
          <w:tcPr>
            <w:tcW w:type="dxa" w:w="2154"/>
          </w:tcPr>
          <w:p>
            <w:pPr>
              <w:spacing w:after="0" w:line="252" w:lineRule="auto"/>
            </w:pPr>
            <w:r>
              <w:rPr>
                <w:sz w:val="15"/>
              </w:rPr>
              <w:t>Konkrete SN bei der Umlagerung auswählen bzw. scannen</w:t>
            </w:r>
          </w:p>
        </w:tc>
        <w:tc>
          <w:tcPr>
            <w:tcW w:type="dxa" w:w="454"/>
          </w:tcPr>
          <w:p>
            <w:pPr>
              <w:spacing w:after="0" w:line="252" w:lineRule="auto"/>
            </w:pPr>
            <w:r>
              <w:rPr>
                <w:sz w:val="15"/>
              </w:rPr>
              <w:t>M</w:t>
            </w:r>
          </w:p>
        </w:tc>
        <w:tc>
          <w:tcPr>
            <w:tcW w:type="dxa" w:w="4762"/>
          </w:tcPr>
          <w:p>
            <w:pPr>
              <w:spacing w:after="0" w:line="252" w:lineRule="auto"/>
            </w:pPr>
            <w:r>
              <w:rPr>
                <w:sz w:val="15"/>
              </w:rPr>
              <w:t xml:space="preserve">SN-Auswahl im Ablauf </w:t>
            </w:r>
            <w:r>
              <w:rPr>
                <w:b/>
                <w:sz w:val="15"/>
              </w:rPr>
              <w:t>Bestand verteilen</w:t>
            </w:r>
            <w:r>
              <w:rPr>
                <w:sz w:val="15"/>
              </w:rPr>
              <w:t xml:space="preserve"> nicht beschrieben.</w:t>
            </w:r>
          </w:p>
        </w:tc>
        <w:tc>
          <w:tcPr>
            <w:tcW w:type="dxa" w:w="1644"/>
          </w:tcPr>
          <w:p>
            <w:pPr>
              <w:spacing w:after="0" w:line="252" w:lineRule="auto"/>
            </w:pPr>
            <w:r>
              <w:rPr>
                <w:b/>
                <w:sz w:val="15"/>
              </w:rPr>
              <w:t>Klärung nötig</w:t>
            </w:r>
          </w:p>
          <w:p>
            <w:pPr>
              <w:spacing w:after="0"/>
            </w:pPr>
            <w:r>
              <w:rPr>
                <w:sz w:val="15"/>
              </w:rPr>
              <w:t>→ OP-02</w:t>
            </w:r>
          </w:p>
        </w:tc>
      </w:tr>
      <w:tr>
        <w:tc>
          <w:tcPr>
            <w:tcW w:type="dxa" w:w="510"/>
          </w:tcPr>
          <w:p>
            <w:pPr>
              <w:spacing w:after="0" w:line="252" w:lineRule="auto"/>
            </w:pPr>
            <w:r>
              <w:rPr>
                <w:sz w:val="15"/>
              </w:rPr>
              <w:t>3.21</w:t>
            </w:r>
          </w:p>
        </w:tc>
        <w:tc>
          <w:tcPr>
            <w:tcW w:type="dxa" w:w="2154"/>
          </w:tcPr>
          <w:p>
            <w:pPr>
              <w:spacing w:after="0" w:line="252" w:lineRule="auto"/>
            </w:pPr>
            <w:r>
              <w:rPr>
                <w:sz w:val="15"/>
              </w:rPr>
              <w:t>Interne Platzumlagerungen ohne Lagerortumbuchung in Abacus</w:t>
            </w:r>
          </w:p>
        </w:tc>
        <w:tc>
          <w:tcPr>
            <w:tcW w:type="dxa" w:w="454"/>
          </w:tcPr>
          <w:p>
            <w:pPr>
              <w:spacing w:after="0" w:line="252" w:lineRule="auto"/>
            </w:pPr>
            <w:r>
              <w:rPr>
                <w:sz w:val="15"/>
              </w:rPr>
              <w:t>M</w:t>
            </w:r>
          </w:p>
        </w:tc>
        <w:tc>
          <w:tcPr>
            <w:tcW w:type="dxa" w:w="4762"/>
          </w:tcPr>
          <w:p>
            <w:pPr>
              <w:spacing w:after="0" w:line="252" w:lineRule="auto"/>
            </w:pPr>
            <w:r>
              <w:rPr>
                <w:sz w:val="15"/>
              </w:rPr>
              <w:t>Umlagerung zwischen externen Plätzen derselben Zone bleibt in Abacus WAM. Ob WAMAS dabei eine Meldung an den Host erzeugt und BPE diese ignoriert, ist zu prüfen.</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OP-11</w:t>
            </w:r>
          </w:p>
        </w:tc>
      </w:tr>
      <w:tr>
        <w:tc>
          <w:tcPr>
            <w:tcW w:type="dxa" w:w="510"/>
          </w:tcPr>
          <w:p>
            <w:pPr>
              <w:spacing w:after="0" w:line="252" w:lineRule="auto"/>
            </w:pPr>
            <w:r>
              <w:rPr>
                <w:sz w:val="15"/>
              </w:rPr>
              <w:t>3.22</w:t>
            </w:r>
          </w:p>
        </w:tc>
        <w:tc>
          <w:tcPr>
            <w:tcW w:type="dxa" w:w="2154"/>
          </w:tcPr>
          <w:p>
            <w:pPr>
              <w:spacing w:after="0" w:line="252" w:lineRule="auto"/>
            </w:pPr>
            <w:r>
              <w:rPr>
                <w:sz w:val="15"/>
              </w:rPr>
              <w:t>Umbuchung WEP/REP/Aussenlager → WAM erzeugt automatisch Einlageraufgabe</w:t>
            </w:r>
          </w:p>
        </w:tc>
        <w:tc>
          <w:tcPr>
            <w:tcW w:type="dxa" w:w="454"/>
          </w:tcPr>
          <w:p>
            <w:pPr>
              <w:spacing w:after="0" w:line="252" w:lineRule="auto"/>
            </w:pPr>
            <w:r>
              <w:rPr>
                <w:sz w:val="15"/>
              </w:rPr>
              <w:t>M</w:t>
            </w:r>
          </w:p>
        </w:tc>
        <w:tc>
          <w:tcPr>
            <w:tcW w:type="dxa" w:w="4762"/>
          </w:tcPr>
          <w:p>
            <w:pPr>
              <w:spacing w:after="0" w:line="252" w:lineRule="auto"/>
            </w:pPr>
            <w:r>
              <w:rPr>
                <w:sz w:val="15"/>
              </w:rPr>
              <w:t>Abacus-Umbuchung löst über BPE einen Einlagerbedarf (</w:t>
            </w:r>
            <w:r>
              <w:rPr>
                <w:rFonts w:ascii="Consolas" w:hAnsi="Consolas" w:cs="Consolas" w:eastAsia="Consolas"/>
                <w:sz w:val="13"/>
              </w:rPr>
              <w:t>WLSSD003</w:t>
            </w:r>
            <w:r>
              <w:rPr>
                <w:sz w:val="15"/>
              </w:rPr>
              <w:t>) aus; Erweiterung durch bsb.</w:t>
            </w:r>
          </w:p>
        </w:tc>
        <w:tc>
          <w:tcPr>
            <w:tcW w:type="dxa" w:w="1644"/>
          </w:tcPr>
          <w:p>
            <w:pPr>
              <w:spacing w:after="0" w:line="252" w:lineRule="auto"/>
            </w:pPr>
            <w:r>
              <w:rPr>
                <w:b/>
                <w:sz w:val="15"/>
              </w:rPr>
              <w:t>Projektanpassung</w:t>
            </w:r>
          </w:p>
          <w:p>
            <w:pPr>
              <w:spacing w:after="0"/>
            </w:pPr>
            <w:r>
              <w:rPr>
                <w:sz w:val="15"/>
              </w:rPr>
              <w:t>→ OP-11</w:t>
            </w:r>
          </w:p>
        </w:tc>
      </w:tr>
      <w:tr>
        <w:tc>
          <w:tcPr>
            <w:tcW w:type="dxa" w:w="510"/>
          </w:tcPr>
          <w:p>
            <w:pPr>
              <w:spacing w:after="0" w:line="252" w:lineRule="auto"/>
            </w:pPr>
            <w:r>
              <w:rPr>
                <w:sz w:val="15"/>
              </w:rPr>
              <w:t>3.23</w:t>
            </w:r>
          </w:p>
        </w:tc>
        <w:tc>
          <w:tcPr>
            <w:tcW w:type="dxa" w:w="2154"/>
          </w:tcPr>
          <w:p>
            <w:pPr>
              <w:spacing w:after="0" w:line="252" w:lineRule="auto"/>
            </w:pPr>
            <w:r>
              <w:rPr>
                <w:sz w:val="15"/>
              </w:rPr>
              <w:t>Kommissionieraufträge aus Abacus an WAMAS</w:t>
            </w:r>
          </w:p>
        </w:tc>
        <w:tc>
          <w:tcPr>
            <w:tcW w:type="dxa" w:w="454"/>
          </w:tcPr>
          <w:p>
            <w:pPr>
              <w:spacing w:after="0" w:line="252" w:lineRule="auto"/>
            </w:pPr>
            <w:r>
              <w:rPr>
                <w:sz w:val="15"/>
              </w:rPr>
              <w:t>M</w:t>
            </w:r>
          </w:p>
        </w:tc>
        <w:tc>
          <w:tcPr>
            <w:tcW w:type="dxa" w:w="4762"/>
          </w:tcPr>
          <w:p>
            <w:pPr>
              <w:spacing w:after="0" w:line="252" w:lineRule="auto"/>
            </w:pPr>
            <w:r>
              <w:rPr>
                <w:sz w:val="15"/>
              </w:rPr>
              <w:t xml:space="preserve">Kommissionierbedarf </w:t>
            </w:r>
            <w:r>
              <w:rPr>
                <w:rFonts w:ascii="Consolas" w:hAnsi="Consolas" w:cs="Consolas" w:eastAsia="Consolas"/>
                <w:sz w:val="13"/>
              </w:rPr>
              <w:t>WLSPD003</w:t>
            </w:r>
            <w:r>
              <w:rPr>
                <w:sz w:val="15"/>
              </w:rPr>
              <w:t>/</w:t>
            </w:r>
            <w:r>
              <w:rPr>
                <w:rFonts w:ascii="Consolas" w:hAnsi="Consolas" w:cs="Consolas" w:eastAsia="Consolas"/>
                <w:sz w:val="13"/>
              </w:rPr>
              <w:t>WLSPDL002</w:t>
            </w:r>
            <w:r>
              <w:rPr>
                <w:sz w:val="15"/>
              </w:rPr>
              <w:t xml:space="preserve"> besteht für Logimat. Aufteilung der Positionen auf Logimat und manuelle Zone (Abacus/BPE oder WAMAS-Reservierung) festzulegen.</w:t>
            </w:r>
          </w:p>
        </w:tc>
        <w:tc>
          <w:tcPr>
            <w:tcW w:type="dxa" w:w="1644"/>
          </w:tcPr>
          <w:p>
            <w:pPr>
              <w:spacing w:after="0" w:line="252" w:lineRule="auto"/>
            </w:pPr>
            <w:r>
              <w:rPr>
                <w:b/>
                <w:sz w:val="15"/>
              </w:rPr>
              <w:t>Standard</w:t>
            </w:r>
          </w:p>
          <w:p>
            <w:pPr>
              <w:spacing w:after="0"/>
            </w:pPr>
            <w:r>
              <w:rPr>
                <w:sz w:val="15"/>
              </w:rPr>
              <w:t>Klärung nötig</w:t>
            </w:r>
          </w:p>
          <w:p>
            <w:pPr>
              <w:spacing w:after="0"/>
            </w:pPr>
            <w:r>
              <w:rPr>
                <w:sz w:val="15"/>
              </w:rPr>
              <w:t>→ OP-01, OP-11</w:t>
            </w:r>
          </w:p>
        </w:tc>
      </w:tr>
      <w:tr>
        <w:tc>
          <w:tcPr>
            <w:tcW w:type="dxa" w:w="510"/>
          </w:tcPr>
          <w:p>
            <w:pPr>
              <w:spacing w:after="0" w:line="252" w:lineRule="auto"/>
            </w:pPr>
            <w:r>
              <w:rPr>
                <w:sz w:val="15"/>
              </w:rPr>
              <w:t>3.24</w:t>
            </w:r>
          </w:p>
        </w:tc>
        <w:tc>
          <w:tcPr>
            <w:tcW w:type="dxa" w:w="2154"/>
          </w:tcPr>
          <w:p>
            <w:pPr>
              <w:spacing w:after="0" w:line="252" w:lineRule="auto"/>
            </w:pPr>
            <w:r>
              <w:rPr>
                <w:sz w:val="15"/>
              </w:rPr>
              <w:t>Kommissionierung papierlos und scannergeführt</w:t>
            </w:r>
          </w:p>
        </w:tc>
        <w:tc>
          <w:tcPr>
            <w:tcW w:type="dxa" w:w="454"/>
          </w:tcPr>
          <w:p>
            <w:pPr>
              <w:spacing w:after="0" w:line="252" w:lineRule="auto"/>
            </w:pPr>
            <w:r>
              <w:rPr>
                <w:sz w:val="15"/>
              </w:rPr>
              <w:t>M</w:t>
            </w:r>
          </w:p>
        </w:tc>
        <w:tc>
          <w:tcPr>
            <w:tcW w:type="dxa" w:w="4762"/>
          </w:tcPr>
          <w:p>
            <w:pPr>
              <w:spacing w:after="0" w:line="252" w:lineRule="auto"/>
            </w:pPr>
            <w:r>
              <w:rPr>
                <w:sz w:val="15"/>
              </w:rPr>
              <w:t xml:space="preserve">Mobil-Tätigkeit </w:t>
            </w:r>
            <w:r>
              <w:rPr>
                <w:b/>
                <w:sz w:val="15"/>
              </w:rPr>
              <w:t>Kommissionierung</w:t>
            </w:r>
            <w:r>
              <w:rPr>
                <w:sz w:val="15"/>
              </w:rPr>
              <w:t xml:space="preserve">: </w:t>
            </w:r>
            <w:r>
              <w:rPr>
                <w:b/>
                <w:sz w:val="15"/>
              </w:rPr>
              <w:t>MLP002</w:t>
            </w:r>
            <w:r>
              <w:rPr>
                <w:sz w:val="15"/>
              </w:rPr>
              <w:t xml:space="preserve"> aktivieren → </w:t>
            </w:r>
            <w:r>
              <w:rPr>
                <w:b/>
                <w:sz w:val="15"/>
              </w:rPr>
              <w:t>MLP003</w:t>
            </w:r>
            <w:r>
              <w:rPr>
                <w:sz w:val="15"/>
              </w:rPr>
              <w:t xml:space="preserve"> kommissionieren → </w:t>
            </w:r>
            <w:r>
              <w:rPr>
                <w:b/>
                <w:sz w:val="15"/>
              </w:rPr>
              <w:t>MLP005</w:t>
            </w:r>
            <w:r>
              <w:rPr>
                <w:sz w:val="15"/>
              </w:rPr>
              <w:t xml:space="preserve"> → </w:t>
            </w:r>
            <w:r>
              <w:rPr>
                <w:b/>
                <w:sz w:val="15"/>
              </w:rPr>
              <w:t>MLP006</w:t>
            </w:r>
            <w:r>
              <w:rPr>
                <w:sz w:val="15"/>
              </w:rPr>
              <w:t xml:space="preserve"> Zielplatz.</w:t>
            </w:r>
          </w:p>
        </w:tc>
        <w:tc>
          <w:tcPr>
            <w:tcW w:type="dxa" w:w="1644"/>
          </w:tcPr>
          <w:p>
            <w:pPr>
              <w:spacing w:after="0" w:line="252" w:lineRule="auto"/>
            </w:pPr>
            <w:r>
              <w:rPr>
                <w:b/>
                <w:sz w:val="15"/>
              </w:rPr>
              <w:t>Standard</w:t>
            </w:r>
          </w:p>
        </w:tc>
      </w:tr>
      <w:tr>
        <w:tc>
          <w:tcPr>
            <w:tcW w:type="dxa" w:w="510"/>
          </w:tcPr>
          <w:p>
            <w:pPr>
              <w:spacing w:after="0" w:line="252" w:lineRule="auto"/>
            </w:pPr>
            <w:r>
              <w:rPr>
                <w:sz w:val="15"/>
              </w:rPr>
              <w:t>3.25</w:t>
            </w:r>
          </w:p>
        </w:tc>
        <w:tc>
          <w:tcPr>
            <w:tcW w:type="dxa" w:w="2154"/>
          </w:tcPr>
          <w:p>
            <w:pPr>
              <w:spacing w:after="0" w:line="252" w:lineRule="auto"/>
            </w:pPr>
            <w:r>
              <w:rPr>
                <w:sz w:val="15"/>
              </w:rPr>
              <w:t>WAMAS führt zum korrekten Lagerplatz</w:t>
            </w:r>
          </w:p>
        </w:tc>
        <w:tc>
          <w:tcPr>
            <w:tcW w:type="dxa" w:w="454"/>
          </w:tcPr>
          <w:p>
            <w:pPr>
              <w:spacing w:after="0" w:line="252" w:lineRule="auto"/>
            </w:pPr>
            <w:r>
              <w:rPr>
                <w:sz w:val="15"/>
              </w:rPr>
              <w:t>M</w:t>
            </w:r>
          </w:p>
        </w:tc>
        <w:tc>
          <w:tcPr>
            <w:tcW w:type="dxa" w:w="4762"/>
          </w:tcPr>
          <w:p>
            <w:pPr>
              <w:spacing w:after="0" w:line="252" w:lineRule="auto"/>
            </w:pPr>
            <w:r>
              <w:rPr>
                <w:sz w:val="15"/>
              </w:rPr>
              <w:t>Anzeige des Quellplatzes im Kommissionierdialog; Ablauf im Test bestätigen.</w:t>
            </w:r>
          </w:p>
        </w:tc>
        <w:tc>
          <w:tcPr>
            <w:tcW w:type="dxa" w:w="1644"/>
          </w:tcPr>
          <w:p>
            <w:pPr>
              <w:spacing w:after="0" w:line="252" w:lineRule="auto"/>
            </w:pPr>
            <w:r>
              <w:rPr>
                <w:b/>
                <w:sz w:val="15"/>
              </w:rPr>
              <w:t>Standard</w:t>
            </w:r>
          </w:p>
          <w:p>
            <w:pPr>
              <w:spacing w:after="0"/>
            </w:pPr>
            <w:r>
              <w:rPr>
                <w:sz w:val="15"/>
              </w:rPr>
              <w:t>Klärung nötig</w:t>
            </w:r>
          </w:p>
        </w:tc>
      </w:tr>
      <w:tr>
        <w:tc>
          <w:tcPr>
            <w:tcW w:type="dxa" w:w="510"/>
          </w:tcPr>
          <w:p>
            <w:pPr>
              <w:spacing w:after="0" w:line="252" w:lineRule="auto"/>
            </w:pPr>
            <w:r>
              <w:rPr>
                <w:sz w:val="15"/>
              </w:rPr>
              <w:t>3.26</w:t>
            </w:r>
          </w:p>
        </w:tc>
        <w:tc>
          <w:tcPr>
            <w:tcW w:type="dxa" w:w="2154"/>
          </w:tcPr>
          <w:p>
            <w:pPr>
              <w:spacing w:after="0" w:line="252" w:lineRule="auto"/>
            </w:pPr>
            <w:r>
              <w:rPr>
                <w:sz w:val="15"/>
              </w:rPr>
              <w:t>Entnahme durch Scan von Lagerplatz und/oder Artikel bestätigen</w:t>
            </w:r>
          </w:p>
        </w:tc>
        <w:tc>
          <w:tcPr>
            <w:tcW w:type="dxa" w:w="454"/>
          </w:tcPr>
          <w:p>
            <w:pPr>
              <w:spacing w:after="0" w:line="252" w:lineRule="auto"/>
            </w:pPr>
            <w:r>
              <w:rPr>
                <w:sz w:val="15"/>
              </w:rPr>
              <w:t>M</w:t>
            </w:r>
          </w:p>
        </w:tc>
        <w:tc>
          <w:tcPr>
            <w:tcW w:type="dxa" w:w="4762"/>
          </w:tcPr>
          <w:p>
            <w:pPr>
              <w:spacing w:after="0" w:line="252" w:lineRule="auto"/>
            </w:pPr>
            <w:r>
              <w:rPr>
                <w:sz w:val="15"/>
              </w:rPr>
              <w:t>Dokumentiert ist der Artikelscan. Ein Lagerplatzscan als Pflichtschritt ist nicht beschrieben.</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OP-02</w:t>
            </w:r>
          </w:p>
        </w:tc>
      </w:tr>
      <w:tr>
        <w:tc>
          <w:tcPr>
            <w:tcW w:type="dxa" w:w="510"/>
          </w:tcPr>
          <w:p>
            <w:pPr>
              <w:spacing w:after="0" w:line="252" w:lineRule="auto"/>
            </w:pPr>
            <w:r>
              <w:rPr>
                <w:sz w:val="15"/>
              </w:rPr>
              <w:t>3.27</w:t>
            </w:r>
          </w:p>
        </w:tc>
        <w:tc>
          <w:tcPr>
            <w:tcW w:type="dxa" w:w="2154"/>
          </w:tcPr>
          <w:p>
            <w:pPr>
              <w:spacing w:after="0" w:line="252" w:lineRule="auto"/>
            </w:pPr>
            <w:r>
              <w:rPr>
                <w:sz w:val="15"/>
              </w:rPr>
              <w:t>Entnommene Menge eingeben bzw. bestätigen</w:t>
            </w:r>
          </w:p>
        </w:tc>
        <w:tc>
          <w:tcPr>
            <w:tcW w:type="dxa" w:w="454"/>
          </w:tcPr>
          <w:p>
            <w:pPr>
              <w:spacing w:after="0" w:line="252" w:lineRule="auto"/>
            </w:pPr>
            <w:r>
              <w:rPr>
                <w:sz w:val="15"/>
              </w:rPr>
              <w:t>M</w:t>
            </w:r>
          </w:p>
        </w:tc>
        <w:tc>
          <w:tcPr>
            <w:tcW w:type="dxa" w:w="4762"/>
          </w:tcPr>
          <w:p>
            <w:pPr>
              <w:spacing w:after="0" w:line="252" w:lineRule="auto"/>
            </w:pPr>
            <w:r>
              <w:rPr>
                <w:sz w:val="15"/>
              </w:rPr>
              <w:t xml:space="preserve">Menge in </w:t>
            </w:r>
            <w:r>
              <w:rPr>
                <w:b/>
                <w:sz w:val="15"/>
              </w:rPr>
              <w:t>MLP003</w:t>
            </w:r>
            <w:r>
              <w:rPr>
                <w:sz w:val="15"/>
              </w:rPr>
              <w:t xml:space="preserve">, Anpassung über </w:t>
            </w:r>
            <w:r>
              <w:rPr>
                <w:b/>
                <w:sz w:val="15"/>
              </w:rPr>
              <w:t>MAP030</w:t>
            </w:r>
            <w:r>
              <w:rPr>
                <w:sz w:val="15"/>
              </w:rPr>
              <w:t>.</w:t>
            </w:r>
          </w:p>
        </w:tc>
        <w:tc>
          <w:tcPr>
            <w:tcW w:type="dxa" w:w="1644"/>
          </w:tcPr>
          <w:p>
            <w:pPr>
              <w:spacing w:after="0" w:line="252" w:lineRule="auto"/>
            </w:pPr>
            <w:r>
              <w:rPr>
                <w:b/>
                <w:sz w:val="15"/>
              </w:rPr>
              <w:t>Standard</w:t>
            </w:r>
          </w:p>
        </w:tc>
      </w:tr>
      <w:tr>
        <w:tc>
          <w:tcPr>
            <w:tcW w:type="dxa" w:w="510"/>
          </w:tcPr>
          <w:p>
            <w:pPr>
              <w:spacing w:after="0" w:line="252" w:lineRule="auto"/>
            </w:pPr>
            <w:r>
              <w:rPr>
                <w:sz w:val="15"/>
              </w:rPr>
              <w:t>3.28</w:t>
            </w:r>
          </w:p>
        </w:tc>
        <w:tc>
          <w:tcPr>
            <w:tcW w:type="dxa" w:w="2154"/>
          </w:tcPr>
          <w:p>
            <w:pPr>
              <w:spacing w:after="0" w:line="252" w:lineRule="auto"/>
            </w:pPr>
            <w:r>
              <w:rPr>
                <w:sz w:val="15"/>
              </w:rPr>
              <w:t>Tatsächlich entnommene Charge erfassen</w:t>
            </w:r>
          </w:p>
        </w:tc>
        <w:tc>
          <w:tcPr>
            <w:tcW w:type="dxa" w:w="454"/>
          </w:tcPr>
          <w:p>
            <w:pPr>
              <w:spacing w:after="0" w:line="252" w:lineRule="auto"/>
            </w:pPr>
            <w:r>
              <w:rPr>
                <w:sz w:val="15"/>
              </w:rPr>
              <w:t>M</w:t>
            </w:r>
          </w:p>
        </w:tc>
        <w:tc>
          <w:tcPr>
            <w:tcW w:type="dxa" w:w="4762"/>
          </w:tcPr>
          <w:p>
            <w:pPr>
              <w:spacing w:after="0" w:line="252" w:lineRule="auto"/>
            </w:pPr>
            <w:r>
              <w:rPr>
                <w:sz w:val="15"/>
              </w:rPr>
              <w:t>Reservierung chargengenau (ABIA-Zugriffsmodus mild/streng). Erfassung einer abweichenden Charge am Mobilterminal zu bestätigen.</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OP-02</w:t>
            </w:r>
          </w:p>
        </w:tc>
      </w:tr>
      <w:tr>
        <w:tc>
          <w:tcPr>
            <w:tcW w:type="dxa" w:w="510"/>
          </w:tcPr>
          <w:p>
            <w:pPr>
              <w:spacing w:after="0" w:line="252" w:lineRule="auto"/>
            </w:pPr>
            <w:r>
              <w:rPr>
                <w:sz w:val="15"/>
              </w:rPr>
              <w:t>3.29</w:t>
            </w:r>
          </w:p>
        </w:tc>
        <w:tc>
          <w:tcPr>
            <w:tcW w:type="dxa" w:w="2154"/>
          </w:tcPr>
          <w:p>
            <w:pPr>
              <w:spacing w:after="0" w:line="252" w:lineRule="auto"/>
            </w:pPr>
            <w:r>
              <w:rPr>
                <w:sz w:val="15"/>
              </w:rPr>
              <w:t>Konkrete SN auswählbar bzw. scannbar</w:t>
            </w:r>
          </w:p>
        </w:tc>
        <w:tc>
          <w:tcPr>
            <w:tcW w:type="dxa" w:w="454"/>
          </w:tcPr>
          <w:p>
            <w:pPr>
              <w:spacing w:after="0" w:line="252" w:lineRule="auto"/>
            </w:pPr>
            <w:r>
              <w:rPr>
                <w:sz w:val="15"/>
              </w:rPr>
              <w:t>M</w:t>
            </w:r>
          </w:p>
        </w:tc>
        <w:tc>
          <w:tcPr>
            <w:tcW w:type="dxa" w:w="4762"/>
          </w:tcPr>
          <w:p>
            <w:pPr>
              <w:spacing w:after="0" w:line="252" w:lineRule="auto"/>
            </w:pPr>
            <w:r>
              <w:rPr>
                <w:sz w:val="15"/>
              </w:rPr>
              <w:t>Auswahlliste der auf dem Platz vorhandenen SN am Mobilterminal nicht dokumentiert.</w:t>
            </w:r>
          </w:p>
        </w:tc>
        <w:tc>
          <w:tcPr>
            <w:tcW w:type="dxa" w:w="1644"/>
          </w:tcPr>
          <w:p>
            <w:pPr>
              <w:spacing w:after="0" w:line="252" w:lineRule="auto"/>
            </w:pPr>
            <w:r>
              <w:rPr>
                <w:b/>
                <w:sz w:val="15"/>
              </w:rPr>
              <w:t>Klärung nötig</w:t>
            </w:r>
          </w:p>
          <w:p>
            <w:pPr>
              <w:spacing w:after="0"/>
            </w:pPr>
            <w:r>
              <w:rPr>
                <w:sz w:val="15"/>
              </w:rPr>
              <w:t>Projektanpassung</w:t>
            </w:r>
          </w:p>
          <w:p>
            <w:pPr>
              <w:spacing w:after="0"/>
            </w:pPr>
            <w:r>
              <w:rPr>
                <w:sz w:val="15"/>
              </w:rPr>
              <w:t>→ OP-02</w:t>
            </w:r>
          </w:p>
        </w:tc>
      </w:tr>
      <w:tr>
        <w:tc>
          <w:tcPr>
            <w:tcW w:type="dxa" w:w="510"/>
          </w:tcPr>
          <w:p>
            <w:pPr>
              <w:spacing w:after="0" w:line="252" w:lineRule="auto"/>
            </w:pPr>
            <w:r>
              <w:rPr>
                <w:sz w:val="15"/>
              </w:rPr>
              <w:t>3.30</w:t>
            </w:r>
          </w:p>
        </w:tc>
        <w:tc>
          <w:tcPr>
            <w:tcW w:type="dxa" w:w="2154"/>
          </w:tcPr>
          <w:p>
            <w:pPr>
              <w:spacing w:after="0" w:line="252" w:lineRule="auto"/>
            </w:pPr>
            <w:r>
              <w:rPr>
                <w:sz w:val="15"/>
              </w:rPr>
              <w:t>SN nach Entnahme eindeutig dem Auftrag zuordnen</w:t>
            </w:r>
          </w:p>
        </w:tc>
        <w:tc>
          <w:tcPr>
            <w:tcW w:type="dxa" w:w="454"/>
          </w:tcPr>
          <w:p>
            <w:pPr>
              <w:spacing w:after="0" w:line="252" w:lineRule="auto"/>
            </w:pPr>
            <w:r>
              <w:rPr>
                <w:sz w:val="15"/>
              </w:rPr>
              <w:t>M</w:t>
            </w:r>
          </w:p>
        </w:tc>
        <w:tc>
          <w:tcPr>
            <w:tcW w:type="dxa" w:w="4762"/>
          </w:tcPr>
          <w:p>
            <w:pPr>
              <w:spacing w:after="0" w:line="252" w:lineRule="auto"/>
            </w:pPr>
            <w:r>
              <w:rPr>
                <w:sz w:val="15"/>
              </w:rPr>
              <w:t xml:space="preserve">Rückmeldung </w:t>
            </w:r>
            <w:r>
              <w:rPr>
                <w:rFonts w:ascii="Consolas" w:hAnsi="Consolas" w:cs="Consolas" w:eastAsia="Consolas"/>
                <w:sz w:val="13"/>
              </w:rPr>
              <w:t>WLSPDLACK001</w:t>
            </w:r>
            <w:r>
              <w:rPr>
                <w:sz w:val="15"/>
              </w:rPr>
              <w:t xml:space="preserve"> mit Charge/ABIA an Abacus; Granularität je SN zu bestätigen.</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OP-02</w:t>
            </w:r>
          </w:p>
        </w:tc>
      </w:tr>
      <w:tr>
        <w:tc>
          <w:tcPr>
            <w:tcW w:type="dxa" w:w="510"/>
          </w:tcPr>
          <w:p>
            <w:pPr>
              <w:spacing w:after="0" w:line="252" w:lineRule="auto"/>
            </w:pPr>
            <w:r>
              <w:rPr>
                <w:sz w:val="15"/>
              </w:rPr>
              <w:t>3.31</w:t>
            </w:r>
          </w:p>
        </w:tc>
        <w:tc>
          <w:tcPr>
            <w:tcW w:type="dxa" w:w="2154"/>
          </w:tcPr>
          <w:p>
            <w:pPr>
              <w:spacing w:after="0" w:line="252" w:lineRule="auto"/>
            </w:pPr>
            <w:r>
              <w:rPr>
                <w:sz w:val="15"/>
              </w:rPr>
              <w:t>Laufwegoptimierte bzw. serielle Kommissionierreihenfolge</w:t>
            </w:r>
          </w:p>
        </w:tc>
        <w:tc>
          <w:tcPr>
            <w:tcW w:type="dxa" w:w="454"/>
          </w:tcPr>
          <w:p>
            <w:pPr>
              <w:spacing w:after="0" w:line="252" w:lineRule="auto"/>
            </w:pPr>
            <w:r>
              <w:rPr>
                <w:sz w:val="15"/>
              </w:rPr>
              <w:t>M</w:t>
            </w:r>
          </w:p>
        </w:tc>
        <w:tc>
          <w:tcPr>
            <w:tcW w:type="dxa" w:w="4762"/>
          </w:tcPr>
          <w:p>
            <w:pPr>
              <w:spacing w:after="0" w:line="252" w:lineRule="auto"/>
            </w:pPr>
            <w:r>
              <w:rPr>
                <w:sz w:val="15"/>
              </w:rPr>
              <w:t>Kommissionierreihenfolge je Lagerplatzgruppe (</w:t>
            </w:r>
            <w:r>
              <w:rPr>
                <w:b/>
                <w:sz w:val="15"/>
              </w:rPr>
              <w:t>LM126</w:t>
            </w:r>
            <w:r>
              <w:rPr>
                <w:sz w:val="15"/>
              </w:rPr>
              <w:t>) und je Platz (</w:t>
            </w:r>
            <w:r>
              <w:rPr>
                <w:b/>
                <w:sz w:val="15"/>
              </w:rPr>
              <w:t>LM124</w:t>
            </w:r>
            <w:r>
              <w:rPr>
                <w:sz w:val="15"/>
              </w:rPr>
              <w:t>) definiert den Laufweg. Reihenfolge für 425 Plätze wird aus dem Layout abgeleitet.</w:t>
            </w:r>
          </w:p>
        </w:tc>
        <w:tc>
          <w:tcPr>
            <w:tcW w:type="dxa" w:w="1644"/>
          </w:tcPr>
          <w:p>
            <w:pPr>
              <w:spacing w:after="0" w:line="252" w:lineRule="auto"/>
            </w:pPr>
            <w:r>
              <w:rPr>
                <w:b/>
                <w:sz w:val="15"/>
              </w:rPr>
              <w:t>Konfiguration</w:t>
            </w:r>
          </w:p>
        </w:tc>
      </w:tr>
      <w:tr>
        <w:tc>
          <w:tcPr>
            <w:tcW w:type="dxa" w:w="510"/>
          </w:tcPr>
          <w:p>
            <w:pPr>
              <w:spacing w:after="0" w:line="252" w:lineRule="auto"/>
            </w:pPr>
            <w:r>
              <w:rPr>
                <w:sz w:val="15"/>
              </w:rPr>
              <w:t>3.32</w:t>
            </w:r>
          </w:p>
        </w:tc>
        <w:tc>
          <w:tcPr>
            <w:tcW w:type="dxa" w:w="2154"/>
          </w:tcPr>
          <w:p>
            <w:pPr>
              <w:spacing w:after="0" w:line="252" w:lineRule="auto"/>
            </w:pPr>
            <w:r>
              <w:rPr>
                <w:sz w:val="15"/>
              </w:rPr>
              <w:t>Häufig entnommene Artikel bei der Platzoptimierung bevorzugen</w:t>
            </w:r>
          </w:p>
        </w:tc>
        <w:tc>
          <w:tcPr>
            <w:tcW w:type="dxa" w:w="454"/>
          </w:tcPr>
          <w:p>
            <w:pPr>
              <w:spacing w:after="0" w:line="252" w:lineRule="auto"/>
            </w:pPr>
            <w:r>
              <w:rPr>
                <w:sz w:val="15"/>
              </w:rPr>
              <w:t>W</w:t>
            </w:r>
          </w:p>
        </w:tc>
        <w:tc>
          <w:tcPr>
            <w:tcW w:type="dxa" w:w="4762"/>
          </w:tcPr>
          <w:p>
            <w:pPr>
              <w:spacing w:after="0" w:line="252" w:lineRule="auto"/>
            </w:pPr>
            <w:r>
              <w:rPr>
                <w:sz w:val="15"/>
              </w:rPr>
              <w:t>ABC-Berechnung für externe Artikel (</w:t>
            </w:r>
            <w:r>
              <w:rPr>
                <w:b/>
                <w:sz w:val="15"/>
              </w:rPr>
              <w:t>LM069</w:t>
            </w:r>
            <w:r>
              <w:rPr>
                <w:sz w:val="15"/>
              </w:rPr>
              <w:t xml:space="preserve">) und Strategie </w:t>
            </w:r>
            <w:r>
              <w:rPr>
                <w:rFonts w:ascii="Consolas" w:hAnsi="Consolas" w:cs="Consolas" w:eastAsia="Consolas"/>
                <w:sz w:val="13"/>
              </w:rPr>
              <w:t>ABC_EXTERNAL</w:t>
            </w:r>
            <w:r>
              <w:rPr>
                <w:sz w:val="15"/>
              </w:rPr>
              <w:t>; gut erreichbare Plätze erhalten tiefe Einlagerreihenfolge.</w:t>
            </w:r>
          </w:p>
        </w:tc>
        <w:tc>
          <w:tcPr>
            <w:tcW w:type="dxa" w:w="1644"/>
          </w:tcPr>
          <w:p>
            <w:pPr>
              <w:spacing w:after="0" w:line="252" w:lineRule="auto"/>
            </w:pPr>
            <w:r>
              <w:rPr>
                <w:b/>
                <w:sz w:val="15"/>
              </w:rPr>
              <w:t>Konfiguration</w:t>
            </w:r>
          </w:p>
        </w:tc>
      </w:tr>
      <w:tr>
        <w:tc>
          <w:tcPr>
            <w:tcW w:type="dxa" w:w="510"/>
          </w:tcPr>
          <w:p>
            <w:pPr>
              <w:spacing w:after="0" w:line="252" w:lineRule="auto"/>
            </w:pPr>
            <w:r>
              <w:rPr>
                <w:sz w:val="15"/>
              </w:rPr>
              <w:t>3.33</w:t>
            </w:r>
          </w:p>
        </w:tc>
        <w:tc>
          <w:tcPr>
            <w:tcW w:type="dxa" w:w="2154"/>
          </w:tcPr>
          <w:p>
            <w:pPr>
              <w:spacing w:after="0" w:line="252" w:lineRule="auto"/>
            </w:pPr>
            <w:r>
              <w:rPr>
                <w:sz w:val="15"/>
              </w:rPr>
              <w:t>Mehrere Aufträge mit gleichem/ähnlichem Hauptprodukt gemeinsam kommissionieren</w:t>
            </w:r>
          </w:p>
        </w:tc>
        <w:tc>
          <w:tcPr>
            <w:tcW w:type="dxa" w:w="454"/>
          </w:tcPr>
          <w:p>
            <w:pPr>
              <w:spacing w:after="0" w:line="252" w:lineRule="auto"/>
            </w:pPr>
            <w:r>
              <w:rPr>
                <w:sz w:val="15"/>
              </w:rPr>
              <w:t>W</w:t>
            </w:r>
          </w:p>
        </w:tc>
        <w:tc>
          <w:tcPr>
            <w:tcW w:type="dxa" w:w="4762"/>
          </w:tcPr>
          <w:p>
            <w:pPr>
              <w:spacing w:after="0" w:line="252" w:lineRule="auto"/>
            </w:pPr>
            <w:r>
              <w:rPr>
                <w:sz w:val="15"/>
              </w:rPr>
              <w:t>Mehrauftragskommissionierung mit Kommissionierwagen ist dokumentiert (Touch-Client/LOGIMAT). Für externe Plätze am Mobilterminal nicht beschrieben.</w:t>
            </w:r>
          </w:p>
        </w:tc>
        <w:tc>
          <w:tcPr>
            <w:tcW w:type="dxa" w:w="1644"/>
          </w:tcPr>
          <w:p>
            <w:pPr>
              <w:spacing w:after="0" w:line="252" w:lineRule="auto"/>
            </w:pPr>
            <w:r>
              <w:rPr>
                <w:b/>
                <w:sz w:val="15"/>
              </w:rPr>
              <w:t>Klärung nötig</w:t>
            </w:r>
          </w:p>
          <w:p>
            <w:pPr>
              <w:spacing w:after="0"/>
            </w:pPr>
            <w:r>
              <w:rPr>
                <w:sz w:val="15"/>
              </w:rPr>
              <w:t>→ OP-08</w:t>
            </w:r>
          </w:p>
        </w:tc>
      </w:tr>
      <w:tr>
        <w:tc>
          <w:tcPr>
            <w:tcW w:type="dxa" w:w="510"/>
          </w:tcPr>
          <w:p>
            <w:pPr>
              <w:spacing w:after="0" w:line="252" w:lineRule="auto"/>
            </w:pPr>
            <w:r>
              <w:rPr>
                <w:sz w:val="15"/>
              </w:rPr>
              <w:t>3.34</w:t>
            </w:r>
          </w:p>
        </w:tc>
        <w:tc>
          <w:tcPr>
            <w:tcW w:type="dxa" w:w="2154"/>
          </w:tcPr>
          <w:p>
            <w:pPr>
              <w:spacing w:after="0" w:line="252" w:lineRule="auto"/>
            </w:pPr>
            <w:r>
              <w:rPr>
                <w:sz w:val="15"/>
              </w:rPr>
              <w:t>Bei gebündelter Kommissionierung bleiben Mengen, Chargen, SN je Auftrag zugeordnet</w:t>
            </w:r>
          </w:p>
        </w:tc>
        <w:tc>
          <w:tcPr>
            <w:tcW w:type="dxa" w:w="454"/>
          </w:tcPr>
          <w:p>
            <w:pPr>
              <w:spacing w:after="0" w:line="252" w:lineRule="auto"/>
            </w:pPr>
            <w:r>
              <w:rPr>
                <w:sz w:val="15"/>
              </w:rPr>
              <w:t>M</w:t>
            </w:r>
          </w:p>
        </w:tc>
        <w:tc>
          <w:tcPr>
            <w:tcW w:type="dxa" w:w="4762"/>
          </w:tcPr>
          <w:p>
            <w:pPr>
              <w:spacing w:after="0" w:line="252" w:lineRule="auto"/>
            </w:pPr>
            <w:r>
              <w:rPr>
                <w:sz w:val="15"/>
              </w:rPr>
              <w:t>Abhängig von 3.33. Jeder Bedarf bleibt eigener Kommissionierbedarf mit eigener Rückmeldung.</w:t>
            </w:r>
          </w:p>
        </w:tc>
        <w:tc>
          <w:tcPr>
            <w:tcW w:type="dxa" w:w="1644"/>
          </w:tcPr>
          <w:p>
            <w:pPr>
              <w:spacing w:after="0" w:line="252" w:lineRule="auto"/>
            </w:pPr>
            <w:r>
              <w:rPr>
                <w:b/>
                <w:sz w:val="15"/>
              </w:rPr>
              <w:t>Klärung nötig</w:t>
            </w:r>
          </w:p>
          <w:p>
            <w:pPr>
              <w:spacing w:after="0"/>
            </w:pPr>
            <w:r>
              <w:rPr>
                <w:sz w:val="15"/>
              </w:rPr>
              <w:t>→ OP-08</w:t>
            </w:r>
          </w:p>
        </w:tc>
      </w:tr>
      <w:tr>
        <w:tc>
          <w:tcPr>
            <w:tcW w:type="dxa" w:w="510"/>
          </w:tcPr>
          <w:p>
            <w:pPr>
              <w:spacing w:after="0" w:line="252" w:lineRule="auto"/>
            </w:pPr>
            <w:r>
              <w:rPr>
                <w:sz w:val="15"/>
              </w:rPr>
              <w:t>3.35</w:t>
            </w:r>
          </w:p>
        </w:tc>
        <w:tc>
          <w:tcPr>
            <w:tcW w:type="dxa" w:w="2154"/>
          </w:tcPr>
          <w:p>
            <w:pPr>
              <w:spacing w:after="0" w:line="252" w:lineRule="auto"/>
            </w:pPr>
            <w:r>
              <w:rPr>
                <w:sz w:val="15"/>
              </w:rPr>
              <w:t>Nach Entnahme Etikette über mobilen Drucker</w:t>
            </w:r>
          </w:p>
        </w:tc>
        <w:tc>
          <w:tcPr>
            <w:tcW w:type="dxa" w:w="454"/>
          </w:tcPr>
          <w:p>
            <w:pPr>
              <w:spacing w:after="0" w:line="252" w:lineRule="auto"/>
            </w:pPr>
            <w:r>
              <w:rPr>
                <w:sz w:val="15"/>
              </w:rPr>
              <w:t>M</w:t>
            </w:r>
          </w:p>
        </w:tc>
        <w:tc>
          <w:tcPr>
            <w:tcW w:type="dxa" w:w="4762"/>
          </w:tcPr>
          <w:p>
            <w:pPr>
              <w:spacing w:after="0" w:line="252" w:lineRule="auto"/>
            </w:pPr>
            <w:r>
              <w:rPr>
                <w:sz w:val="15"/>
              </w:rPr>
              <w:t xml:space="preserve">Dokumentdruck (Dokumenttypkonfiguration, </w:t>
            </w:r>
            <w:r>
              <w:rPr>
                <w:b/>
                <w:sz w:val="15"/>
              </w:rPr>
              <w:t>RM001</w:t>
            </w:r>
            <w:r>
              <w:rPr>
                <w:sz w:val="15"/>
              </w:rPr>
              <w:t>) und Druckerauswahl per Barcode sind Standard; Druckauslösung aus der Mobil-Kommissionierung ist nicht beschrieben.</w:t>
            </w:r>
          </w:p>
        </w:tc>
        <w:tc>
          <w:tcPr>
            <w:tcW w:type="dxa" w:w="1644"/>
          </w:tcPr>
          <w:p>
            <w:pPr>
              <w:spacing w:after="0" w:line="252" w:lineRule="auto"/>
            </w:pPr>
            <w:r>
              <w:rPr>
                <w:b/>
                <w:sz w:val="15"/>
              </w:rPr>
              <w:t>Projektanpassung</w:t>
            </w:r>
          </w:p>
          <w:p>
            <w:pPr>
              <w:spacing w:after="0"/>
            </w:pPr>
            <w:r>
              <w:rPr>
                <w:sz w:val="15"/>
              </w:rPr>
              <w:t>Klärung nötig</w:t>
            </w:r>
          </w:p>
          <w:p>
            <w:pPr>
              <w:spacing w:after="0"/>
            </w:pPr>
            <w:r>
              <w:rPr>
                <w:sz w:val="15"/>
              </w:rPr>
              <w:t>→ OP-09</w:t>
            </w:r>
          </w:p>
        </w:tc>
      </w:tr>
      <w:tr>
        <w:tc>
          <w:tcPr>
            <w:tcW w:type="dxa" w:w="510"/>
          </w:tcPr>
          <w:p>
            <w:pPr>
              <w:spacing w:after="0" w:line="252" w:lineRule="auto"/>
            </w:pPr>
            <w:r>
              <w:rPr>
                <w:sz w:val="15"/>
              </w:rPr>
              <w:t>3.36</w:t>
            </w:r>
          </w:p>
        </w:tc>
        <w:tc>
          <w:tcPr>
            <w:tcW w:type="dxa" w:w="2154"/>
          </w:tcPr>
          <w:p>
            <w:pPr>
              <w:spacing w:after="0" w:line="252" w:lineRule="auto"/>
            </w:pPr>
            <w:r>
              <w:rPr>
                <w:sz w:val="15"/>
              </w:rPr>
              <w:t>Etikette mit Artikelnummer, Menge, ggf. Charge und SN</w:t>
            </w:r>
          </w:p>
        </w:tc>
        <w:tc>
          <w:tcPr>
            <w:tcW w:type="dxa" w:w="454"/>
          </w:tcPr>
          <w:p>
            <w:pPr>
              <w:spacing w:after="0" w:line="252" w:lineRule="auto"/>
            </w:pPr>
            <w:r>
              <w:rPr>
                <w:sz w:val="15"/>
              </w:rPr>
              <w:t>M</w:t>
            </w:r>
          </w:p>
        </w:tc>
        <w:tc>
          <w:tcPr>
            <w:tcW w:type="dxa" w:w="4762"/>
          </w:tcPr>
          <w:p>
            <w:pPr>
              <w:spacing w:after="0" w:line="252" w:lineRule="auto"/>
            </w:pPr>
            <w:r>
              <w:rPr>
                <w:sz w:val="15"/>
              </w:rPr>
              <w:t>Etikettenlayout im Projekt erstellen.</w:t>
            </w:r>
          </w:p>
        </w:tc>
        <w:tc>
          <w:tcPr>
            <w:tcW w:type="dxa" w:w="1644"/>
          </w:tcPr>
          <w:p>
            <w:pPr>
              <w:spacing w:after="0" w:line="252" w:lineRule="auto"/>
            </w:pPr>
            <w:r>
              <w:rPr>
                <w:b/>
                <w:sz w:val="15"/>
              </w:rPr>
              <w:t>Projektanpassung</w:t>
            </w:r>
          </w:p>
          <w:p>
            <w:pPr>
              <w:spacing w:after="0"/>
            </w:pPr>
            <w:r>
              <w:rPr>
                <w:sz w:val="15"/>
              </w:rPr>
              <w:t>→ OP-09</w:t>
            </w:r>
          </w:p>
        </w:tc>
      </w:tr>
      <w:tr>
        <w:tc>
          <w:tcPr>
            <w:tcW w:type="dxa" w:w="510"/>
          </w:tcPr>
          <w:p>
            <w:pPr>
              <w:spacing w:after="0" w:line="252" w:lineRule="auto"/>
            </w:pPr>
            <w:r>
              <w:rPr>
                <w:sz w:val="15"/>
              </w:rPr>
              <w:t>3.37</w:t>
            </w:r>
          </w:p>
        </w:tc>
        <w:tc>
          <w:tcPr>
            <w:tcW w:type="dxa" w:w="2154"/>
          </w:tcPr>
          <w:p>
            <w:pPr>
              <w:spacing w:after="0" w:line="252" w:lineRule="auto"/>
            </w:pPr>
            <w:r>
              <w:rPr>
                <w:sz w:val="15"/>
              </w:rPr>
              <w:t>Etikette mit QR-Code für den Folgeprozess</w:t>
            </w:r>
          </w:p>
        </w:tc>
        <w:tc>
          <w:tcPr>
            <w:tcW w:type="dxa" w:w="454"/>
          </w:tcPr>
          <w:p>
            <w:pPr>
              <w:spacing w:after="0" w:line="252" w:lineRule="auto"/>
            </w:pPr>
            <w:r>
              <w:rPr>
                <w:sz w:val="15"/>
              </w:rPr>
              <w:t>W</w:t>
            </w:r>
          </w:p>
        </w:tc>
        <w:tc>
          <w:tcPr>
            <w:tcW w:type="dxa" w:w="4762"/>
          </w:tcPr>
          <w:p>
            <w:pPr>
              <w:spacing w:after="0" w:line="252" w:lineRule="auto"/>
            </w:pPr>
            <w:r>
              <w:rPr>
                <w:sz w:val="15"/>
              </w:rPr>
              <w:t>Layout mit 2D-Code; Inhalt/Format von Brütsch festzulegen.</w:t>
            </w:r>
          </w:p>
        </w:tc>
        <w:tc>
          <w:tcPr>
            <w:tcW w:type="dxa" w:w="1644"/>
          </w:tcPr>
          <w:p>
            <w:pPr>
              <w:spacing w:after="0" w:line="252" w:lineRule="auto"/>
            </w:pPr>
            <w:r>
              <w:rPr>
                <w:b/>
                <w:sz w:val="15"/>
              </w:rPr>
              <w:t>Projektanpassung</w:t>
            </w:r>
          </w:p>
          <w:p>
            <w:pPr>
              <w:spacing w:after="0"/>
            </w:pPr>
            <w:r>
              <w:rPr>
                <w:sz w:val="15"/>
              </w:rPr>
              <w:t>→ OP-03, OP-09</w:t>
            </w:r>
          </w:p>
        </w:tc>
      </w:tr>
      <w:tr>
        <w:tc>
          <w:tcPr>
            <w:tcW w:type="dxa" w:w="510"/>
          </w:tcPr>
          <w:p>
            <w:pPr>
              <w:spacing w:after="0" w:line="252" w:lineRule="auto"/>
            </w:pPr>
            <w:r>
              <w:rPr>
                <w:sz w:val="15"/>
              </w:rPr>
              <w:t>3.38</w:t>
            </w:r>
          </w:p>
        </w:tc>
        <w:tc>
          <w:tcPr>
            <w:tcW w:type="dxa" w:w="2154"/>
          </w:tcPr>
          <w:p>
            <w:pPr>
              <w:spacing w:after="0" w:line="252" w:lineRule="auto"/>
            </w:pPr>
            <w:r>
              <w:rPr>
                <w:sz w:val="15"/>
              </w:rPr>
              <w:t>Fehlmengen direkt über den Scanner melden</w:t>
            </w:r>
          </w:p>
        </w:tc>
        <w:tc>
          <w:tcPr>
            <w:tcW w:type="dxa" w:w="454"/>
          </w:tcPr>
          <w:p>
            <w:pPr>
              <w:spacing w:after="0" w:line="252" w:lineRule="auto"/>
            </w:pPr>
            <w:r>
              <w:rPr>
                <w:sz w:val="15"/>
              </w:rPr>
              <w:t>M</w:t>
            </w:r>
          </w:p>
        </w:tc>
        <w:tc>
          <w:tcPr>
            <w:tcW w:type="dxa" w:w="4762"/>
          </w:tcPr>
          <w:p>
            <w:pPr>
              <w:spacing w:after="0" w:line="252" w:lineRule="auto"/>
            </w:pPr>
            <w:r>
              <w:rPr>
                <w:sz w:val="15"/>
              </w:rPr>
              <w:t xml:space="preserve">Fehlmenge im Mobil-Ablauf (Einlagerung: </w:t>
            </w:r>
            <w:r>
              <w:rPr>
                <w:b/>
                <w:sz w:val="15"/>
              </w:rPr>
              <w:t>F3 Fehlmenge</w:t>
            </w:r>
            <w:r>
              <w:rPr>
                <w:sz w:val="15"/>
              </w:rPr>
              <w:t xml:space="preserve">, </w:t>
            </w:r>
            <w:r>
              <w:rPr>
                <w:b/>
                <w:sz w:val="15"/>
              </w:rPr>
              <w:t>MLS008</w:t>
            </w:r>
            <w:r>
              <w:rPr>
                <w:sz w:val="15"/>
              </w:rPr>
              <w:t>) sowie Mengenanpassung bei der Kommissionierung. Fehlmengenbuchung in der Kommissionierung im Test bestätigen.</w:t>
            </w:r>
          </w:p>
        </w:tc>
        <w:tc>
          <w:tcPr>
            <w:tcW w:type="dxa" w:w="1644"/>
          </w:tcPr>
          <w:p>
            <w:pPr>
              <w:spacing w:after="0" w:line="252" w:lineRule="auto"/>
            </w:pPr>
            <w:r>
              <w:rPr>
                <w:b/>
                <w:sz w:val="15"/>
              </w:rPr>
              <w:t>Standard</w:t>
            </w:r>
          </w:p>
          <w:p>
            <w:pPr>
              <w:spacing w:after="0"/>
            </w:pPr>
            <w:r>
              <w:rPr>
                <w:sz w:val="15"/>
              </w:rPr>
              <w:t>Klärung nötig</w:t>
            </w:r>
          </w:p>
          <w:p>
            <w:pPr>
              <w:spacing w:after="0"/>
            </w:pPr>
            <w:r>
              <w:rPr>
                <w:sz w:val="15"/>
              </w:rPr>
              <w:t>→ OP-06</w:t>
            </w:r>
          </w:p>
        </w:tc>
      </w:tr>
      <w:tr>
        <w:tc>
          <w:tcPr>
            <w:tcW w:type="dxa" w:w="510"/>
          </w:tcPr>
          <w:p>
            <w:pPr>
              <w:spacing w:after="0" w:line="252" w:lineRule="auto"/>
            </w:pPr>
            <w:r>
              <w:rPr>
                <w:sz w:val="15"/>
              </w:rPr>
              <w:t>3.39</w:t>
            </w:r>
          </w:p>
        </w:tc>
        <w:tc>
          <w:tcPr>
            <w:tcW w:type="dxa" w:w="2154"/>
          </w:tcPr>
          <w:p>
            <w:pPr>
              <w:spacing w:after="0" w:line="252" w:lineRule="auto"/>
            </w:pPr>
            <w:r>
              <w:rPr>
                <w:sz w:val="15"/>
              </w:rPr>
              <w:t>Bei Bestandsabweichung Kontroll-/Inventurprozess auslösen</w:t>
            </w:r>
          </w:p>
        </w:tc>
        <w:tc>
          <w:tcPr>
            <w:tcW w:type="dxa" w:w="454"/>
          </w:tcPr>
          <w:p>
            <w:pPr>
              <w:spacing w:after="0" w:line="252" w:lineRule="auto"/>
            </w:pPr>
            <w:r>
              <w:rPr>
                <w:sz w:val="15"/>
              </w:rPr>
              <w:t>M</w:t>
            </w:r>
          </w:p>
        </w:tc>
        <w:tc>
          <w:tcPr>
            <w:tcW w:type="dxa" w:w="4762"/>
          </w:tcPr>
          <w:p>
            <w:pPr>
              <w:spacing w:after="0" w:line="252" w:lineRule="auto"/>
            </w:pPr>
            <w:r>
              <w:rPr>
                <w:sz w:val="15"/>
              </w:rPr>
              <w:t>Automatisches Auslösen eines Inventurbedarfs nach einer Fehlmenge ist nicht dokumentiert; spontane Inventur (</w:t>
            </w:r>
            <w:r>
              <w:rPr>
                <w:b/>
                <w:sz w:val="15"/>
              </w:rPr>
              <w:t>MLSI</w:t>
            </w:r>
            <w:r>
              <w:rPr>
                <w:sz w:val="15"/>
              </w:rPr>
              <w:t>) manuell möglich.</w:t>
            </w:r>
          </w:p>
        </w:tc>
        <w:tc>
          <w:tcPr>
            <w:tcW w:type="dxa" w:w="1644"/>
          </w:tcPr>
          <w:p>
            <w:pPr>
              <w:spacing w:after="0" w:line="252" w:lineRule="auto"/>
            </w:pPr>
            <w:r>
              <w:rPr>
                <w:b/>
                <w:sz w:val="15"/>
              </w:rPr>
              <w:t>Klärung nötig</w:t>
            </w:r>
          </w:p>
          <w:p>
            <w:pPr>
              <w:spacing w:after="0"/>
            </w:pPr>
            <w:r>
              <w:rPr>
                <w:sz w:val="15"/>
              </w:rPr>
              <w:t>Projektanpassung</w:t>
            </w:r>
          </w:p>
          <w:p>
            <w:pPr>
              <w:spacing w:after="0"/>
            </w:pPr>
            <w:r>
              <w:rPr>
                <w:sz w:val="15"/>
              </w:rPr>
              <w:t>→ OP-06</w:t>
            </w:r>
          </w:p>
        </w:tc>
      </w:tr>
      <w:tr>
        <w:tc>
          <w:tcPr>
            <w:tcW w:type="dxa" w:w="510"/>
          </w:tcPr>
          <w:p>
            <w:pPr>
              <w:spacing w:after="0" w:line="252" w:lineRule="auto"/>
            </w:pPr>
            <w:r>
              <w:rPr>
                <w:sz w:val="15"/>
              </w:rPr>
              <w:t>3.40</w:t>
            </w:r>
          </w:p>
        </w:tc>
        <w:tc>
          <w:tcPr>
            <w:tcW w:type="dxa" w:w="2154"/>
          </w:tcPr>
          <w:p>
            <w:pPr>
              <w:spacing w:after="0" w:line="252" w:lineRule="auto"/>
            </w:pPr>
            <w:r>
              <w:rPr>
                <w:sz w:val="15"/>
              </w:rPr>
              <w:t>Nachzählung vor endgültiger Bestandskorrektur</w:t>
            </w:r>
          </w:p>
        </w:tc>
        <w:tc>
          <w:tcPr>
            <w:tcW w:type="dxa" w:w="454"/>
          </w:tcPr>
          <w:p>
            <w:pPr>
              <w:spacing w:after="0" w:line="252" w:lineRule="auto"/>
            </w:pPr>
            <w:r>
              <w:rPr>
                <w:sz w:val="15"/>
              </w:rPr>
              <w:t>M</w:t>
            </w:r>
          </w:p>
        </w:tc>
        <w:tc>
          <w:tcPr>
            <w:tcW w:type="dxa" w:w="4762"/>
          </w:tcPr>
          <w:p>
            <w:pPr>
              <w:spacing w:after="0" w:line="252" w:lineRule="auto"/>
            </w:pPr>
            <w:r>
              <w:rPr>
                <w:sz w:val="15"/>
              </w:rPr>
              <w:t>Nicht als Standard-Workflow dokumentiert.</w:t>
            </w:r>
          </w:p>
        </w:tc>
        <w:tc>
          <w:tcPr>
            <w:tcW w:type="dxa" w:w="1644"/>
          </w:tcPr>
          <w:p>
            <w:pPr>
              <w:spacing w:after="0" w:line="252" w:lineRule="auto"/>
            </w:pPr>
            <w:r>
              <w:rPr>
                <w:b/>
                <w:sz w:val="15"/>
              </w:rPr>
              <w:t>Klärung nötig</w:t>
            </w:r>
          </w:p>
          <w:p>
            <w:pPr>
              <w:spacing w:after="0"/>
            </w:pPr>
            <w:r>
              <w:rPr>
                <w:sz w:val="15"/>
              </w:rPr>
              <w:t>Projektanpassung</w:t>
            </w:r>
          </w:p>
          <w:p>
            <w:pPr>
              <w:spacing w:after="0"/>
            </w:pPr>
            <w:r>
              <w:rPr>
                <w:sz w:val="15"/>
              </w:rPr>
              <w:t>→ OP-06</w:t>
            </w:r>
          </w:p>
        </w:tc>
      </w:tr>
      <w:tr>
        <w:tc>
          <w:tcPr>
            <w:tcW w:type="dxa" w:w="510"/>
          </w:tcPr>
          <w:p>
            <w:pPr>
              <w:spacing w:after="0" w:line="252" w:lineRule="auto"/>
            </w:pPr>
            <w:r>
              <w:rPr>
                <w:sz w:val="15"/>
              </w:rPr>
              <w:t>3.41</w:t>
            </w:r>
          </w:p>
        </w:tc>
        <w:tc>
          <w:tcPr>
            <w:tcW w:type="dxa" w:w="2154"/>
          </w:tcPr>
          <w:p>
            <w:pPr>
              <w:spacing w:after="0" w:line="252" w:lineRule="auto"/>
            </w:pPr>
            <w:r>
              <w:rPr>
                <w:sz w:val="15"/>
              </w:rPr>
              <w:t>Bestandskorrekturen vollständig protokollieren</w:t>
            </w:r>
          </w:p>
        </w:tc>
        <w:tc>
          <w:tcPr>
            <w:tcW w:type="dxa" w:w="454"/>
          </w:tcPr>
          <w:p>
            <w:pPr>
              <w:spacing w:after="0" w:line="252" w:lineRule="auto"/>
            </w:pPr>
            <w:r>
              <w:rPr>
                <w:sz w:val="15"/>
              </w:rPr>
              <w:t>M</w:t>
            </w:r>
          </w:p>
        </w:tc>
        <w:tc>
          <w:tcPr>
            <w:tcW w:type="dxa" w:w="4762"/>
          </w:tcPr>
          <w:p>
            <w:pPr>
              <w:spacing w:after="0" w:line="252" w:lineRule="auto"/>
            </w:pPr>
            <w:r>
              <w:rPr>
                <w:sz w:val="15"/>
              </w:rPr>
              <w:t xml:space="preserve">Korrekturmeldung </w:t>
            </w:r>
            <w:r>
              <w:rPr>
                <w:rFonts w:ascii="Consolas" w:hAnsi="Consolas" w:cs="Consolas" w:eastAsia="Consolas"/>
                <w:sz w:val="13"/>
              </w:rPr>
              <w:t>WLSSTOCKADJ002</w:t>
            </w:r>
            <w:r>
              <w:rPr>
                <w:sz w:val="15"/>
              </w:rPr>
              <w:t xml:space="preserve"> mit </w:t>
            </w:r>
            <w:r>
              <w:rPr>
                <w:rFonts w:ascii="Consolas" w:hAnsi="Consolas" w:cs="Consolas" w:eastAsia="Consolas"/>
                <w:sz w:val="13"/>
              </w:rPr>
              <w:t>reasonAdjustment</w:t>
            </w:r>
            <w:r>
              <w:rPr>
                <w:sz w:val="15"/>
              </w:rPr>
              <w:t xml:space="preserve">, </w:t>
            </w:r>
            <w:r>
              <w:rPr>
                <w:rFonts w:ascii="Consolas" w:hAnsi="Consolas" w:cs="Consolas" w:eastAsia="Consolas"/>
                <w:sz w:val="13"/>
              </w:rPr>
              <w:t>postingKey</w:t>
            </w:r>
            <w:r>
              <w:rPr>
                <w:sz w:val="15"/>
              </w:rPr>
              <w:t xml:space="preserve">, </w:t>
            </w:r>
            <w:r>
              <w:rPr>
                <w:rFonts w:ascii="Consolas" w:hAnsi="Consolas" w:cs="Consolas" w:eastAsia="Consolas"/>
                <w:sz w:val="13"/>
              </w:rPr>
              <w:t>invNo</w:t>
            </w:r>
            <w:r>
              <w:rPr>
                <w:sz w:val="15"/>
              </w:rPr>
              <w:t xml:space="preserve">, </w:t>
            </w:r>
            <w:r>
              <w:rPr>
                <w:rFonts w:ascii="Consolas" w:hAnsi="Consolas" w:cs="Consolas" w:eastAsia="Consolas"/>
                <w:sz w:val="13"/>
              </w:rPr>
              <w:t>stoLoc</w:t>
            </w:r>
            <w:r>
              <w:rPr>
                <w:sz w:val="15"/>
              </w:rPr>
              <w:t>; WAMAS-interne Historie siehe 1.1.</w:t>
            </w:r>
          </w:p>
        </w:tc>
        <w:tc>
          <w:tcPr>
            <w:tcW w:type="dxa" w:w="1644"/>
          </w:tcPr>
          <w:p>
            <w:pPr>
              <w:spacing w:after="0" w:line="252" w:lineRule="auto"/>
            </w:pPr>
            <w:r>
              <w:rPr>
                <w:b/>
                <w:sz w:val="15"/>
              </w:rPr>
              <w:t>Standard</w:t>
            </w:r>
          </w:p>
          <w:p>
            <w:pPr>
              <w:spacing w:after="0"/>
            </w:pPr>
            <w:r>
              <w:rPr>
                <w:sz w:val="15"/>
              </w:rPr>
              <w:t>Klärung nötig</w:t>
            </w:r>
          </w:p>
          <w:p>
            <w:pPr>
              <w:spacing w:after="0"/>
            </w:pPr>
            <w:r>
              <w:rPr>
                <w:sz w:val="15"/>
              </w:rPr>
              <w:t>→ OP-07</w:t>
            </w:r>
          </w:p>
        </w:tc>
      </w:tr>
      <w:tr>
        <w:tc>
          <w:tcPr>
            <w:tcW w:type="dxa" w:w="510"/>
          </w:tcPr>
          <w:p>
            <w:pPr>
              <w:spacing w:after="0" w:line="252" w:lineRule="auto"/>
            </w:pPr>
            <w:r>
              <w:rPr>
                <w:sz w:val="15"/>
              </w:rPr>
              <w:t>3.42</w:t>
            </w:r>
          </w:p>
        </w:tc>
        <w:tc>
          <w:tcPr>
            <w:tcW w:type="dxa" w:w="2154"/>
          </w:tcPr>
          <w:p>
            <w:pPr>
              <w:spacing w:after="0" w:line="252" w:lineRule="auto"/>
            </w:pPr>
            <w:r>
              <w:rPr>
                <w:sz w:val="15"/>
              </w:rPr>
              <w:t>Warenausgangsaufträge aus Abacus auf den Scanner</w:t>
            </w:r>
          </w:p>
        </w:tc>
        <w:tc>
          <w:tcPr>
            <w:tcW w:type="dxa" w:w="454"/>
          </w:tcPr>
          <w:p>
            <w:pPr>
              <w:spacing w:after="0" w:line="252" w:lineRule="auto"/>
            </w:pPr>
            <w:r>
              <w:rPr>
                <w:sz w:val="15"/>
              </w:rPr>
              <w:t>M</w:t>
            </w:r>
          </w:p>
        </w:tc>
        <w:tc>
          <w:tcPr>
            <w:tcW w:type="dxa" w:w="4762"/>
          </w:tcPr>
          <w:p>
            <w:pPr>
              <w:spacing w:after="0" w:line="252" w:lineRule="auto"/>
            </w:pPr>
            <w:r>
              <w:rPr>
                <w:sz w:val="15"/>
              </w:rPr>
              <w:t>Wie 3.23 mit eigenem Kommissionierbedarfstyp für WA.</w:t>
            </w:r>
          </w:p>
        </w:tc>
        <w:tc>
          <w:tcPr>
            <w:tcW w:type="dxa" w:w="1644"/>
          </w:tcPr>
          <w:p>
            <w:pPr>
              <w:spacing w:after="0" w:line="252" w:lineRule="auto"/>
            </w:pPr>
            <w:r>
              <w:rPr>
                <w:b/>
                <w:sz w:val="15"/>
              </w:rPr>
              <w:t>Konfiguration</w:t>
            </w:r>
          </w:p>
          <w:p>
            <w:pPr>
              <w:spacing w:after="0"/>
            </w:pPr>
            <w:r>
              <w:rPr>
                <w:sz w:val="15"/>
              </w:rPr>
              <w:t>→ OP-11</w:t>
            </w:r>
          </w:p>
        </w:tc>
      </w:tr>
      <w:tr>
        <w:tc>
          <w:tcPr>
            <w:tcW w:type="dxa" w:w="510"/>
          </w:tcPr>
          <w:p>
            <w:pPr>
              <w:spacing w:after="0" w:line="252" w:lineRule="auto"/>
            </w:pPr>
            <w:r>
              <w:rPr>
                <w:sz w:val="15"/>
              </w:rPr>
              <w:t>3.43</w:t>
            </w:r>
          </w:p>
        </w:tc>
        <w:tc>
          <w:tcPr>
            <w:tcW w:type="dxa" w:w="2154"/>
          </w:tcPr>
          <w:p>
            <w:pPr>
              <w:spacing w:after="0" w:line="252" w:lineRule="auto"/>
            </w:pPr>
            <w:r>
              <w:rPr>
                <w:sz w:val="15"/>
              </w:rPr>
              <w:t>Nachrüstungsaufträge in Abacus starten und an WAMAS übermitteln</w:t>
            </w:r>
          </w:p>
        </w:tc>
        <w:tc>
          <w:tcPr>
            <w:tcW w:type="dxa" w:w="454"/>
          </w:tcPr>
          <w:p>
            <w:pPr>
              <w:spacing w:after="0" w:line="252" w:lineRule="auto"/>
            </w:pPr>
            <w:r>
              <w:rPr>
                <w:sz w:val="15"/>
              </w:rPr>
              <w:t>M</w:t>
            </w:r>
          </w:p>
        </w:tc>
        <w:tc>
          <w:tcPr>
            <w:tcW w:type="dxa" w:w="4762"/>
          </w:tcPr>
          <w:p>
            <w:pPr>
              <w:spacing w:after="0" w:line="252" w:lineRule="auto"/>
            </w:pPr>
            <w:r>
              <w:rPr>
                <w:sz w:val="15"/>
              </w:rPr>
              <w:t>Eigener Kommissionierbedarfstyp; Kennzeichnung in Abacus/BPE festzulegen.</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OP-11</w:t>
            </w:r>
          </w:p>
        </w:tc>
      </w:tr>
      <w:tr>
        <w:tc>
          <w:tcPr>
            <w:tcW w:type="dxa" w:w="510"/>
          </w:tcPr>
          <w:p>
            <w:pPr>
              <w:spacing w:after="0" w:line="252" w:lineRule="auto"/>
            </w:pPr>
            <w:r>
              <w:rPr>
                <w:sz w:val="15"/>
              </w:rPr>
              <w:t>3.44</w:t>
            </w:r>
          </w:p>
        </w:tc>
        <w:tc>
          <w:tcPr>
            <w:tcW w:type="dxa" w:w="2154"/>
          </w:tcPr>
          <w:p>
            <w:pPr>
              <w:spacing w:after="0" w:line="252" w:lineRule="auto"/>
            </w:pPr>
            <w:r>
              <w:rPr>
                <w:sz w:val="15"/>
              </w:rPr>
              <w:t>Manuelle Ausgänge (Verbrauchsmaterial) scannerunterstützt</w:t>
            </w:r>
          </w:p>
        </w:tc>
        <w:tc>
          <w:tcPr>
            <w:tcW w:type="dxa" w:w="454"/>
          </w:tcPr>
          <w:p>
            <w:pPr>
              <w:spacing w:after="0" w:line="252" w:lineRule="auto"/>
            </w:pPr>
            <w:r>
              <w:rPr>
                <w:sz w:val="15"/>
              </w:rPr>
              <w:t>M</w:t>
            </w:r>
          </w:p>
        </w:tc>
        <w:tc>
          <w:tcPr>
            <w:tcW w:type="dxa" w:w="4762"/>
          </w:tcPr>
          <w:p>
            <w:pPr>
              <w:spacing w:after="0" w:line="252" w:lineRule="auto"/>
            </w:pPr>
            <w:r>
              <w:rPr>
                <w:sz w:val="15"/>
              </w:rPr>
              <w:t>Varianten: Kostenstellenauftrag aus Abacus als Kommissionierbedarf oder in WAMAS angelegter Bedarf bzw. Bestandskorrektur mit eigenem Buchungsschlüssel. Entscheid offen.</w:t>
            </w:r>
          </w:p>
        </w:tc>
        <w:tc>
          <w:tcPr>
            <w:tcW w:type="dxa" w:w="1644"/>
          </w:tcPr>
          <w:p>
            <w:pPr>
              <w:spacing w:after="0" w:line="252" w:lineRule="auto"/>
            </w:pPr>
            <w:r>
              <w:rPr>
                <w:b/>
                <w:sz w:val="15"/>
              </w:rPr>
              <w:t>Klärung nötig</w:t>
            </w:r>
          </w:p>
          <w:p>
            <w:pPr>
              <w:spacing w:after="0"/>
            </w:pPr>
            <w:r>
              <w:rPr>
                <w:sz w:val="15"/>
              </w:rPr>
              <w:t>→ OP-11</w:t>
            </w:r>
          </w:p>
        </w:tc>
      </w:tr>
      <w:tr>
        <w:tc>
          <w:tcPr>
            <w:tcW w:type="dxa" w:w="510"/>
          </w:tcPr>
          <w:p>
            <w:pPr>
              <w:spacing w:after="0" w:line="252" w:lineRule="auto"/>
            </w:pPr>
            <w:r>
              <w:rPr>
                <w:sz w:val="15"/>
              </w:rPr>
              <w:t>3.45</w:t>
            </w:r>
          </w:p>
        </w:tc>
        <w:tc>
          <w:tcPr>
            <w:tcW w:type="dxa" w:w="2154"/>
          </w:tcPr>
          <w:p>
            <w:pPr>
              <w:spacing w:after="0" w:line="252" w:lineRule="auto"/>
            </w:pPr>
            <w:r>
              <w:rPr>
                <w:sz w:val="15"/>
              </w:rPr>
              <w:t>Mengen und Buchungsinformationen nach Abschluss korrekt an Abacus</w:t>
            </w:r>
          </w:p>
        </w:tc>
        <w:tc>
          <w:tcPr>
            <w:tcW w:type="dxa" w:w="454"/>
          </w:tcPr>
          <w:p>
            <w:pPr>
              <w:spacing w:after="0" w:line="252" w:lineRule="auto"/>
            </w:pPr>
            <w:r>
              <w:rPr>
                <w:sz w:val="15"/>
              </w:rPr>
              <w:t>M</w:t>
            </w:r>
          </w:p>
        </w:tc>
        <w:tc>
          <w:tcPr>
            <w:tcW w:type="dxa" w:w="4762"/>
          </w:tcPr>
          <w:p>
            <w:pPr>
              <w:spacing w:after="0" w:line="252" w:lineRule="auto"/>
            </w:pPr>
            <w:r>
              <w:rPr>
                <w:sz w:val="15"/>
              </w:rPr>
              <w:t xml:space="preserve">Quittierungen </w:t>
            </w:r>
            <w:r>
              <w:rPr>
                <w:rFonts w:ascii="Consolas" w:hAnsi="Consolas" w:cs="Consolas" w:eastAsia="Consolas"/>
                <w:sz w:val="13"/>
              </w:rPr>
              <w:t>WLSSDLACK001</w:t>
            </w:r>
            <w:r>
              <w:rPr>
                <w:sz w:val="15"/>
              </w:rPr>
              <w:t xml:space="preserve">, </w:t>
            </w:r>
            <w:r>
              <w:rPr>
                <w:rFonts w:ascii="Consolas" w:hAnsi="Consolas" w:cs="Consolas" w:eastAsia="Consolas"/>
                <w:sz w:val="13"/>
              </w:rPr>
              <w:t>WLSPDLACK001</w:t>
            </w:r>
            <w:r>
              <w:rPr>
                <w:sz w:val="15"/>
              </w:rPr>
              <w:t xml:space="preserve">, </w:t>
            </w:r>
            <w:r>
              <w:rPr>
                <w:rFonts w:ascii="Consolas" w:hAnsi="Consolas" w:cs="Consolas" w:eastAsia="Consolas"/>
                <w:sz w:val="13"/>
              </w:rPr>
              <w:t>WLSINVDLACK003</w:t>
            </w:r>
            <w:r>
              <w:rPr>
                <w:sz w:val="15"/>
              </w:rPr>
              <w:t xml:space="preserve">, </w:t>
            </w:r>
            <w:r>
              <w:rPr>
                <w:rFonts w:ascii="Consolas" w:hAnsi="Consolas" w:cs="Consolas" w:eastAsia="Consolas"/>
                <w:sz w:val="13"/>
              </w:rPr>
              <w:t>WLSSTOCKADJ002</w:t>
            </w:r>
            <w:r>
              <w:rPr>
                <w:sz w:val="15"/>
              </w:rPr>
              <w:t>; Verarbeitung in BPE.</w:t>
            </w:r>
          </w:p>
        </w:tc>
        <w:tc>
          <w:tcPr>
            <w:tcW w:type="dxa" w:w="1644"/>
          </w:tcPr>
          <w:p>
            <w:pPr>
              <w:spacing w:after="0" w:line="252" w:lineRule="auto"/>
            </w:pPr>
            <w:r>
              <w:rPr>
                <w:b/>
                <w:sz w:val="15"/>
              </w:rPr>
              <w:t>Standard</w:t>
            </w:r>
          </w:p>
          <w:p>
            <w:pPr>
              <w:spacing w:after="0"/>
            </w:pPr>
            <w:r>
              <w:rPr>
                <w:sz w:val="15"/>
              </w:rPr>
              <w:t>Projektanpassung</w:t>
            </w:r>
          </w:p>
          <w:p>
            <w:pPr>
              <w:spacing w:after="0"/>
            </w:pPr>
            <w:r>
              <w:rPr>
                <w:sz w:val="15"/>
              </w:rPr>
              <w:t>→ OP-11</w:t>
            </w:r>
          </w:p>
        </w:tc>
      </w:tr>
      <w:tr>
        <w:tc>
          <w:tcPr>
            <w:tcW w:type="dxa" w:w="510"/>
          </w:tcPr>
          <w:p>
            <w:pPr>
              <w:spacing w:after="0" w:line="252" w:lineRule="auto"/>
            </w:pPr>
            <w:r>
              <w:rPr>
                <w:sz w:val="15"/>
              </w:rPr>
              <w:t>3.46</w:t>
            </w:r>
          </w:p>
        </w:tc>
        <w:tc>
          <w:tcPr>
            <w:tcW w:type="dxa" w:w="2154"/>
          </w:tcPr>
          <w:p>
            <w:pPr>
              <w:spacing w:after="0" w:line="252" w:lineRule="auto"/>
            </w:pPr>
            <w:r>
              <w:rPr>
                <w:sz w:val="15"/>
              </w:rPr>
              <w:t>Inventuren scannergeführt</w:t>
            </w:r>
          </w:p>
        </w:tc>
        <w:tc>
          <w:tcPr>
            <w:tcW w:type="dxa" w:w="454"/>
          </w:tcPr>
          <w:p>
            <w:pPr>
              <w:spacing w:after="0" w:line="252" w:lineRule="auto"/>
            </w:pPr>
            <w:r>
              <w:rPr>
                <w:sz w:val="15"/>
              </w:rPr>
              <w:t>M</w:t>
            </w:r>
          </w:p>
        </w:tc>
        <w:tc>
          <w:tcPr>
            <w:tcW w:type="dxa" w:w="4762"/>
          </w:tcPr>
          <w:p>
            <w:pPr>
              <w:spacing w:after="0" w:line="252" w:lineRule="auto"/>
            </w:pPr>
            <w:r>
              <w:rPr>
                <w:sz w:val="15"/>
              </w:rPr>
              <w:t xml:space="preserve">Mobil </w:t>
            </w:r>
            <w:r>
              <w:rPr>
                <w:b/>
                <w:sz w:val="15"/>
              </w:rPr>
              <w:t>Inventur</w:t>
            </w:r>
            <w:r>
              <w:rPr>
                <w:sz w:val="15"/>
              </w:rPr>
              <w:t xml:space="preserve"> (</w:t>
            </w:r>
            <w:r>
              <w:rPr>
                <w:b/>
                <w:sz w:val="15"/>
              </w:rPr>
              <w:t>MLI002</w:t>
            </w:r>
            <w:r>
              <w:rPr>
                <w:sz w:val="15"/>
              </w:rPr>
              <w:t xml:space="preserve"> ff.) und </w:t>
            </w:r>
            <w:r>
              <w:rPr>
                <w:b/>
                <w:sz w:val="15"/>
              </w:rPr>
              <w:t>Spontane Inventur</w:t>
            </w:r>
            <w:r>
              <w:rPr>
                <w:sz w:val="15"/>
              </w:rPr>
              <w:t xml:space="preserve"> (</w:t>
            </w:r>
            <w:r>
              <w:rPr>
                <w:b/>
                <w:sz w:val="15"/>
              </w:rPr>
              <w:t>MLSI001</w:t>
            </w:r>
            <w:r>
              <w:rPr>
                <w:sz w:val="15"/>
              </w:rPr>
              <w:t xml:space="preserve"> ff.). Nicht bearbeitete Zeilen müssen laut Handbuch am Touch-Client fertiggestellt werden.</w:t>
            </w:r>
          </w:p>
        </w:tc>
        <w:tc>
          <w:tcPr>
            <w:tcW w:type="dxa" w:w="1644"/>
          </w:tcPr>
          <w:p>
            <w:pPr>
              <w:spacing w:after="0" w:line="252" w:lineRule="auto"/>
            </w:pPr>
            <w:r>
              <w:rPr>
                <w:b/>
                <w:sz w:val="15"/>
              </w:rPr>
              <w:t>Standard</w:t>
            </w:r>
          </w:p>
        </w:tc>
      </w:tr>
      <w:tr>
        <w:tc>
          <w:tcPr>
            <w:tcW w:type="dxa" w:w="510"/>
          </w:tcPr>
          <w:p>
            <w:pPr>
              <w:spacing w:after="0" w:line="252" w:lineRule="auto"/>
            </w:pPr>
            <w:r>
              <w:rPr>
                <w:sz w:val="15"/>
              </w:rPr>
              <w:t>3.47</w:t>
            </w:r>
          </w:p>
        </w:tc>
        <w:tc>
          <w:tcPr>
            <w:tcW w:type="dxa" w:w="2154"/>
          </w:tcPr>
          <w:p>
            <w:pPr>
              <w:spacing w:after="0" w:line="252" w:lineRule="auto"/>
            </w:pPr>
            <w:r>
              <w:rPr>
                <w:sz w:val="15"/>
              </w:rPr>
              <w:t>Lagerplatz, Artikel, Menge, ggf. Charge und SN erfassen</w:t>
            </w:r>
          </w:p>
        </w:tc>
        <w:tc>
          <w:tcPr>
            <w:tcW w:type="dxa" w:w="454"/>
          </w:tcPr>
          <w:p>
            <w:pPr>
              <w:spacing w:after="0" w:line="252" w:lineRule="auto"/>
            </w:pPr>
            <w:r>
              <w:rPr>
                <w:sz w:val="15"/>
              </w:rPr>
              <w:t>M</w:t>
            </w:r>
          </w:p>
        </w:tc>
        <w:tc>
          <w:tcPr>
            <w:tcW w:type="dxa" w:w="4762"/>
          </w:tcPr>
          <w:p>
            <w:pPr>
              <w:spacing w:after="0" w:line="252" w:lineRule="auto"/>
            </w:pPr>
            <w:r>
              <w:rPr>
                <w:sz w:val="15"/>
              </w:rPr>
              <w:t>Platz, Artikel, Menge Standard; Charge- und SN-Erfassung im Mobil-Inventurdialog zu bestätigen.</w:t>
            </w:r>
          </w:p>
        </w:tc>
        <w:tc>
          <w:tcPr>
            <w:tcW w:type="dxa" w:w="1644"/>
          </w:tcPr>
          <w:p>
            <w:pPr>
              <w:spacing w:after="0" w:line="252" w:lineRule="auto"/>
            </w:pPr>
            <w:r>
              <w:rPr>
                <w:b/>
                <w:sz w:val="15"/>
              </w:rPr>
              <w:t>Standard</w:t>
            </w:r>
          </w:p>
          <w:p>
            <w:pPr>
              <w:spacing w:after="0"/>
            </w:pPr>
            <w:r>
              <w:rPr>
                <w:sz w:val="15"/>
              </w:rPr>
              <w:t>Klärung nötig</w:t>
            </w:r>
          </w:p>
          <w:p>
            <w:pPr>
              <w:spacing w:after="0"/>
            </w:pPr>
            <w:r>
              <w:rPr>
                <w:sz w:val="15"/>
              </w:rPr>
              <w:t>→ OP-02</w:t>
            </w:r>
          </w:p>
        </w:tc>
      </w:tr>
      <w:tr>
        <w:tc>
          <w:tcPr>
            <w:tcW w:type="dxa" w:w="510"/>
          </w:tcPr>
          <w:p>
            <w:pPr>
              <w:spacing w:after="0" w:line="252" w:lineRule="auto"/>
            </w:pPr>
            <w:r>
              <w:rPr>
                <w:sz w:val="15"/>
              </w:rPr>
              <w:t>3.48</w:t>
            </w:r>
          </w:p>
        </w:tc>
        <w:tc>
          <w:tcPr>
            <w:tcW w:type="dxa" w:w="2154"/>
          </w:tcPr>
          <w:p>
            <w:pPr>
              <w:spacing w:after="0" w:line="252" w:lineRule="auto"/>
            </w:pPr>
            <w:r>
              <w:rPr>
                <w:sz w:val="15"/>
              </w:rPr>
              <w:t>Inventurdifferenzen an Abacus übermitteln</w:t>
            </w:r>
          </w:p>
        </w:tc>
        <w:tc>
          <w:tcPr>
            <w:tcW w:type="dxa" w:w="454"/>
          </w:tcPr>
          <w:p>
            <w:pPr>
              <w:spacing w:after="0" w:line="252" w:lineRule="auto"/>
            </w:pPr>
            <w:r>
              <w:rPr>
                <w:sz w:val="15"/>
              </w:rPr>
              <w:t>M</w:t>
            </w:r>
          </w:p>
        </w:tc>
        <w:tc>
          <w:tcPr>
            <w:tcW w:type="dxa" w:w="4762"/>
          </w:tcPr>
          <w:p>
            <w:pPr>
              <w:spacing w:after="0" w:line="252" w:lineRule="auto"/>
            </w:pPr>
            <w:r>
              <w:rPr>
                <w:sz w:val="15"/>
              </w:rPr>
              <w:t xml:space="preserve">Inventurbedarf aus Abacus: </w:t>
            </w:r>
            <w:r>
              <w:rPr>
                <w:rFonts w:ascii="Consolas" w:hAnsi="Consolas" w:cs="Consolas" w:eastAsia="Consolas"/>
                <w:sz w:val="13"/>
              </w:rPr>
              <w:t>WLSINVD002</w:t>
            </w:r>
            <w:r>
              <w:rPr>
                <w:sz w:val="15"/>
              </w:rPr>
              <w:t xml:space="preserve"> → Quittierung </w:t>
            </w:r>
            <w:r>
              <w:rPr>
                <w:rFonts w:ascii="Consolas" w:hAnsi="Consolas" w:cs="Consolas" w:eastAsia="Consolas"/>
                <w:sz w:val="13"/>
              </w:rPr>
              <w:t>WLSINVDLACK003</w:t>
            </w:r>
            <w:r>
              <w:rPr>
                <w:sz w:val="15"/>
              </w:rPr>
              <w:t xml:space="preserve">. Inventur aus WAMAS: Differenz als </w:t>
            </w:r>
            <w:r>
              <w:rPr>
                <w:rFonts w:ascii="Consolas" w:hAnsi="Consolas" w:cs="Consolas" w:eastAsia="Consolas"/>
                <w:sz w:val="13"/>
              </w:rPr>
              <w:t>WLSSTOCKADJ002</w:t>
            </w:r>
            <w:r>
              <w:rPr>
                <w:sz w:val="15"/>
              </w:rPr>
              <w:t>. Automatische Verbuchung in Abacus durch BPE (bsb).</w:t>
            </w:r>
          </w:p>
        </w:tc>
        <w:tc>
          <w:tcPr>
            <w:tcW w:type="dxa" w:w="1644"/>
          </w:tcPr>
          <w:p>
            <w:pPr>
              <w:spacing w:after="0" w:line="252" w:lineRule="auto"/>
            </w:pPr>
            <w:r>
              <w:rPr>
                <w:b/>
                <w:sz w:val="15"/>
              </w:rPr>
              <w:t>Konfiguration</w:t>
            </w:r>
          </w:p>
          <w:p>
            <w:pPr>
              <w:spacing w:after="0"/>
            </w:pPr>
            <w:r>
              <w:rPr>
                <w:sz w:val="15"/>
              </w:rPr>
              <w:t>Projektanpassung</w:t>
            </w:r>
          </w:p>
          <w:p>
            <w:pPr>
              <w:spacing w:after="0"/>
            </w:pPr>
            <w:r>
              <w:rPr>
                <w:sz w:val="15"/>
              </w:rPr>
              <w:t>→ OP-11</w:t>
            </w:r>
          </w:p>
        </w:tc>
      </w:tr>
      <w:tr>
        <w:tc>
          <w:tcPr>
            <w:tcW w:type="dxa" w:w="510"/>
          </w:tcPr>
          <w:p>
            <w:pPr>
              <w:spacing w:after="0" w:line="252" w:lineRule="auto"/>
            </w:pPr>
            <w:r>
              <w:rPr>
                <w:sz w:val="15"/>
              </w:rPr>
              <w:t>3.49</w:t>
            </w:r>
          </w:p>
        </w:tc>
        <w:tc>
          <w:tcPr>
            <w:tcW w:type="dxa" w:w="2154"/>
          </w:tcPr>
          <w:p>
            <w:pPr>
              <w:spacing w:after="0" w:line="252" w:lineRule="auto"/>
            </w:pPr>
            <w:r>
              <w:rPr>
                <w:sz w:val="15"/>
              </w:rPr>
              <w:t>Differenzen ablehnen bzw. zur Nachzählung zurückgeben</w:t>
            </w:r>
          </w:p>
        </w:tc>
        <w:tc>
          <w:tcPr>
            <w:tcW w:type="dxa" w:w="454"/>
          </w:tcPr>
          <w:p>
            <w:pPr>
              <w:spacing w:after="0" w:line="252" w:lineRule="auto"/>
            </w:pPr>
            <w:r>
              <w:rPr>
                <w:sz w:val="15"/>
              </w:rPr>
              <w:t>M</w:t>
            </w:r>
          </w:p>
        </w:tc>
        <w:tc>
          <w:tcPr>
            <w:tcW w:type="dxa" w:w="4762"/>
          </w:tcPr>
          <w:p>
            <w:pPr>
              <w:spacing w:after="0" w:line="252" w:lineRule="auto"/>
            </w:pPr>
            <w:r>
              <w:rPr>
                <w:sz w:val="15"/>
              </w:rPr>
              <w:t>Nicht als Standard dokumentiert.</w:t>
            </w:r>
          </w:p>
        </w:tc>
        <w:tc>
          <w:tcPr>
            <w:tcW w:type="dxa" w:w="1644"/>
          </w:tcPr>
          <w:p>
            <w:pPr>
              <w:spacing w:after="0" w:line="252" w:lineRule="auto"/>
            </w:pPr>
            <w:r>
              <w:rPr>
                <w:b/>
                <w:sz w:val="15"/>
              </w:rPr>
              <w:t>Klärung nötig</w:t>
            </w:r>
          </w:p>
          <w:p>
            <w:pPr>
              <w:spacing w:after="0"/>
            </w:pPr>
            <w:r>
              <w:rPr>
                <w:sz w:val="15"/>
              </w:rPr>
              <w:t>Projektanpassung</w:t>
            </w:r>
          </w:p>
          <w:p>
            <w:pPr>
              <w:spacing w:after="0"/>
            </w:pPr>
            <w:r>
              <w:rPr>
                <w:sz w:val="15"/>
              </w:rPr>
              <w:t>→ OP-06</w:t>
            </w:r>
          </w:p>
        </w:tc>
      </w:tr>
      <w:tr>
        <w:tc>
          <w:tcPr>
            <w:tcW w:type="dxa" w:w="510"/>
          </w:tcPr>
          <w:p>
            <w:pPr>
              <w:spacing w:after="0" w:line="252" w:lineRule="auto"/>
            </w:pPr>
            <w:r>
              <w:rPr>
                <w:sz w:val="15"/>
              </w:rPr>
              <w:t>3.50</w:t>
            </w:r>
          </w:p>
        </w:tc>
        <w:tc>
          <w:tcPr>
            <w:tcW w:type="dxa" w:w="2154"/>
          </w:tcPr>
          <w:p>
            <w:pPr>
              <w:spacing w:after="0" w:line="252" w:lineRule="auto"/>
            </w:pPr>
            <w:r>
              <w:rPr>
                <w:sz w:val="15"/>
              </w:rPr>
              <w:t>Inventur, Nachzählung und Korrektur vollständig dokumentieren</w:t>
            </w:r>
          </w:p>
        </w:tc>
        <w:tc>
          <w:tcPr>
            <w:tcW w:type="dxa" w:w="454"/>
          </w:tcPr>
          <w:p>
            <w:pPr>
              <w:spacing w:after="0" w:line="252" w:lineRule="auto"/>
            </w:pPr>
            <w:r>
              <w:rPr>
                <w:sz w:val="15"/>
              </w:rPr>
              <w:t>M</w:t>
            </w:r>
          </w:p>
        </w:tc>
        <w:tc>
          <w:tcPr>
            <w:tcW w:type="dxa" w:w="4762"/>
          </w:tcPr>
          <w:p>
            <w:pPr>
              <w:spacing w:after="0" w:line="252" w:lineRule="auto"/>
            </w:pPr>
            <w:r>
              <w:rPr>
                <w:sz w:val="15"/>
              </w:rPr>
              <w:t>Siehe 1.4 und 1.1.</w:t>
            </w:r>
          </w:p>
        </w:tc>
        <w:tc>
          <w:tcPr>
            <w:tcW w:type="dxa" w:w="1644"/>
          </w:tcPr>
          <w:p>
            <w:pPr>
              <w:spacing w:after="0" w:line="252" w:lineRule="auto"/>
            </w:pPr>
            <w:r>
              <w:rPr>
                <w:b/>
                <w:sz w:val="15"/>
              </w:rPr>
              <w:t>Standard</w:t>
            </w:r>
          </w:p>
          <w:p>
            <w:pPr>
              <w:spacing w:after="0"/>
            </w:pPr>
            <w:r>
              <w:rPr>
                <w:sz w:val="15"/>
              </w:rPr>
              <w:t>Klärung nötig</w:t>
            </w:r>
          </w:p>
          <w:p>
            <w:pPr>
              <w:spacing w:after="0"/>
            </w:pPr>
            <w:r>
              <w:rPr>
                <w:sz w:val="15"/>
              </w:rPr>
              <w:t>→ OP-06, OP-07</w:t>
            </w:r>
          </w:p>
        </w:tc>
      </w:tr>
      <w:tr>
        <w:tc>
          <w:tcPr>
            <w:tcW w:type="dxa" w:w="510"/>
          </w:tcPr>
          <w:p>
            <w:pPr>
              <w:spacing w:after="0" w:line="252" w:lineRule="auto"/>
            </w:pPr>
            <w:r>
              <w:rPr>
                <w:sz w:val="15"/>
              </w:rPr>
              <w:t>3.51</w:t>
            </w:r>
          </w:p>
        </w:tc>
        <w:tc>
          <w:tcPr>
            <w:tcW w:type="dxa" w:w="2154"/>
          </w:tcPr>
          <w:p>
            <w:pPr>
              <w:spacing w:after="0" w:line="252" w:lineRule="auto"/>
            </w:pPr>
            <w:r>
              <w:rPr>
                <w:sz w:val="15"/>
              </w:rPr>
              <w:t>Operative Kennzahlen direkt aus den Systemdaten</w:t>
            </w:r>
          </w:p>
        </w:tc>
        <w:tc>
          <w:tcPr>
            <w:tcW w:type="dxa" w:w="454"/>
          </w:tcPr>
          <w:p>
            <w:pPr>
              <w:spacing w:after="0" w:line="252" w:lineRule="auto"/>
            </w:pPr>
            <w:r>
              <w:rPr>
                <w:sz w:val="15"/>
              </w:rPr>
              <w:t>W</w:t>
            </w:r>
          </w:p>
        </w:tc>
        <w:tc>
          <w:tcPr>
            <w:tcW w:type="dxa" w:w="4762"/>
          </w:tcPr>
          <w:p>
            <w:pPr>
              <w:spacing w:after="0" w:line="252" w:lineRule="auto"/>
            </w:pPr>
            <w:r>
              <w:rPr>
                <w:sz w:val="15"/>
              </w:rPr>
              <w:t xml:space="preserve">Touch-Dashboard </w:t>
            </w:r>
            <w:r>
              <w:rPr>
                <w:b/>
                <w:sz w:val="15"/>
              </w:rPr>
              <w:t>LM006</w:t>
            </w:r>
            <w:r>
              <w:rPr>
                <w:sz w:val="15"/>
              </w:rPr>
              <w:t xml:space="preserve"> und Übersichtsdialoge vorhanden; ein Kennzahlenkatalog wie in Kap. 2.2.17 des Lastenhefts ist nicht dokumentiert (Kap. 10).</w:t>
            </w:r>
          </w:p>
        </w:tc>
        <w:tc>
          <w:tcPr>
            <w:tcW w:type="dxa" w:w="1644"/>
          </w:tcPr>
          <w:p>
            <w:pPr>
              <w:spacing w:after="0" w:line="252" w:lineRule="auto"/>
            </w:pPr>
            <w:r>
              <w:rPr>
                <w:b/>
                <w:sz w:val="15"/>
              </w:rPr>
              <w:t>Klärung nötig</w:t>
            </w:r>
          </w:p>
          <w:p>
            <w:pPr>
              <w:spacing w:after="0"/>
            </w:pPr>
            <w:r>
              <w:rPr>
                <w:sz w:val="15"/>
              </w:rPr>
              <w:t>Projektanpassung</w:t>
            </w:r>
          </w:p>
          <w:p>
            <w:pPr>
              <w:spacing w:after="0"/>
            </w:pPr>
            <w:r>
              <w:rPr>
                <w:sz w:val="15"/>
              </w:rPr>
              <w:t>→ OP-10</w:t>
            </w:r>
          </w:p>
        </w:tc>
      </w:tr>
      <w:tr>
        <w:tc>
          <w:tcPr>
            <w:tcW w:type="dxa" w:w="510"/>
          </w:tcPr>
          <w:p>
            <w:pPr>
              <w:spacing w:after="0" w:line="252" w:lineRule="auto"/>
            </w:pPr>
            <w:r>
              <w:rPr>
                <w:sz w:val="15"/>
              </w:rPr>
              <w:t>3.52</w:t>
            </w:r>
          </w:p>
        </w:tc>
        <w:tc>
          <w:tcPr>
            <w:tcW w:type="dxa" w:w="2154"/>
          </w:tcPr>
          <w:p>
            <w:pPr>
              <w:spacing w:after="0" w:line="252" w:lineRule="auto"/>
            </w:pPr>
            <w:r>
              <w:rPr>
                <w:sz w:val="15"/>
              </w:rPr>
              <w:t>Kennzahlen für normale Anwender nicht manuell veränderbar</w:t>
            </w:r>
          </w:p>
        </w:tc>
        <w:tc>
          <w:tcPr>
            <w:tcW w:type="dxa" w:w="454"/>
          </w:tcPr>
          <w:p>
            <w:pPr>
              <w:spacing w:after="0" w:line="252" w:lineRule="auto"/>
            </w:pPr>
            <w:r>
              <w:rPr>
                <w:sz w:val="15"/>
              </w:rPr>
              <w:t>M</w:t>
            </w:r>
          </w:p>
        </w:tc>
        <w:tc>
          <w:tcPr>
            <w:tcW w:type="dxa" w:w="4762"/>
          </w:tcPr>
          <w:p>
            <w:pPr>
              <w:spacing w:after="0" w:line="252" w:lineRule="auto"/>
            </w:pPr>
            <w:r>
              <w:rPr>
                <w:sz w:val="15"/>
              </w:rPr>
              <w:t>Kennzahlen werden aus Bewegungsdaten berechnet; Zugriff über Applikations-Zugriffs-Profile.</w:t>
            </w:r>
          </w:p>
        </w:tc>
        <w:tc>
          <w:tcPr>
            <w:tcW w:type="dxa" w:w="1644"/>
          </w:tcPr>
          <w:p>
            <w:pPr>
              <w:spacing w:after="0" w:line="252" w:lineRule="auto"/>
            </w:pPr>
            <w:r>
              <w:rPr>
                <w:b/>
                <w:sz w:val="15"/>
              </w:rPr>
              <w:t>Konfiguration</w:t>
            </w:r>
          </w:p>
        </w:tc>
      </w:tr>
      <w:tr>
        <w:tc>
          <w:tcPr>
            <w:tcW w:type="dxa" w:w="510"/>
          </w:tcPr>
          <w:p>
            <w:pPr>
              <w:spacing w:after="0" w:line="252" w:lineRule="auto"/>
            </w:pPr>
            <w:r>
              <w:rPr>
                <w:sz w:val="15"/>
              </w:rPr>
              <w:t>3.53</w:t>
            </w:r>
          </w:p>
        </w:tc>
        <w:tc>
          <w:tcPr>
            <w:tcW w:type="dxa" w:w="2154"/>
          </w:tcPr>
          <w:p>
            <w:pPr>
              <w:spacing w:after="0" w:line="252" w:lineRule="auto"/>
            </w:pPr>
            <w:r>
              <w:rPr>
                <w:sz w:val="15"/>
              </w:rPr>
              <w:t>Lagerplatzauslastung, freie/belegte Plätze, Bestände je Bereich</w:t>
            </w:r>
          </w:p>
        </w:tc>
        <w:tc>
          <w:tcPr>
            <w:tcW w:type="dxa" w:w="454"/>
          </w:tcPr>
          <w:p>
            <w:pPr>
              <w:spacing w:after="0" w:line="252" w:lineRule="auto"/>
            </w:pPr>
            <w:r>
              <w:rPr>
                <w:sz w:val="15"/>
              </w:rPr>
              <w:t>W</w:t>
            </w:r>
          </w:p>
        </w:tc>
        <w:tc>
          <w:tcPr>
            <w:tcW w:type="dxa" w:w="4762"/>
          </w:tcPr>
          <w:p>
            <w:pPr>
              <w:spacing w:after="0" w:line="252" w:lineRule="auto"/>
            </w:pPr>
            <w:r>
              <w:rPr>
                <w:sz w:val="15"/>
              </w:rPr>
              <w:t>Siehe Kap. 10.</w:t>
            </w:r>
          </w:p>
        </w:tc>
        <w:tc>
          <w:tcPr>
            <w:tcW w:type="dxa" w:w="1644"/>
          </w:tcPr>
          <w:p>
            <w:pPr>
              <w:spacing w:after="0" w:line="252" w:lineRule="auto"/>
            </w:pPr>
            <w:r>
              <w:rPr>
                <w:b/>
                <w:sz w:val="15"/>
              </w:rPr>
              <w:t>Klärung nötig</w:t>
            </w:r>
          </w:p>
          <w:p>
            <w:pPr>
              <w:spacing w:after="0"/>
            </w:pPr>
            <w:r>
              <w:rPr>
                <w:sz w:val="15"/>
              </w:rPr>
              <w:t>Projektanpassung</w:t>
            </w:r>
          </w:p>
          <w:p>
            <w:pPr>
              <w:spacing w:after="0"/>
            </w:pPr>
            <w:r>
              <w:rPr>
                <w:sz w:val="15"/>
              </w:rPr>
              <w:t>→ OP-10</w:t>
            </w:r>
          </w:p>
        </w:tc>
      </w:tr>
      <w:tr>
        <w:tc>
          <w:tcPr>
            <w:tcW w:type="dxa" w:w="510"/>
          </w:tcPr>
          <w:p>
            <w:pPr>
              <w:spacing w:after="0" w:line="252" w:lineRule="auto"/>
            </w:pPr>
            <w:r>
              <w:rPr>
                <w:sz w:val="15"/>
              </w:rPr>
              <w:t>3.54</w:t>
            </w:r>
          </w:p>
        </w:tc>
        <w:tc>
          <w:tcPr>
            <w:tcW w:type="dxa" w:w="2154"/>
          </w:tcPr>
          <w:p>
            <w:pPr>
              <w:spacing w:after="0" w:line="252" w:lineRule="auto"/>
            </w:pPr>
            <w:r>
              <w:rPr>
                <w:sz w:val="15"/>
              </w:rPr>
              <w:t>Anzahl WE, Einlagerungen, Kommissionieraufträge, Umlagerungen, Inventurdifferenzen</w:t>
            </w:r>
          </w:p>
        </w:tc>
        <w:tc>
          <w:tcPr>
            <w:tcW w:type="dxa" w:w="454"/>
          </w:tcPr>
          <w:p>
            <w:pPr>
              <w:spacing w:after="0" w:line="252" w:lineRule="auto"/>
            </w:pPr>
            <w:r>
              <w:rPr>
                <w:sz w:val="15"/>
              </w:rPr>
              <w:t>W</w:t>
            </w:r>
          </w:p>
        </w:tc>
        <w:tc>
          <w:tcPr>
            <w:tcW w:type="dxa" w:w="4762"/>
          </w:tcPr>
          <w:p>
            <w:pPr>
              <w:spacing w:after="0" w:line="252" w:lineRule="auto"/>
            </w:pPr>
            <w:r>
              <w:rPr>
                <w:sz w:val="15"/>
              </w:rPr>
              <w:t>Siehe Kap. 10.</w:t>
            </w:r>
          </w:p>
        </w:tc>
        <w:tc>
          <w:tcPr>
            <w:tcW w:type="dxa" w:w="1644"/>
          </w:tcPr>
          <w:p>
            <w:pPr>
              <w:spacing w:after="0" w:line="252" w:lineRule="auto"/>
            </w:pPr>
            <w:r>
              <w:rPr>
                <w:b/>
                <w:sz w:val="15"/>
              </w:rPr>
              <w:t>Klärung nötig</w:t>
            </w:r>
          </w:p>
          <w:p>
            <w:pPr>
              <w:spacing w:after="0"/>
            </w:pPr>
            <w:r>
              <w:rPr>
                <w:sz w:val="15"/>
              </w:rPr>
              <w:t>Projektanpassung</w:t>
            </w:r>
          </w:p>
          <w:p>
            <w:pPr>
              <w:spacing w:after="0"/>
            </w:pPr>
            <w:r>
              <w:rPr>
                <w:sz w:val="15"/>
              </w:rPr>
              <w:t>→ OP-10</w:t>
            </w:r>
          </w:p>
        </w:tc>
      </w:tr>
      <w:tr>
        <w:tc>
          <w:tcPr>
            <w:tcW w:type="dxa" w:w="510"/>
          </w:tcPr>
          <w:p>
            <w:pPr>
              <w:spacing w:after="0" w:line="252" w:lineRule="auto"/>
            </w:pPr>
            <w:r>
              <w:rPr>
                <w:sz w:val="15"/>
              </w:rPr>
              <w:t>3.55</w:t>
            </w:r>
          </w:p>
        </w:tc>
        <w:tc>
          <w:tcPr>
            <w:tcW w:type="dxa" w:w="2154"/>
          </w:tcPr>
          <w:p>
            <w:pPr>
              <w:spacing w:after="0" w:line="252" w:lineRule="auto"/>
            </w:pPr>
            <w:r>
              <w:rPr>
                <w:sz w:val="15"/>
              </w:rPr>
              <w:t>Auftragsdurchlauf- und Kommissionierzeiten</w:t>
            </w:r>
          </w:p>
        </w:tc>
        <w:tc>
          <w:tcPr>
            <w:tcW w:type="dxa" w:w="454"/>
          </w:tcPr>
          <w:p>
            <w:pPr>
              <w:spacing w:after="0" w:line="252" w:lineRule="auto"/>
            </w:pPr>
            <w:r>
              <w:rPr>
                <w:sz w:val="15"/>
              </w:rPr>
              <w:t>W</w:t>
            </w:r>
          </w:p>
        </w:tc>
        <w:tc>
          <w:tcPr>
            <w:tcW w:type="dxa" w:w="4762"/>
          </w:tcPr>
          <w:p>
            <w:pPr>
              <w:spacing w:after="0" w:line="252" w:lineRule="auto"/>
            </w:pPr>
            <w:r>
              <w:rPr>
                <w:sz w:val="15"/>
              </w:rPr>
              <w:t>Siehe Kap. 10; Zeitstempel je Bedarfsstatus erforderlich.</w:t>
            </w:r>
          </w:p>
        </w:tc>
        <w:tc>
          <w:tcPr>
            <w:tcW w:type="dxa" w:w="1644"/>
          </w:tcPr>
          <w:p>
            <w:pPr>
              <w:spacing w:after="0" w:line="252" w:lineRule="auto"/>
            </w:pPr>
            <w:r>
              <w:rPr>
                <w:b/>
                <w:sz w:val="15"/>
              </w:rPr>
              <w:t>Klärung nötig</w:t>
            </w:r>
          </w:p>
          <w:p>
            <w:pPr>
              <w:spacing w:after="0"/>
            </w:pPr>
            <w:r>
              <w:rPr>
                <w:sz w:val="15"/>
              </w:rPr>
              <w:t>Projektanpassung</w:t>
            </w:r>
          </w:p>
          <w:p>
            <w:pPr>
              <w:spacing w:after="0"/>
            </w:pPr>
            <w:r>
              <w:rPr>
                <w:sz w:val="15"/>
              </w:rPr>
              <w:t>→ OP-10</w:t>
            </w:r>
          </w:p>
        </w:tc>
      </w:tr>
      <w:tr>
        <w:tc>
          <w:tcPr>
            <w:tcW w:type="dxa" w:w="510"/>
          </w:tcPr>
          <w:p>
            <w:pPr>
              <w:spacing w:after="0" w:line="252" w:lineRule="auto"/>
            </w:pPr>
            <w:r>
              <w:rPr>
                <w:sz w:val="15"/>
              </w:rPr>
              <w:t>3.56</w:t>
            </w:r>
          </w:p>
        </w:tc>
        <w:tc>
          <w:tcPr>
            <w:tcW w:type="dxa" w:w="2154"/>
          </w:tcPr>
          <w:p>
            <w:pPr>
              <w:spacing w:after="0" w:line="252" w:lineRule="auto"/>
            </w:pPr>
            <w:r>
              <w:rPr>
                <w:sz w:val="15"/>
              </w:rPr>
              <w:t>Fehlmengen, Korrekturbuchungen, Nachzählungen</w:t>
            </w:r>
          </w:p>
        </w:tc>
        <w:tc>
          <w:tcPr>
            <w:tcW w:type="dxa" w:w="454"/>
          </w:tcPr>
          <w:p>
            <w:pPr>
              <w:spacing w:after="0" w:line="252" w:lineRule="auto"/>
            </w:pPr>
            <w:r>
              <w:rPr>
                <w:sz w:val="15"/>
              </w:rPr>
              <w:t>W</w:t>
            </w:r>
          </w:p>
        </w:tc>
        <w:tc>
          <w:tcPr>
            <w:tcW w:type="dxa" w:w="4762"/>
          </w:tcPr>
          <w:p>
            <w:pPr>
              <w:spacing w:after="0" w:line="252" w:lineRule="auto"/>
            </w:pPr>
            <w:r>
              <w:rPr>
                <w:sz w:val="15"/>
              </w:rPr>
              <w:t>Siehe Kap. 10; Nachzählung abhängig von OP-06.</w:t>
            </w:r>
          </w:p>
        </w:tc>
        <w:tc>
          <w:tcPr>
            <w:tcW w:type="dxa" w:w="1644"/>
          </w:tcPr>
          <w:p>
            <w:pPr>
              <w:spacing w:after="0" w:line="252" w:lineRule="auto"/>
            </w:pPr>
            <w:r>
              <w:rPr>
                <w:b/>
                <w:sz w:val="15"/>
              </w:rPr>
              <w:t>Klärung nötig</w:t>
            </w:r>
          </w:p>
          <w:p>
            <w:pPr>
              <w:spacing w:after="0"/>
            </w:pPr>
            <w:r>
              <w:rPr>
                <w:sz w:val="15"/>
              </w:rPr>
              <w:t>Projektanpassung</w:t>
            </w:r>
          </w:p>
          <w:p>
            <w:pPr>
              <w:spacing w:after="0"/>
            </w:pPr>
            <w:r>
              <w:rPr>
                <w:sz w:val="15"/>
              </w:rPr>
              <w:t>→ OP-10</w:t>
            </w:r>
          </w:p>
        </w:tc>
      </w:tr>
      <w:tr>
        <w:tc>
          <w:tcPr>
            <w:tcW w:type="dxa" w:w="510"/>
          </w:tcPr>
          <w:p>
            <w:pPr>
              <w:spacing w:after="0" w:line="252" w:lineRule="auto"/>
            </w:pPr>
            <w:r>
              <w:rPr>
                <w:sz w:val="15"/>
              </w:rPr>
              <w:t>3.57</w:t>
            </w:r>
          </w:p>
        </w:tc>
        <w:tc>
          <w:tcPr>
            <w:tcW w:type="dxa" w:w="2154"/>
          </w:tcPr>
          <w:p>
            <w:pPr>
              <w:spacing w:after="0" w:line="252" w:lineRule="auto"/>
            </w:pPr>
            <w:r>
              <w:rPr>
                <w:sz w:val="15"/>
              </w:rPr>
              <w:t>Entnahme-/Umschlagshäufigkeit je Artikel</w:t>
            </w:r>
          </w:p>
        </w:tc>
        <w:tc>
          <w:tcPr>
            <w:tcW w:type="dxa" w:w="454"/>
          </w:tcPr>
          <w:p>
            <w:pPr>
              <w:spacing w:after="0" w:line="252" w:lineRule="auto"/>
            </w:pPr>
            <w:r>
              <w:rPr>
                <w:sz w:val="15"/>
              </w:rPr>
              <w:t>W</w:t>
            </w:r>
          </w:p>
        </w:tc>
        <w:tc>
          <w:tcPr>
            <w:tcW w:type="dxa" w:w="4762"/>
          </w:tcPr>
          <w:p>
            <w:pPr>
              <w:spacing w:after="0" w:line="252" w:lineRule="auto"/>
            </w:pPr>
            <w:r>
              <w:rPr>
                <w:sz w:val="15"/>
              </w:rPr>
              <w:t>ABC-Berechnung (# Picks) als Datengrundlage; Darstellung siehe Kap. 10.</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OP-10</w:t>
            </w:r>
          </w:p>
        </w:tc>
      </w:tr>
      <w:tr>
        <w:tc>
          <w:tcPr>
            <w:tcW w:type="dxa" w:w="510"/>
          </w:tcPr>
          <w:p>
            <w:pPr>
              <w:spacing w:after="0" w:line="252" w:lineRule="auto"/>
            </w:pPr>
            <w:r>
              <w:rPr>
                <w:sz w:val="15"/>
              </w:rPr>
              <w:t>3.58</w:t>
            </w:r>
          </w:p>
        </w:tc>
        <w:tc>
          <w:tcPr>
            <w:tcW w:type="dxa" w:w="2154"/>
          </w:tcPr>
          <w:p>
            <w:pPr>
              <w:spacing w:after="0" w:line="252" w:lineRule="auto"/>
            </w:pPr>
            <w:r>
              <w:rPr>
                <w:sz w:val="15"/>
              </w:rPr>
              <w:t>Such- und Filterfunktionen nach Artikel, Lagerplatz, Bestand</w:t>
            </w:r>
          </w:p>
        </w:tc>
        <w:tc>
          <w:tcPr>
            <w:tcW w:type="dxa" w:w="454"/>
          </w:tcPr>
          <w:p>
            <w:pPr>
              <w:spacing w:after="0" w:line="252" w:lineRule="auto"/>
            </w:pPr>
            <w:r>
              <w:rPr>
                <w:sz w:val="15"/>
              </w:rPr>
              <w:t>W</w:t>
            </w:r>
          </w:p>
        </w:tc>
        <w:tc>
          <w:tcPr>
            <w:tcW w:type="dxa" w:w="4762"/>
          </w:tcPr>
          <w:p>
            <w:pPr>
              <w:spacing w:after="0" w:line="252" w:lineRule="auto"/>
            </w:pPr>
            <w:r>
              <w:rPr>
                <w:sz w:val="15"/>
              </w:rPr>
              <w:t>Suche und Erweiterte Suche in den Übersichtsdialogen (</w:t>
            </w:r>
            <w:r>
              <w:rPr>
                <w:b/>
                <w:sz w:val="15"/>
              </w:rPr>
              <w:t>SM022</w:t>
            </w:r>
            <w:r>
              <w:rPr>
                <w:sz w:val="15"/>
              </w:rPr>
              <w:t xml:space="preserve">, </w:t>
            </w:r>
            <w:r>
              <w:rPr>
                <w:b/>
                <w:sz w:val="15"/>
              </w:rPr>
              <w:t>LM127</w:t>
            </w:r>
            <w:r>
              <w:rPr>
                <w:sz w:val="15"/>
              </w:rPr>
              <w:t xml:space="preserve">, </w:t>
            </w:r>
            <w:r>
              <w:rPr>
                <w:b/>
                <w:sz w:val="15"/>
              </w:rPr>
              <w:t>WH004</w:t>
            </w:r>
            <w:r>
              <w:rPr>
                <w:sz w:val="15"/>
              </w:rPr>
              <w:t>).</w:t>
            </w:r>
          </w:p>
        </w:tc>
        <w:tc>
          <w:tcPr>
            <w:tcW w:type="dxa" w:w="1644"/>
          </w:tcPr>
          <w:p>
            <w:pPr>
              <w:spacing w:after="0" w:line="252" w:lineRule="auto"/>
            </w:pPr>
            <w:r>
              <w:rPr>
                <w:b/>
                <w:sz w:val="15"/>
              </w:rPr>
              <w:t>Standard</w:t>
            </w:r>
          </w:p>
        </w:tc>
      </w:tr>
    </w:tbl>
    <w:p>
      <w:pPr>
        <w:pStyle w:val="BeschriftungSSI"/>
      </w:pPr>
      <w:r>
        <w:t>Tab. 3.3: Lösungsbeschreibung je Anforderung, Gruppe 3 (59 Anforderungen)</w:t>
      </w:r>
    </w:p>
    <w:p>
      <w:pPr>
        <w:pStyle w:val="Heading2"/>
      </w:pPr>
      <w:r>
        <w:t>3.4 IT- und Systemanforderungen (4–4.15)</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10"/>
        <w:gridCol w:w="2154"/>
        <w:gridCol w:w="453"/>
        <w:gridCol w:w="4762"/>
        <w:gridCol w:w="1644"/>
      </w:tblGrid>
      <w:tr>
        <w:trPr>
          <w:tblHeader w:val="true"/>
        </w:trPr>
        <w:tc>
          <w:tcPr>
            <w:tcW w:type="dxa" w:w="510"/>
            <w:shd w:val="clear" w:color="auto" w:fill="FEEE19"/>
          </w:tcPr>
          <w:p>
            <w:pPr>
              <w:spacing w:after="0"/>
            </w:pPr>
            <w:r>
              <w:rPr>
                <w:b/>
                <w:sz w:val="15"/>
              </w:rPr>
              <w:t>Nr.</w:t>
            </w:r>
          </w:p>
        </w:tc>
        <w:tc>
          <w:tcPr>
            <w:tcW w:type="dxa" w:w="2154"/>
            <w:shd w:val="clear" w:color="auto" w:fill="FEEE19"/>
          </w:tcPr>
          <w:p>
            <w:pPr>
              <w:spacing w:after="0"/>
            </w:pPr>
            <w:r>
              <w:rPr>
                <w:b/>
                <w:sz w:val="15"/>
              </w:rPr>
              <w:t>Anforderung (Lastenheft, gekürzt)</w:t>
            </w:r>
          </w:p>
        </w:tc>
        <w:tc>
          <w:tcPr>
            <w:tcW w:type="dxa" w:w="454"/>
            <w:shd w:val="clear" w:color="auto" w:fill="FEEE19"/>
          </w:tcPr>
          <w:p>
            <w:pPr>
              <w:spacing w:after="0"/>
            </w:pPr>
            <w:r>
              <w:rPr>
                <w:b/>
                <w:sz w:val="15"/>
              </w:rPr>
              <w:t>M/W</w:t>
            </w:r>
          </w:p>
        </w:tc>
        <w:tc>
          <w:tcPr>
            <w:tcW w:type="dxa" w:w="4762"/>
            <w:shd w:val="clear" w:color="auto" w:fill="FEEE19"/>
          </w:tcPr>
          <w:p>
            <w:pPr>
              <w:spacing w:after="0"/>
            </w:pPr>
            <w:r>
              <w:rPr>
                <w:b/>
                <w:sz w:val="15"/>
              </w:rPr>
              <w:t>Lösung in WAMAS (Entwurf)</w:t>
            </w:r>
          </w:p>
        </w:tc>
        <w:tc>
          <w:tcPr>
            <w:tcW w:type="dxa" w:w="1644"/>
            <w:shd w:val="clear" w:color="auto" w:fill="FEEE19"/>
          </w:tcPr>
          <w:p>
            <w:pPr>
              <w:spacing w:after="0"/>
            </w:pPr>
            <w:r>
              <w:rPr>
                <w:b/>
                <w:sz w:val="15"/>
              </w:rPr>
              <w:t>Einstufung</w:t>
            </w:r>
          </w:p>
        </w:tc>
      </w:tr>
      <w:tr>
        <w:tc>
          <w:tcPr>
            <w:tcW w:type="dxa" w:w="510"/>
          </w:tcPr>
          <w:p>
            <w:pPr>
              <w:spacing w:after="0" w:line="252" w:lineRule="auto"/>
            </w:pPr>
            <w:r>
              <w:rPr>
                <w:sz w:val="15"/>
              </w:rPr>
              <w:t>4</w:t>
            </w:r>
          </w:p>
        </w:tc>
        <w:tc>
          <w:tcPr>
            <w:tcW w:type="dxa" w:w="2154"/>
          </w:tcPr>
          <w:p>
            <w:pPr>
              <w:spacing w:after="0" w:line="252" w:lineRule="auto"/>
            </w:pPr>
            <w:r>
              <w:rPr>
                <w:sz w:val="15"/>
              </w:rPr>
              <w:t>Kommunikation über bestehende bzw. erweiterte BSB-Schnittstelle</w:t>
            </w:r>
          </w:p>
        </w:tc>
        <w:tc>
          <w:tcPr>
            <w:tcW w:type="dxa" w:w="454"/>
          </w:tcPr>
          <w:p>
            <w:pPr>
              <w:spacing w:after="0" w:line="252" w:lineRule="auto"/>
            </w:pPr>
            <w:r>
              <w:rPr>
                <w:sz w:val="15"/>
              </w:rPr>
              <w:t>M</w:t>
            </w:r>
          </w:p>
        </w:tc>
        <w:tc>
          <w:tcPr>
            <w:tcW w:type="dxa" w:w="4762"/>
          </w:tcPr>
          <w:p>
            <w:pPr>
              <w:spacing w:after="0" w:line="252" w:lineRule="auto"/>
            </w:pPr>
            <w:r>
              <w:rPr>
                <w:sz w:val="15"/>
              </w:rPr>
              <w:t>Bestehende XML-/BPE-Anbindung wird weitergeführt und um die manuellen Bereiche erweitert (Kap. 8).</w:t>
            </w:r>
          </w:p>
        </w:tc>
        <w:tc>
          <w:tcPr>
            <w:tcW w:type="dxa" w:w="1644"/>
          </w:tcPr>
          <w:p>
            <w:pPr>
              <w:spacing w:after="0" w:line="252" w:lineRule="auto"/>
            </w:pPr>
            <w:r>
              <w:rPr>
                <w:b/>
                <w:sz w:val="15"/>
              </w:rPr>
              <w:t>Standard</w:t>
            </w:r>
          </w:p>
          <w:p>
            <w:pPr>
              <w:spacing w:after="0"/>
            </w:pPr>
            <w:r>
              <w:rPr>
                <w:sz w:val="15"/>
              </w:rPr>
              <w:t>Projektanpassung</w:t>
            </w:r>
          </w:p>
          <w:p>
            <w:pPr>
              <w:spacing w:after="0"/>
            </w:pPr>
            <w:r>
              <w:rPr>
                <w:sz w:val="15"/>
              </w:rPr>
              <w:t>→ OP-11</w:t>
            </w:r>
          </w:p>
        </w:tc>
      </w:tr>
      <w:tr>
        <w:tc>
          <w:tcPr>
            <w:tcW w:type="dxa" w:w="510"/>
          </w:tcPr>
          <w:p>
            <w:pPr>
              <w:spacing w:after="0" w:line="252" w:lineRule="auto"/>
            </w:pPr>
            <w:r>
              <w:rPr>
                <w:sz w:val="15"/>
              </w:rPr>
              <w:t>4.1</w:t>
            </w:r>
          </w:p>
        </w:tc>
        <w:tc>
          <w:tcPr>
            <w:tcW w:type="dxa" w:w="2154"/>
          </w:tcPr>
          <w:p>
            <w:pPr>
              <w:spacing w:after="0" w:line="252" w:lineRule="auto"/>
            </w:pPr>
            <w:r>
              <w:rPr>
                <w:sz w:val="15"/>
              </w:rPr>
              <w:t>Lagerbewegungen und Buchungen zeitnah synchronisieren</w:t>
            </w:r>
          </w:p>
        </w:tc>
        <w:tc>
          <w:tcPr>
            <w:tcW w:type="dxa" w:w="454"/>
          </w:tcPr>
          <w:p>
            <w:pPr>
              <w:spacing w:after="0" w:line="252" w:lineRule="auto"/>
            </w:pPr>
            <w:r>
              <w:rPr>
                <w:sz w:val="15"/>
              </w:rPr>
              <w:t>M</w:t>
            </w:r>
          </w:p>
        </w:tc>
        <w:tc>
          <w:tcPr>
            <w:tcW w:type="dxa" w:w="4762"/>
          </w:tcPr>
          <w:p>
            <w:pPr>
              <w:spacing w:after="0" w:line="252" w:lineRule="auto"/>
            </w:pPr>
            <w:r>
              <w:rPr>
                <w:sz w:val="15"/>
              </w:rPr>
              <w:t>Rückmeldung je Bedarfszeile bzw. Bedarf; Abrufintervalle der Dateischnittstelle (WAMAS und BPE) festzulegen.</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OP-11</w:t>
            </w:r>
          </w:p>
        </w:tc>
      </w:tr>
      <w:tr>
        <w:tc>
          <w:tcPr>
            <w:tcW w:type="dxa" w:w="510"/>
          </w:tcPr>
          <w:p>
            <w:pPr>
              <w:spacing w:after="0" w:line="252" w:lineRule="auto"/>
            </w:pPr>
            <w:r>
              <w:rPr>
                <w:sz w:val="15"/>
              </w:rPr>
              <w:t>4.2</w:t>
            </w:r>
          </w:p>
        </w:tc>
        <w:tc>
          <w:tcPr>
            <w:tcW w:type="dxa" w:w="2154"/>
          </w:tcPr>
          <w:p>
            <w:pPr>
              <w:spacing w:after="0" w:line="252" w:lineRule="auto"/>
            </w:pPr>
            <w:r>
              <w:rPr>
                <w:sz w:val="15"/>
              </w:rPr>
              <w:t>Unterstützung mobiler Scanner</w:t>
            </w:r>
          </w:p>
        </w:tc>
        <w:tc>
          <w:tcPr>
            <w:tcW w:type="dxa" w:w="454"/>
          </w:tcPr>
          <w:p>
            <w:pPr>
              <w:spacing w:after="0" w:line="252" w:lineRule="auto"/>
            </w:pPr>
            <w:r>
              <w:rPr>
                <w:sz w:val="15"/>
              </w:rPr>
              <w:t>M</w:t>
            </w:r>
          </w:p>
        </w:tc>
        <w:tc>
          <w:tcPr>
            <w:tcW w:type="dxa" w:w="4762"/>
          </w:tcPr>
          <w:p>
            <w:pPr>
              <w:spacing w:after="0" w:line="252" w:lineRule="auto"/>
            </w:pPr>
            <w:r>
              <w:rPr>
                <w:sz w:val="15"/>
              </w:rPr>
              <w:t>WAMAS-Mobil-Client (</w:t>
            </w:r>
            <w:r>
              <w:rPr>
                <w:b/>
                <w:sz w:val="15"/>
              </w:rPr>
              <w:t>WLM001</w:t>
            </w:r>
            <w:r>
              <w:rPr>
                <w:sz w:val="15"/>
              </w:rPr>
              <w:t xml:space="preserve"> Tätigkeiten); Gerätemodell und Betriebssystem zu klären.</w:t>
            </w:r>
          </w:p>
        </w:tc>
        <w:tc>
          <w:tcPr>
            <w:tcW w:type="dxa" w:w="1644"/>
          </w:tcPr>
          <w:p>
            <w:pPr>
              <w:spacing w:after="0" w:line="252" w:lineRule="auto"/>
            </w:pPr>
            <w:r>
              <w:rPr>
                <w:b/>
                <w:sz w:val="15"/>
              </w:rPr>
              <w:t>Standard</w:t>
            </w:r>
          </w:p>
          <w:p>
            <w:pPr>
              <w:spacing w:after="0"/>
            </w:pPr>
            <w:r>
              <w:rPr>
                <w:sz w:val="15"/>
              </w:rPr>
              <w:t>Klärung nötig</w:t>
            </w:r>
          </w:p>
          <w:p>
            <w:pPr>
              <w:spacing w:after="0"/>
            </w:pPr>
            <w:r>
              <w:rPr>
                <w:sz w:val="15"/>
              </w:rPr>
              <w:t>→ OP-19</w:t>
            </w:r>
          </w:p>
        </w:tc>
      </w:tr>
      <w:tr>
        <w:tc>
          <w:tcPr>
            <w:tcW w:type="dxa" w:w="510"/>
          </w:tcPr>
          <w:p>
            <w:pPr>
              <w:spacing w:after="0" w:line="252" w:lineRule="auto"/>
            </w:pPr>
            <w:r>
              <w:rPr>
                <w:sz w:val="15"/>
              </w:rPr>
              <w:t>4.3</w:t>
            </w:r>
          </w:p>
        </w:tc>
        <w:tc>
          <w:tcPr>
            <w:tcW w:type="dxa" w:w="2154"/>
          </w:tcPr>
          <w:p>
            <w:pPr>
              <w:spacing w:after="0" w:line="252" w:lineRule="auto"/>
            </w:pPr>
            <w:r>
              <w:rPr>
                <w:sz w:val="15"/>
              </w:rPr>
              <w:t>Unterstützung mobiler Etikettendrucker</w:t>
            </w:r>
          </w:p>
        </w:tc>
        <w:tc>
          <w:tcPr>
            <w:tcW w:type="dxa" w:w="454"/>
          </w:tcPr>
          <w:p>
            <w:pPr>
              <w:spacing w:after="0" w:line="252" w:lineRule="auto"/>
            </w:pPr>
            <w:r>
              <w:rPr>
                <w:sz w:val="15"/>
              </w:rPr>
              <w:t>M</w:t>
            </w:r>
          </w:p>
        </w:tc>
        <w:tc>
          <w:tcPr>
            <w:tcW w:type="dxa" w:w="4762"/>
          </w:tcPr>
          <w:p>
            <w:pPr>
              <w:spacing w:after="0" w:line="252" w:lineRule="auto"/>
            </w:pPr>
            <w:r>
              <w:rPr>
                <w:sz w:val="15"/>
              </w:rPr>
              <w:t>Druckeranbindung und Druckerauswahl per Barcode; Druckermodell, Sprache und Auslösung offen.</w:t>
            </w:r>
          </w:p>
        </w:tc>
        <w:tc>
          <w:tcPr>
            <w:tcW w:type="dxa" w:w="1644"/>
          </w:tcPr>
          <w:p>
            <w:pPr>
              <w:spacing w:after="0" w:line="252" w:lineRule="auto"/>
            </w:pPr>
            <w:r>
              <w:rPr>
                <w:b/>
                <w:sz w:val="15"/>
              </w:rPr>
              <w:t>Konfiguration</w:t>
            </w:r>
          </w:p>
          <w:p>
            <w:pPr>
              <w:spacing w:after="0"/>
            </w:pPr>
            <w:r>
              <w:rPr>
                <w:sz w:val="15"/>
              </w:rPr>
              <w:t>Klärung nötig</w:t>
            </w:r>
          </w:p>
          <w:p>
            <w:pPr>
              <w:spacing w:after="0"/>
            </w:pPr>
            <w:r>
              <w:rPr>
                <w:sz w:val="15"/>
              </w:rPr>
              <w:t>→ OP-09</w:t>
            </w:r>
          </w:p>
        </w:tc>
      </w:tr>
      <w:tr>
        <w:tc>
          <w:tcPr>
            <w:tcW w:type="dxa" w:w="510"/>
          </w:tcPr>
          <w:p>
            <w:pPr>
              <w:spacing w:after="0" w:line="252" w:lineRule="auto"/>
            </w:pPr>
            <w:r>
              <w:rPr>
                <w:sz w:val="15"/>
              </w:rPr>
              <w:t>4.4</w:t>
            </w:r>
          </w:p>
        </w:tc>
        <w:tc>
          <w:tcPr>
            <w:tcW w:type="dxa" w:w="2154"/>
          </w:tcPr>
          <w:p>
            <w:pPr>
              <w:spacing w:after="0" w:line="252" w:lineRule="auto"/>
            </w:pPr>
            <w:r>
              <w:rPr>
                <w:sz w:val="15"/>
              </w:rPr>
              <w:t>Zentrale Benutzerverwaltung</w:t>
            </w:r>
          </w:p>
        </w:tc>
        <w:tc>
          <w:tcPr>
            <w:tcW w:type="dxa" w:w="454"/>
          </w:tcPr>
          <w:p>
            <w:pPr>
              <w:spacing w:after="0" w:line="252" w:lineRule="auto"/>
            </w:pPr>
            <w:r>
              <w:rPr>
                <w:sz w:val="15"/>
              </w:rPr>
              <w:t>M</w:t>
            </w:r>
          </w:p>
        </w:tc>
        <w:tc>
          <w:tcPr>
            <w:tcW w:type="dxa" w:w="4762"/>
          </w:tcPr>
          <w:p>
            <w:pPr>
              <w:spacing w:after="0" w:line="252" w:lineRule="auto"/>
            </w:pPr>
            <w:r>
              <w:rPr>
                <w:sz w:val="15"/>
              </w:rPr>
              <w:t>Benutzer und Logins zentral (</w:t>
            </w:r>
            <w:r>
              <w:rPr>
                <w:b/>
                <w:sz w:val="15"/>
              </w:rPr>
              <w:t>UM001</w:t>
            </w:r>
            <w:r>
              <w:rPr>
                <w:sz w:val="15"/>
              </w:rPr>
              <w:t>/</w:t>
            </w:r>
            <w:r>
              <w:rPr>
                <w:b/>
                <w:sz w:val="15"/>
              </w:rPr>
              <w:t>UM002</w:t>
            </w:r>
            <w:r>
              <w:rPr>
                <w:sz w:val="15"/>
              </w:rPr>
              <w:t>); Anbindung an Verzeichnisdienst zu klären.</w:t>
            </w:r>
          </w:p>
        </w:tc>
        <w:tc>
          <w:tcPr>
            <w:tcW w:type="dxa" w:w="1644"/>
          </w:tcPr>
          <w:p>
            <w:pPr>
              <w:spacing w:after="0" w:line="252" w:lineRule="auto"/>
            </w:pPr>
            <w:r>
              <w:rPr>
                <w:b/>
                <w:sz w:val="15"/>
              </w:rPr>
              <w:t>Standard</w:t>
            </w:r>
          </w:p>
          <w:p>
            <w:pPr>
              <w:spacing w:after="0"/>
            </w:pPr>
            <w:r>
              <w:rPr>
                <w:sz w:val="15"/>
              </w:rPr>
              <w:t>Klärung nötig</w:t>
            </w:r>
          </w:p>
          <w:p>
            <w:pPr>
              <w:spacing w:after="0"/>
            </w:pPr>
            <w:r>
              <w:rPr>
                <w:sz w:val="15"/>
              </w:rPr>
              <w:t>→ OP-19</w:t>
            </w:r>
          </w:p>
        </w:tc>
      </w:tr>
      <w:tr>
        <w:tc>
          <w:tcPr>
            <w:tcW w:type="dxa" w:w="510"/>
          </w:tcPr>
          <w:p>
            <w:pPr>
              <w:spacing w:after="0" w:line="252" w:lineRule="auto"/>
            </w:pPr>
            <w:r>
              <w:rPr>
                <w:sz w:val="15"/>
              </w:rPr>
              <w:t>4.5</w:t>
            </w:r>
          </w:p>
        </w:tc>
        <w:tc>
          <w:tcPr>
            <w:tcW w:type="dxa" w:w="2154"/>
          </w:tcPr>
          <w:p>
            <w:pPr>
              <w:spacing w:after="0" w:line="252" w:lineRule="auto"/>
            </w:pPr>
            <w:r>
              <w:rPr>
                <w:sz w:val="15"/>
              </w:rPr>
              <w:t>Rollen/Berechtigungen je Benutzer bzw. Gruppe konfigurierbar</w:t>
            </w:r>
          </w:p>
        </w:tc>
        <w:tc>
          <w:tcPr>
            <w:tcW w:type="dxa" w:w="454"/>
          </w:tcPr>
          <w:p>
            <w:pPr>
              <w:spacing w:after="0" w:line="252" w:lineRule="auto"/>
            </w:pPr>
            <w:r>
              <w:rPr>
                <w:sz w:val="15"/>
              </w:rPr>
              <w:t>M</w:t>
            </w:r>
          </w:p>
        </w:tc>
        <w:tc>
          <w:tcPr>
            <w:tcW w:type="dxa" w:w="4762"/>
          </w:tcPr>
          <w:p>
            <w:pPr>
              <w:spacing w:after="0" w:line="252" w:lineRule="auto"/>
            </w:pPr>
            <w:r>
              <w:rPr>
                <w:sz w:val="15"/>
              </w:rPr>
              <w:t>Rollen, Applikations-Zugriffs-Profile, Datenzugriffsprofile (Kap. 9).</w:t>
            </w:r>
          </w:p>
        </w:tc>
        <w:tc>
          <w:tcPr>
            <w:tcW w:type="dxa" w:w="1644"/>
          </w:tcPr>
          <w:p>
            <w:pPr>
              <w:spacing w:after="0" w:line="252" w:lineRule="auto"/>
            </w:pPr>
            <w:r>
              <w:rPr>
                <w:b/>
                <w:sz w:val="15"/>
              </w:rPr>
              <w:t>Standard</w:t>
            </w:r>
          </w:p>
          <w:p>
            <w:pPr>
              <w:spacing w:after="0"/>
            </w:pPr>
            <w:r>
              <w:rPr>
                <w:sz w:val="15"/>
              </w:rPr>
              <w:t>Konfiguration</w:t>
            </w:r>
          </w:p>
          <w:p>
            <w:pPr>
              <w:spacing w:after="0"/>
            </w:pPr>
            <w:r>
              <w:rPr>
                <w:sz w:val="15"/>
              </w:rPr>
              <w:t>→ OP-18</w:t>
            </w:r>
          </w:p>
        </w:tc>
      </w:tr>
      <w:tr>
        <w:tc>
          <w:tcPr>
            <w:tcW w:type="dxa" w:w="510"/>
          </w:tcPr>
          <w:p>
            <w:pPr>
              <w:spacing w:after="0" w:line="252" w:lineRule="auto"/>
            </w:pPr>
            <w:r>
              <w:rPr>
                <w:sz w:val="15"/>
              </w:rPr>
              <w:t>4.6</w:t>
            </w:r>
          </w:p>
        </w:tc>
        <w:tc>
          <w:tcPr>
            <w:tcW w:type="dxa" w:w="2154"/>
          </w:tcPr>
          <w:p>
            <w:pPr>
              <w:spacing w:after="0" w:line="252" w:lineRule="auto"/>
            </w:pPr>
            <w:r>
              <w:rPr>
                <w:sz w:val="15"/>
              </w:rPr>
              <w:t>Stabiler, performanter Betrieb im internen Netz</w:t>
            </w:r>
          </w:p>
        </w:tc>
        <w:tc>
          <w:tcPr>
            <w:tcW w:type="dxa" w:w="454"/>
          </w:tcPr>
          <w:p>
            <w:pPr>
              <w:spacing w:after="0" w:line="252" w:lineRule="auto"/>
            </w:pPr>
            <w:r>
              <w:rPr>
                <w:sz w:val="15"/>
              </w:rPr>
              <w:t>M</w:t>
            </w:r>
          </w:p>
        </w:tc>
        <w:tc>
          <w:tcPr>
            <w:tcW w:type="dxa" w:w="4762"/>
          </w:tcPr>
          <w:p>
            <w:pPr>
              <w:spacing w:after="0" w:line="252" w:lineRule="auto"/>
            </w:pPr>
            <w:r>
              <w:rPr>
                <w:sz w:val="15"/>
              </w:rPr>
              <w:t>WLAN-Ausleuchtung Hauptlager, Server, Mobilgeräte: Abnahme mit Brütsch-IT.</w:t>
            </w:r>
          </w:p>
        </w:tc>
        <w:tc>
          <w:tcPr>
            <w:tcW w:type="dxa" w:w="1644"/>
          </w:tcPr>
          <w:p>
            <w:pPr>
              <w:spacing w:after="0" w:line="252" w:lineRule="auto"/>
            </w:pPr>
            <w:r>
              <w:rPr>
                <w:b/>
                <w:sz w:val="15"/>
              </w:rPr>
              <w:t>Klärung nötig</w:t>
            </w:r>
          </w:p>
          <w:p>
            <w:pPr>
              <w:spacing w:after="0"/>
            </w:pPr>
            <w:r>
              <w:rPr>
                <w:sz w:val="15"/>
              </w:rPr>
              <w:t>→ OP-19</w:t>
            </w:r>
          </w:p>
        </w:tc>
      </w:tr>
      <w:tr>
        <w:tc>
          <w:tcPr>
            <w:tcW w:type="dxa" w:w="510"/>
          </w:tcPr>
          <w:p>
            <w:pPr>
              <w:spacing w:after="0" w:line="252" w:lineRule="auto"/>
            </w:pPr>
            <w:r>
              <w:rPr>
                <w:sz w:val="15"/>
              </w:rPr>
              <w:t>4.7</w:t>
            </w:r>
          </w:p>
        </w:tc>
        <w:tc>
          <w:tcPr>
            <w:tcW w:type="dxa" w:w="2154"/>
          </w:tcPr>
          <w:p>
            <w:pPr>
              <w:spacing w:after="0" w:line="252" w:lineRule="auto"/>
            </w:pPr>
            <w:r>
              <w:rPr>
                <w:sz w:val="15"/>
              </w:rPr>
              <w:t>Schnittstellenfehler erkennbar, protokolliert, nachvollziehbar</w:t>
            </w:r>
          </w:p>
        </w:tc>
        <w:tc>
          <w:tcPr>
            <w:tcW w:type="dxa" w:w="454"/>
          </w:tcPr>
          <w:p>
            <w:pPr>
              <w:spacing w:after="0" w:line="252" w:lineRule="auto"/>
            </w:pPr>
            <w:r>
              <w:rPr>
                <w:sz w:val="15"/>
              </w:rPr>
              <w:t>M</w:t>
            </w:r>
          </w:p>
        </w:tc>
        <w:tc>
          <w:tcPr>
            <w:tcW w:type="dxa" w:w="4762"/>
          </w:tcPr>
          <w:p>
            <w:pPr>
              <w:spacing w:after="0" w:line="252" w:lineRule="auto"/>
            </w:pPr>
            <w:r>
              <w:rPr>
                <w:sz w:val="15"/>
              </w:rPr>
              <w:t xml:space="preserve">WAMAS-Standard: fehlerhafte ein- und ausgehende Systempartnernachrichten in </w:t>
            </w:r>
            <w:r>
              <w:rPr>
                <w:b/>
                <w:sz w:val="15"/>
              </w:rPr>
              <w:t>DI002</w:t>
            </w:r>
            <w:r>
              <w:rPr>
                <w:sz w:val="15"/>
              </w:rPr>
              <w:t xml:space="preserve">, Fehlerprotokoll </w:t>
            </w:r>
            <w:r>
              <w:rPr>
                <w:b/>
                <w:sz w:val="15"/>
              </w:rPr>
              <w:t>DI003</w:t>
            </w:r>
            <w:r>
              <w:rPr>
                <w:sz w:val="15"/>
              </w:rPr>
              <w:t xml:space="preserve"> (Komponente, bearbeitender Benutzer und Datum, Kommentare); Archivierung der Nachrichtendateien mit Aufbewahrungsdauer. BPE-seitiges Fehlerprotokoll durch bsb.</w:t>
            </w:r>
          </w:p>
        </w:tc>
        <w:tc>
          <w:tcPr>
            <w:tcW w:type="dxa" w:w="1644"/>
          </w:tcPr>
          <w:p>
            <w:pPr>
              <w:spacing w:after="0" w:line="252" w:lineRule="auto"/>
            </w:pPr>
            <w:r>
              <w:rPr>
                <w:b/>
                <w:sz w:val="15"/>
              </w:rPr>
              <w:t>Standard</w:t>
            </w:r>
          </w:p>
          <w:p>
            <w:pPr>
              <w:spacing w:after="0"/>
            </w:pPr>
            <w:r>
              <w:rPr>
                <w:sz w:val="15"/>
              </w:rPr>
              <w:t>Projektanpassung</w:t>
            </w:r>
          </w:p>
          <w:p>
            <w:pPr>
              <w:spacing w:after="0"/>
            </w:pPr>
            <w:r>
              <w:rPr>
                <w:sz w:val="15"/>
              </w:rPr>
              <w:t>→ OP-13</w:t>
            </w:r>
          </w:p>
        </w:tc>
      </w:tr>
      <w:tr>
        <w:tc>
          <w:tcPr>
            <w:tcW w:type="dxa" w:w="510"/>
          </w:tcPr>
          <w:p>
            <w:pPr>
              <w:spacing w:after="0" w:line="252" w:lineRule="auto"/>
            </w:pPr>
            <w:r>
              <w:rPr>
                <w:sz w:val="15"/>
              </w:rPr>
              <w:t>4.8</w:t>
            </w:r>
          </w:p>
        </w:tc>
        <w:tc>
          <w:tcPr>
            <w:tcW w:type="dxa" w:w="2154"/>
          </w:tcPr>
          <w:p>
            <w:pPr>
              <w:spacing w:after="0" w:line="252" w:lineRule="auto"/>
            </w:pPr>
            <w:r>
              <w:rPr>
                <w:sz w:val="15"/>
              </w:rPr>
              <w:t>Nicht übermittelte Buchungen erkennen und kontrolliert erneut übertragen</w:t>
            </w:r>
          </w:p>
        </w:tc>
        <w:tc>
          <w:tcPr>
            <w:tcW w:type="dxa" w:w="454"/>
          </w:tcPr>
          <w:p>
            <w:pPr>
              <w:spacing w:after="0" w:line="252" w:lineRule="auto"/>
            </w:pPr>
            <w:r>
              <w:rPr>
                <w:sz w:val="15"/>
              </w:rPr>
              <w:t>M</w:t>
            </w:r>
          </w:p>
        </w:tc>
        <w:tc>
          <w:tcPr>
            <w:tcW w:type="dxa" w:w="4762"/>
          </w:tcPr>
          <w:p>
            <w:pPr>
              <w:spacing w:after="0" w:line="252" w:lineRule="auto"/>
            </w:pPr>
            <w:r>
              <w:rPr>
                <w:sz w:val="15"/>
              </w:rPr>
              <w:t>Eingehend: Fehler-SPM korrigieren (</w:t>
            </w:r>
            <w:r>
              <w:rPr>
                <w:b/>
                <w:sz w:val="15"/>
              </w:rPr>
              <w:t>DI005</w:t>
            </w:r>
            <w:r>
              <w:rPr>
                <w:sz w:val="15"/>
              </w:rPr>
              <w:t xml:space="preserve">), </w:t>
            </w:r>
            <w:r>
              <w:rPr>
                <w:b/>
                <w:sz w:val="15"/>
              </w:rPr>
              <w:t>Wiederholen</w:t>
            </w:r>
            <w:r>
              <w:rPr>
                <w:sz w:val="15"/>
              </w:rPr>
              <w:t xml:space="preserve"> oder </w:t>
            </w:r>
            <w:r>
              <w:rPr>
                <w:b/>
                <w:sz w:val="15"/>
              </w:rPr>
              <w:t>Stornieren</w:t>
            </w:r>
            <w:r>
              <w:rPr>
                <w:sz w:val="15"/>
              </w:rPr>
              <w:t>; ausgehende Nachrichten sind ebenfalls bearbeitbar. Überwachung und Wiederholung auf BPE-Seite und Alarmierung festzulegen.</w:t>
            </w:r>
          </w:p>
        </w:tc>
        <w:tc>
          <w:tcPr>
            <w:tcW w:type="dxa" w:w="1644"/>
          </w:tcPr>
          <w:p>
            <w:pPr>
              <w:spacing w:after="0" w:line="252" w:lineRule="auto"/>
            </w:pPr>
            <w:r>
              <w:rPr>
                <w:b/>
                <w:sz w:val="15"/>
              </w:rPr>
              <w:t>Standard</w:t>
            </w:r>
          </w:p>
          <w:p>
            <w:pPr>
              <w:spacing w:after="0"/>
            </w:pPr>
            <w:r>
              <w:rPr>
                <w:sz w:val="15"/>
              </w:rPr>
              <w:t>Klärung nötig</w:t>
            </w:r>
          </w:p>
          <w:p>
            <w:pPr>
              <w:spacing w:after="0"/>
            </w:pPr>
            <w:r>
              <w:rPr>
                <w:sz w:val="15"/>
              </w:rPr>
              <w:t>→ OP-13</w:t>
            </w:r>
          </w:p>
        </w:tc>
      </w:tr>
      <w:tr>
        <w:tc>
          <w:tcPr>
            <w:tcW w:type="dxa" w:w="510"/>
          </w:tcPr>
          <w:p>
            <w:pPr>
              <w:spacing w:after="0" w:line="252" w:lineRule="auto"/>
            </w:pPr>
            <w:r>
              <w:rPr>
                <w:sz w:val="15"/>
              </w:rPr>
              <w:t>4.9</w:t>
            </w:r>
          </w:p>
        </w:tc>
        <w:tc>
          <w:tcPr>
            <w:tcW w:type="dxa" w:w="2154"/>
          </w:tcPr>
          <w:p>
            <w:pPr>
              <w:spacing w:after="0" w:line="252" w:lineRule="auto"/>
            </w:pPr>
            <w:r>
              <w:rPr>
                <w:sz w:val="15"/>
              </w:rPr>
              <w:t>Zukünftige Lagerbereiche ohne grundlegende Architekturänderung</w:t>
            </w:r>
          </w:p>
        </w:tc>
        <w:tc>
          <w:tcPr>
            <w:tcW w:type="dxa" w:w="454"/>
          </w:tcPr>
          <w:p>
            <w:pPr>
              <w:spacing w:after="0" w:line="252" w:lineRule="auto"/>
            </w:pPr>
            <w:r>
              <w:rPr>
                <w:sz w:val="15"/>
              </w:rPr>
              <w:t>W</w:t>
            </w:r>
          </w:p>
        </w:tc>
        <w:tc>
          <w:tcPr>
            <w:tcW w:type="dxa" w:w="4762"/>
          </w:tcPr>
          <w:p>
            <w:pPr>
              <w:spacing w:after="0" w:line="252" w:lineRule="auto"/>
            </w:pPr>
            <w:r>
              <w:rPr>
                <w:sz w:val="15"/>
              </w:rPr>
              <w:t>Zonen/Lagerplatzgruppen erweiterbar (vgl. 2.6).</w:t>
            </w:r>
          </w:p>
        </w:tc>
        <w:tc>
          <w:tcPr>
            <w:tcW w:type="dxa" w:w="1644"/>
          </w:tcPr>
          <w:p>
            <w:pPr>
              <w:spacing w:after="0" w:line="252" w:lineRule="auto"/>
            </w:pPr>
            <w:r>
              <w:rPr>
                <w:b/>
                <w:sz w:val="15"/>
              </w:rPr>
              <w:t>Standard</w:t>
            </w:r>
          </w:p>
        </w:tc>
      </w:tr>
      <w:tr>
        <w:tc>
          <w:tcPr>
            <w:tcW w:type="dxa" w:w="510"/>
          </w:tcPr>
          <w:p>
            <w:pPr>
              <w:spacing w:after="0" w:line="252" w:lineRule="auto"/>
            </w:pPr>
            <w:r>
              <w:rPr>
                <w:sz w:val="15"/>
              </w:rPr>
              <w:t>4.10</w:t>
            </w:r>
          </w:p>
        </w:tc>
        <w:tc>
          <w:tcPr>
            <w:tcW w:type="dxa" w:w="2154"/>
          </w:tcPr>
          <w:p>
            <w:pPr>
              <w:spacing w:after="0" w:line="252" w:lineRule="auto"/>
            </w:pPr>
            <w:r>
              <w:rPr>
                <w:sz w:val="15"/>
              </w:rPr>
              <w:t>Führende Daten Abacus/WAMAS eindeutig abgegrenzt</w:t>
            </w:r>
          </w:p>
        </w:tc>
        <w:tc>
          <w:tcPr>
            <w:tcW w:type="dxa" w:w="454"/>
          </w:tcPr>
          <w:p>
            <w:pPr>
              <w:spacing w:after="0" w:line="252" w:lineRule="auto"/>
            </w:pPr>
            <w:r>
              <w:rPr>
                <w:sz w:val="15"/>
              </w:rPr>
              <w:t>M</w:t>
            </w:r>
          </w:p>
        </w:tc>
        <w:tc>
          <w:tcPr>
            <w:tcW w:type="dxa" w:w="4762"/>
          </w:tcPr>
          <w:p>
            <w:pPr>
              <w:spacing w:after="0" w:line="252" w:lineRule="auto"/>
            </w:pPr>
            <w:r>
              <w:rPr>
                <w:sz w:val="15"/>
              </w:rPr>
              <w:t>Festlegung in Kap. 4.2 dieses Pflichtenhefts.</w:t>
            </w:r>
          </w:p>
        </w:tc>
        <w:tc>
          <w:tcPr>
            <w:tcW w:type="dxa" w:w="1644"/>
          </w:tcPr>
          <w:p>
            <w:pPr>
              <w:spacing w:after="0" w:line="252" w:lineRule="auto"/>
            </w:pPr>
            <w:r>
              <w:rPr>
                <w:b/>
                <w:sz w:val="15"/>
              </w:rPr>
              <w:t>Standard</w:t>
            </w:r>
          </w:p>
        </w:tc>
      </w:tr>
      <w:tr>
        <w:tc>
          <w:tcPr>
            <w:tcW w:type="dxa" w:w="510"/>
          </w:tcPr>
          <w:p>
            <w:pPr>
              <w:spacing w:after="0" w:line="252" w:lineRule="auto"/>
            </w:pPr>
            <w:r>
              <w:rPr>
                <w:sz w:val="15"/>
              </w:rPr>
              <w:t>4.11</w:t>
            </w:r>
          </w:p>
        </w:tc>
        <w:tc>
          <w:tcPr>
            <w:tcW w:type="dxa" w:w="2154"/>
          </w:tcPr>
          <w:p>
            <w:pPr>
              <w:spacing w:after="0" w:line="252" w:lineRule="auto"/>
            </w:pPr>
            <w:r>
              <w:rPr>
                <w:sz w:val="15"/>
              </w:rPr>
              <w:t>Desktop-Oberfläche für Auswertungen und Lagerübersichten</w:t>
            </w:r>
          </w:p>
        </w:tc>
        <w:tc>
          <w:tcPr>
            <w:tcW w:type="dxa" w:w="454"/>
          </w:tcPr>
          <w:p>
            <w:pPr>
              <w:spacing w:after="0" w:line="252" w:lineRule="auto"/>
            </w:pPr>
            <w:r>
              <w:rPr>
                <w:sz w:val="15"/>
              </w:rPr>
              <w:t>W</w:t>
            </w:r>
          </w:p>
        </w:tc>
        <w:tc>
          <w:tcPr>
            <w:tcW w:type="dxa" w:w="4762"/>
          </w:tcPr>
          <w:p>
            <w:pPr>
              <w:spacing w:after="0" w:line="252" w:lineRule="auto"/>
            </w:pPr>
            <w:r>
              <w:rPr>
                <w:sz w:val="15"/>
              </w:rPr>
              <w:t>WAMAS-Desktop-Client mit Übersichtsdialogen.</w:t>
            </w:r>
          </w:p>
        </w:tc>
        <w:tc>
          <w:tcPr>
            <w:tcW w:type="dxa" w:w="1644"/>
          </w:tcPr>
          <w:p>
            <w:pPr>
              <w:spacing w:after="0" w:line="252" w:lineRule="auto"/>
            </w:pPr>
            <w:r>
              <w:rPr>
                <w:b/>
                <w:sz w:val="15"/>
              </w:rPr>
              <w:t>Standard</w:t>
            </w:r>
          </w:p>
        </w:tc>
      </w:tr>
      <w:tr>
        <w:tc>
          <w:tcPr>
            <w:tcW w:type="dxa" w:w="510"/>
          </w:tcPr>
          <w:p>
            <w:pPr>
              <w:spacing w:after="0" w:line="252" w:lineRule="auto"/>
            </w:pPr>
            <w:r>
              <w:rPr>
                <w:sz w:val="15"/>
              </w:rPr>
              <w:t>4.12</w:t>
            </w:r>
          </w:p>
        </w:tc>
        <w:tc>
          <w:tcPr>
            <w:tcW w:type="dxa" w:w="2154"/>
          </w:tcPr>
          <w:p>
            <w:pPr>
              <w:spacing w:after="0" w:line="252" w:lineRule="auto"/>
            </w:pPr>
            <w:r>
              <w:rPr>
                <w:sz w:val="15"/>
              </w:rPr>
              <w:t>BPE-Prozesse für weitere WAMAS-Lagerorte (nicht nur Logimat) erweitern</w:t>
            </w:r>
          </w:p>
        </w:tc>
        <w:tc>
          <w:tcPr>
            <w:tcW w:type="dxa" w:w="454"/>
          </w:tcPr>
          <w:p>
            <w:pPr>
              <w:spacing w:after="0" w:line="252" w:lineRule="auto"/>
            </w:pPr>
            <w:r>
              <w:rPr>
                <w:sz w:val="15"/>
              </w:rPr>
              <w:t>M</w:t>
            </w:r>
          </w:p>
        </w:tc>
        <w:tc>
          <w:tcPr>
            <w:tcW w:type="dxa" w:w="4762"/>
          </w:tcPr>
          <w:p>
            <w:pPr>
              <w:spacing w:after="0" w:line="252" w:lineRule="auto"/>
            </w:pPr>
            <w:r>
              <w:rPr>
                <w:sz w:val="15"/>
              </w:rPr>
              <w:t>Leistung bsb (laut Lastenheft «BSB unterstützend»); Routing, Zone/Lagerort-Mapping.</w:t>
            </w:r>
          </w:p>
        </w:tc>
        <w:tc>
          <w:tcPr>
            <w:tcW w:type="dxa" w:w="1644"/>
          </w:tcPr>
          <w:p>
            <w:pPr>
              <w:spacing w:after="0" w:line="252" w:lineRule="auto"/>
            </w:pPr>
            <w:r>
              <w:rPr>
                <w:b/>
                <w:sz w:val="15"/>
              </w:rPr>
              <w:t>Projektanpassung</w:t>
            </w:r>
          </w:p>
          <w:p>
            <w:pPr>
              <w:spacing w:after="0"/>
            </w:pPr>
            <w:r>
              <w:rPr>
                <w:sz w:val="15"/>
              </w:rPr>
              <w:t>→ OP-11</w:t>
            </w:r>
          </w:p>
        </w:tc>
      </w:tr>
      <w:tr>
        <w:tc>
          <w:tcPr>
            <w:tcW w:type="dxa" w:w="510"/>
          </w:tcPr>
          <w:p>
            <w:pPr>
              <w:spacing w:after="0" w:line="252" w:lineRule="auto"/>
            </w:pPr>
            <w:r>
              <w:rPr>
                <w:sz w:val="15"/>
              </w:rPr>
              <w:t>4.13</w:t>
            </w:r>
          </w:p>
        </w:tc>
        <w:tc>
          <w:tcPr>
            <w:tcW w:type="dxa" w:w="2154"/>
          </w:tcPr>
          <w:p>
            <w:pPr>
              <w:spacing w:after="0" w:line="252" w:lineRule="auto"/>
            </w:pPr>
            <w:r>
              <w:rPr>
                <w:sz w:val="15"/>
              </w:rPr>
              <w:t>Schnittstellenfehler klassifizieren, automatisiert per E-Mail/Alert melden</w:t>
            </w:r>
          </w:p>
        </w:tc>
        <w:tc>
          <w:tcPr>
            <w:tcW w:type="dxa" w:w="454"/>
          </w:tcPr>
          <w:p>
            <w:pPr>
              <w:spacing w:after="0" w:line="252" w:lineRule="auto"/>
            </w:pPr>
            <w:r>
              <w:rPr>
                <w:sz w:val="15"/>
              </w:rPr>
              <w:t>M</w:t>
            </w:r>
          </w:p>
        </w:tc>
        <w:tc>
          <w:tcPr>
            <w:tcW w:type="dxa" w:w="4762"/>
          </w:tcPr>
          <w:p>
            <w:pPr>
              <w:spacing w:after="0" w:line="252" w:lineRule="auto"/>
            </w:pPr>
            <w:r>
              <w:rPr>
                <w:sz w:val="15"/>
              </w:rPr>
              <w:t>E-Mail-Notifikation ist für WAMAS nicht dokumentiert; Vorschlag Umsetzung in BPE. Continue-on-Failure-Logik je Satzart festzulegen.</w:t>
            </w:r>
          </w:p>
        </w:tc>
        <w:tc>
          <w:tcPr>
            <w:tcW w:type="dxa" w:w="1644"/>
          </w:tcPr>
          <w:p>
            <w:pPr>
              <w:spacing w:after="0" w:line="252" w:lineRule="auto"/>
            </w:pPr>
            <w:r>
              <w:rPr>
                <w:b/>
                <w:sz w:val="15"/>
              </w:rPr>
              <w:t>Projektanpassung</w:t>
            </w:r>
          </w:p>
          <w:p>
            <w:pPr>
              <w:spacing w:after="0"/>
            </w:pPr>
            <w:r>
              <w:rPr>
                <w:sz w:val="15"/>
              </w:rPr>
              <w:t>Klärung nötig</w:t>
            </w:r>
          </w:p>
          <w:p>
            <w:pPr>
              <w:spacing w:after="0"/>
            </w:pPr>
            <w:r>
              <w:rPr>
                <w:sz w:val="15"/>
              </w:rPr>
              <w:t>→ OP-13</w:t>
            </w:r>
          </w:p>
        </w:tc>
      </w:tr>
      <w:tr>
        <w:tc>
          <w:tcPr>
            <w:tcW w:type="dxa" w:w="510"/>
          </w:tcPr>
          <w:p>
            <w:pPr>
              <w:spacing w:after="0" w:line="252" w:lineRule="auto"/>
            </w:pPr>
            <w:r>
              <w:rPr>
                <w:sz w:val="15"/>
              </w:rPr>
              <w:t>4.14</w:t>
            </w:r>
          </w:p>
        </w:tc>
        <w:tc>
          <w:tcPr>
            <w:tcW w:type="dxa" w:w="2154"/>
          </w:tcPr>
          <w:p>
            <w:pPr>
              <w:spacing w:after="0" w:line="252" w:lineRule="auto"/>
            </w:pPr>
            <w:r>
              <w:rPr>
                <w:sz w:val="15"/>
              </w:rPr>
              <w:t>Fehlerereignisse und Behebung dokumentieren</w:t>
            </w:r>
          </w:p>
        </w:tc>
        <w:tc>
          <w:tcPr>
            <w:tcW w:type="dxa" w:w="454"/>
          </w:tcPr>
          <w:p>
            <w:pPr>
              <w:spacing w:after="0" w:line="252" w:lineRule="auto"/>
            </w:pPr>
            <w:r>
              <w:rPr>
                <w:sz w:val="15"/>
              </w:rPr>
              <w:t>W</w:t>
            </w:r>
          </w:p>
        </w:tc>
        <w:tc>
          <w:tcPr>
            <w:tcW w:type="dxa" w:w="4762"/>
          </w:tcPr>
          <w:p>
            <w:pPr>
              <w:spacing w:after="0" w:line="252" w:lineRule="auto"/>
            </w:pPr>
            <w:r>
              <w:rPr>
                <w:sz w:val="15"/>
              </w:rPr>
              <w:t xml:space="preserve">WAMAS: Kommentar und Bearbeiter im Fehlerprotokoll </w:t>
            </w:r>
            <w:r>
              <w:rPr>
                <w:b/>
                <w:sz w:val="15"/>
              </w:rPr>
              <w:t>DI003</w:t>
            </w:r>
            <w:r>
              <w:rPr>
                <w:sz w:val="15"/>
              </w:rPr>
              <w:t>. Auswertbare Fehlerdokumentation über BPE und WAMAS hinweg (bsb) festzulegen.</w:t>
            </w:r>
          </w:p>
        </w:tc>
        <w:tc>
          <w:tcPr>
            <w:tcW w:type="dxa" w:w="1644"/>
          </w:tcPr>
          <w:p>
            <w:pPr>
              <w:spacing w:after="0" w:line="252" w:lineRule="auto"/>
            </w:pPr>
            <w:r>
              <w:rPr>
                <w:b/>
                <w:sz w:val="15"/>
              </w:rPr>
              <w:t>Standard</w:t>
            </w:r>
          </w:p>
          <w:p>
            <w:pPr>
              <w:spacing w:after="0"/>
            </w:pPr>
            <w:r>
              <w:rPr>
                <w:sz w:val="15"/>
              </w:rPr>
              <w:t>Projektanpassung</w:t>
            </w:r>
          </w:p>
          <w:p>
            <w:pPr>
              <w:spacing w:after="0"/>
            </w:pPr>
            <w:r>
              <w:rPr>
                <w:sz w:val="15"/>
              </w:rPr>
              <w:t>→ OP-13</w:t>
            </w:r>
          </w:p>
        </w:tc>
      </w:tr>
      <w:tr>
        <w:tc>
          <w:tcPr>
            <w:tcW w:type="dxa" w:w="510"/>
          </w:tcPr>
          <w:p>
            <w:pPr>
              <w:spacing w:after="0" w:line="252" w:lineRule="auto"/>
            </w:pPr>
            <w:r>
              <w:rPr>
                <w:sz w:val="15"/>
              </w:rPr>
              <w:t>4.15</w:t>
            </w:r>
          </w:p>
        </w:tc>
        <w:tc>
          <w:tcPr>
            <w:tcW w:type="dxa" w:w="2154"/>
          </w:tcPr>
          <w:p>
            <w:pPr>
              <w:spacing w:after="0" w:line="252" w:lineRule="auto"/>
            </w:pPr>
            <w:r>
              <w:rPr>
                <w:sz w:val="15"/>
              </w:rPr>
              <w:t>Mindestens täglicher automatisierter Bestandsabgleich Abacus–WAMAS</w:t>
            </w:r>
          </w:p>
        </w:tc>
        <w:tc>
          <w:tcPr>
            <w:tcW w:type="dxa" w:w="454"/>
          </w:tcPr>
          <w:p>
            <w:pPr>
              <w:spacing w:after="0" w:line="252" w:lineRule="auto"/>
            </w:pPr>
            <w:r>
              <w:rPr>
                <w:sz w:val="15"/>
              </w:rPr>
              <w:t>W</w:t>
            </w:r>
          </w:p>
        </w:tc>
        <w:tc>
          <w:tcPr>
            <w:tcW w:type="dxa" w:w="4762"/>
          </w:tcPr>
          <w:p>
            <w:pPr>
              <w:spacing w:after="0" w:line="252" w:lineRule="auto"/>
            </w:pPr>
            <w:r>
              <w:rPr>
                <w:sz w:val="15"/>
              </w:rPr>
              <w:t xml:space="preserve">Standard-Bestandsbericht: </w:t>
            </w:r>
            <w:r>
              <w:rPr>
                <w:rFonts w:ascii="Consolas" w:hAnsi="Consolas" w:cs="Consolas" w:eastAsia="Consolas"/>
                <w:sz w:val="13"/>
              </w:rPr>
              <w:t>WLSSTOCKREQ002</w:t>
            </w:r>
            <w:r>
              <w:rPr>
                <w:sz w:val="15"/>
              </w:rPr>
              <w:t xml:space="preserve"> → </w:t>
            </w:r>
            <w:r>
              <w:rPr>
                <w:rFonts w:ascii="Consolas" w:hAnsi="Consolas" w:cs="Consolas" w:eastAsia="Consolas"/>
                <w:sz w:val="13"/>
              </w:rPr>
              <w:t>WLSSTOCKBEGIN001</w:t>
            </w:r>
            <w:r>
              <w:rPr>
                <w:sz w:val="15"/>
              </w:rPr>
              <w:t xml:space="preserve">, </w:t>
            </w:r>
            <w:r>
              <w:rPr>
                <w:rFonts w:ascii="Consolas" w:hAnsi="Consolas" w:cs="Consolas" w:eastAsia="Consolas"/>
                <w:sz w:val="13"/>
              </w:rPr>
              <w:t>WLSSTOCKACK002</w:t>
            </w:r>
            <w:r>
              <w:rPr>
                <w:sz w:val="15"/>
              </w:rPr>
              <w:t xml:space="preserve">, </w:t>
            </w:r>
            <w:r>
              <w:rPr>
                <w:rFonts w:ascii="Consolas" w:hAnsi="Consolas" w:cs="Consolas" w:eastAsia="Consolas"/>
                <w:sz w:val="13"/>
              </w:rPr>
              <w:t>WLSSTOCKEND001</w:t>
            </w:r>
            <w:r>
              <w:rPr>
                <w:sz w:val="15"/>
              </w:rPr>
              <w:t>. Vergleich, Excel-Protokoll und Versand in BPE bzw. REST (Kap. 8.5).</w:t>
            </w:r>
          </w:p>
        </w:tc>
        <w:tc>
          <w:tcPr>
            <w:tcW w:type="dxa" w:w="1644"/>
          </w:tcPr>
          <w:p>
            <w:pPr>
              <w:spacing w:after="0" w:line="252" w:lineRule="auto"/>
            </w:pPr>
            <w:r>
              <w:rPr>
                <w:b/>
                <w:sz w:val="15"/>
              </w:rPr>
              <w:t>Standard</w:t>
            </w:r>
          </w:p>
          <w:p>
            <w:pPr>
              <w:spacing w:after="0"/>
            </w:pPr>
            <w:r>
              <w:rPr>
                <w:sz w:val="15"/>
              </w:rPr>
              <w:t>Projektanpassung</w:t>
            </w:r>
          </w:p>
          <w:p>
            <w:pPr>
              <w:spacing w:after="0"/>
            </w:pPr>
            <w:r>
              <w:rPr>
                <w:sz w:val="15"/>
              </w:rPr>
              <w:t>→ OP-12</w:t>
            </w:r>
          </w:p>
        </w:tc>
      </w:tr>
    </w:tbl>
    <w:p>
      <w:pPr>
        <w:pStyle w:val="BeschriftungSSI"/>
      </w:pPr>
      <w:r>
        <w:t>Tab. 3.4: Lösungsbeschreibung je Anforderung, Gruppe 4 (16 Anforderungen)</w:t>
      </w:r>
    </w:p>
    <w:p>
      <w:pPr>
        <w:pStyle w:val="Quelle"/>
      </w:pPr>
      <w:r>
        <w:rPr>
          <w:b/>
        </w:rPr>
        <w:t xml:space="preserve">Quelle: </w:t>
      </w:r>
      <w:r>
        <w:rPr>
          <w:sz w:val="17"/>
        </w:rPr>
        <w:t>Lastenheft 3796/0001, Kap. 3 (S. 15–21); Administratorhandbuch 2.7 (AH) Kap. 3.1.10–3.1.17, 3.3, 3.5.1, 3.6.1, 3.6.10; Administrator Manual 2.8 (AM) Kap. 3.1.18, 3.3.8.3, 3.6.1.9; Benutzerhandbuch 2.7 (BH) Kap. 4.1, 6.3; User Manual 2.8 (UM) Kap. 5.5, 6.3; Interface Manual WLS–ERP 2.8 (IM) Kap. 5–11</w:t>
      </w:r>
    </w:p>
    <w:p>
      <w:pPr>
        <w:pStyle w:val="Heading1"/>
      </w:pPr>
      <w:r>
        <w:t>4 Systemabgrenzung Abacus / WAMAS</w:t>
      </w:r>
    </w:p>
    <w:p>
      <w:pPr>
        <w:pStyle w:val="Heading2"/>
      </w:pPr>
      <w:r>
        <w:t>4.1 Systemlandschaft</w:t>
      </w:r>
    </w:p>
    <w:p>
      <w:pPr>
        <w:pStyle w:val="ListBullet"/>
      </w:pPr>
      <w:r>
        <w:rPr>
          <w:b/>
        </w:rPr>
        <w:t>Abacus</w:t>
      </w:r>
      <w:r>
        <w:t xml:space="preserve"> (ERP, führend): Stammdaten, Aufträge, übergeordnete Lagerorte (WAM, WEP, REP, Aussenlager usw.), Wareneingangsbuchung, ERP-relevante Warenbewegungen, PPS-Disposition.</w:t>
      </w:r>
    </w:p>
    <w:p>
      <w:pPr>
        <w:pStyle w:val="ListBullet"/>
      </w:pPr>
      <w:r>
        <w:rPr>
          <w:b/>
        </w:rPr>
        <w:t>BSB-Schnittstelle (bsb, XML/BPE)</w:t>
      </w:r>
      <w:r>
        <w:t>: bestehender datei-/verzeichnisbasierter Austausch zwischen Abacus und WAMAS, heute für Logimat. Wird für die manuellen Bereiche erweitert (Lastenheft 4.12, «BSB unterstützend»).</w:t>
      </w:r>
    </w:p>
    <w:p>
      <w:pPr>
        <w:pStyle w:val="ListBullet"/>
      </w:pPr>
      <w:r>
        <w:rPr>
          <w:b/>
        </w:rPr>
        <w:t>WAMAS Lift &amp; Store 2.8</w:t>
      </w:r>
      <w:r>
        <w:t xml:space="preserve"> (operativ): Logimat sowie die manuellen Lagerplätze des Hauptlagers als externe Lagerplätze; Mobil-Client für scannergeführte Prozesse, Desktop-Client für Übersichten und Administration, Touch-Client am Logimat.</w:t>
      </w:r>
    </w:p>
    <w:p>
      <w:pPr>
        <w:pStyle w:val="ListBullet"/>
      </w:pPr>
      <w:r>
        <w:rPr>
          <w:b/>
        </w:rPr>
        <w:t>Peripherie</w:t>
      </w:r>
      <w:r>
        <w:t>: mobile Scanner (QR-fähig), mobile Etikettendrucker, Lagerplatzetiketten.</w:t>
      </w:r>
    </w:p>
    <w:p>
      <w:r>
        <w:t>Ablauf im Grundsatz: Abacus → BPE → WAMAS → operative Bearbeitung (Scanner) → Rückmeldung WAMAS → BPE → Abacus.</w:t>
      </w:r>
    </w:p>
    <w:p>
      <w:pPr>
        <w:pStyle w:val="Quelle"/>
      </w:pPr>
      <w:r>
        <w:rPr>
          <w:b/>
        </w:rPr>
        <w:t xml:space="preserve">Quelle: </w:t>
      </w:r>
      <w:r>
        <w:rPr>
          <w:sz w:val="17"/>
        </w:rPr>
        <w:t>Lastenheft 3796/0001, Kap. 2.1, 2.2.18; AH 2.7 Kap. 3.1.13</w:t>
      </w:r>
    </w:p>
    <w:p>
      <w:pPr>
        <w:pStyle w:val="Heading2"/>
      </w:pPr>
      <w:r>
        <w:t>4.2 Datenführerschaft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35"/>
        <w:gridCol w:w="1474"/>
        <w:gridCol w:w="5216"/>
      </w:tblGrid>
      <w:tr>
        <w:trPr>
          <w:tblHeader w:val="true"/>
        </w:trPr>
        <w:tc>
          <w:tcPr>
            <w:tcW w:type="dxa" w:w="2835"/>
            <w:shd w:val="clear" w:color="auto" w:fill="FEEE19"/>
          </w:tcPr>
          <w:p>
            <w:pPr>
              <w:spacing w:after="0"/>
            </w:pPr>
            <w:r>
              <w:rPr>
                <w:b/>
                <w:sz w:val="17"/>
              </w:rPr>
              <w:t>Information</w:t>
            </w:r>
          </w:p>
        </w:tc>
        <w:tc>
          <w:tcPr>
            <w:tcW w:type="dxa" w:w="1474"/>
            <w:shd w:val="clear" w:color="auto" w:fill="FEEE19"/>
          </w:tcPr>
          <w:p>
            <w:pPr>
              <w:spacing w:after="0"/>
            </w:pPr>
            <w:r>
              <w:rPr>
                <w:b/>
                <w:sz w:val="17"/>
              </w:rPr>
              <w:t>Führend</w:t>
            </w:r>
          </w:p>
        </w:tc>
        <w:tc>
          <w:tcPr>
            <w:tcW w:type="dxa" w:w="5216"/>
            <w:shd w:val="clear" w:color="auto" w:fill="FEEE19"/>
          </w:tcPr>
          <w:p>
            <w:pPr>
              <w:spacing w:after="0"/>
            </w:pPr>
            <w:r>
              <w:rPr>
                <w:b/>
                <w:sz w:val="17"/>
              </w:rPr>
              <w:t>Bemerkung</w:t>
            </w:r>
          </w:p>
        </w:tc>
      </w:tr>
      <w:tr>
        <w:tc>
          <w:tcPr>
            <w:tcW w:type="dxa" w:w="2835"/>
          </w:tcPr>
          <w:p>
            <w:pPr>
              <w:spacing w:after="0" w:line="252" w:lineRule="auto"/>
            </w:pPr>
            <w:r>
              <w:rPr>
                <w:sz w:val="17"/>
              </w:rPr>
              <w:t>Artikelstamm, Chargen-/SN-Pflicht, Artikelmasse</w:t>
            </w:r>
          </w:p>
        </w:tc>
        <w:tc>
          <w:tcPr>
            <w:tcW w:type="dxa" w:w="1474"/>
          </w:tcPr>
          <w:p>
            <w:pPr>
              <w:spacing w:after="0" w:line="252" w:lineRule="auto"/>
            </w:pPr>
            <w:r>
              <w:rPr>
                <w:sz w:val="17"/>
              </w:rPr>
              <w:t>Abacus</w:t>
            </w:r>
          </w:p>
        </w:tc>
        <w:tc>
          <w:tcPr>
            <w:tcW w:type="dxa" w:w="5216"/>
          </w:tcPr>
          <w:p>
            <w:pPr>
              <w:spacing w:after="0" w:line="252" w:lineRule="auto"/>
            </w:pPr>
            <w:r>
              <w:rPr>
                <w:sz w:val="17"/>
              </w:rPr>
              <w:t>Übertragung an WAMAS (</w:t>
            </w:r>
            <w:r>
              <w:rPr>
                <w:rFonts w:ascii="Consolas" w:hAnsi="Consolas" w:cs="Consolas" w:eastAsia="Consolas"/>
                <w:sz w:val="15"/>
              </w:rPr>
              <w:t>WLSITEM001</w:t>
            </w:r>
            <w:r>
              <w:rPr>
                <w:sz w:val="17"/>
              </w:rPr>
              <w:t xml:space="preserve"> ff.); Kennzeichen für manuelle/Logimat-Lagerung zu klären (→ OP-01)</w:t>
            </w:r>
          </w:p>
        </w:tc>
      </w:tr>
      <w:tr>
        <w:tc>
          <w:tcPr>
            <w:tcW w:type="dxa" w:w="2835"/>
          </w:tcPr>
          <w:p>
            <w:pPr>
              <w:spacing w:after="0" w:line="252" w:lineRule="auto"/>
            </w:pPr>
            <w:r>
              <w:rPr>
                <w:sz w:val="17"/>
              </w:rPr>
              <w:t>Aufträge (WE, Kommissionierung, WA, Nachrüstung, Inventur)</w:t>
            </w:r>
          </w:p>
        </w:tc>
        <w:tc>
          <w:tcPr>
            <w:tcW w:type="dxa" w:w="1474"/>
          </w:tcPr>
          <w:p>
            <w:pPr>
              <w:spacing w:after="0" w:line="252" w:lineRule="auto"/>
            </w:pPr>
            <w:r>
              <w:rPr>
                <w:sz w:val="17"/>
              </w:rPr>
              <w:t>Abacus</w:t>
            </w:r>
          </w:p>
        </w:tc>
        <w:tc>
          <w:tcPr>
            <w:tcW w:type="dxa" w:w="5216"/>
          </w:tcPr>
          <w:p>
            <w:pPr>
              <w:spacing w:after="0" w:line="252" w:lineRule="auto"/>
            </w:pPr>
            <w:r>
              <w:rPr>
                <w:sz w:val="17"/>
              </w:rPr>
              <w:t>WAMAS erhält Bedarfe und quittiert</w:t>
            </w:r>
          </w:p>
        </w:tc>
      </w:tr>
      <w:tr>
        <w:tc>
          <w:tcPr>
            <w:tcW w:type="dxa" w:w="2835"/>
          </w:tcPr>
          <w:p>
            <w:pPr>
              <w:spacing w:after="0" w:line="252" w:lineRule="auto"/>
            </w:pPr>
            <w:r>
              <w:rPr>
                <w:sz w:val="17"/>
              </w:rPr>
              <w:t>Übergeordnete Lagerorte (WAM, WEP, REP, Aussenlager, ggf. WAM-Sperrlager/-SER/-GE)</w:t>
            </w:r>
          </w:p>
        </w:tc>
        <w:tc>
          <w:tcPr>
            <w:tcW w:type="dxa" w:w="1474"/>
          </w:tcPr>
          <w:p>
            <w:pPr>
              <w:spacing w:after="0" w:line="252" w:lineRule="auto"/>
            </w:pPr>
            <w:r>
              <w:rPr>
                <w:sz w:val="17"/>
              </w:rPr>
              <w:t>Abacus</w:t>
            </w:r>
          </w:p>
        </w:tc>
        <w:tc>
          <w:tcPr>
            <w:tcW w:type="dxa" w:w="5216"/>
          </w:tcPr>
          <w:p>
            <w:pPr>
              <w:spacing w:after="0" w:line="252" w:lineRule="auto"/>
            </w:pPr>
            <w:r>
              <w:rPr>
                <w:sz w:val="17"/>
              </w:rPr>
              <w:t>Mapping auf WAMAS siehe Kap. 5</w:t>
            </w:r>
          </w:p>
        </w:tc>
      </w:tr>
      <w:tr>
        <w:tc>
          <w:tcPr>
            <w:tcW w:type="dxa" w:w="2835"/>
          </w:tcPr>
          <w:p>
            <w:pPr>
              <w:spacing w:after="0" w:line="252" w:lineRule="auto"/>
            </w:pPr>
            <w:r>
              <w:rPr>
                <w:sz w:val="17"/>
              </w:rPr>
              <w:t>Wareneingangsbuchung, ERP-relevante Bewegungen, Kostenstellenbuchungen</w:t>
            </w:r>
          </w:p>
        </w:tc>
        <w:tc>
          <w:tcPr>
            <w:tcW w:type="dxa" w:w="1474"/>
          </w:tcPr>
          <w:p>
            <w:pPr>
              <w:spacing w:after="0" w:line="252" w:lineRule="auto"/>
            </w:pPr>
            <w:r>
              <w:rPr>
                <w:sz w:val="17"/>
              </w:rPr>
              <w:t>Abacus</w:t>
            </w:r>
          </w:p>
        </w:tc>
        <w:tc>
          <w:tcPr>
            <w:tcW w:type="dxa" w:w="5216"/>
          </w:tcPr>
          <w:p>
            <w:pPr>
              <w:spacing w:after="0" w:line="252" w:lineRule="auto"/>
            </w:pPr>
            <w:r>
              <w:rPr>
                <w:sz w:val="17"/>
              </w:rPr>
              <w:t>Auslöser aus WAMAS-Rückmeldungen</w:t>
            </w:r>
          </w:p>
        </w:tc>
      </w:tr>
      <w:tr>
        <w:tc>
          <w:tcPr>
            <w:tcW w:type="dxa" w:w="2835"/>
          </w:tcPr>
          <w:p>
            <w:pPr>
              <w:spacing w:after="0" w:line="252" w:lineRule="auto"/>
            </w:pPr>
            <w:r>
              <w:rPr>
                <w:sz w:val="17"/>
              </w:rPr>
              <w:t>Physische Lagerplätze innerhalb WAM, Platzstammdaten (Höhe, Reihenfolgen)</w:t>
            </w:r>
          </w:p>
        </w:tc>
        <w:tc>
          <w:tcPr>
            <w:tcW w:type="dxa" w:w="1474"/>
          </w:tcPr>
          <w:p>
            <w:pPr>
              <w:spacing w:after="0" w:line="252" w:lineRule="auto"/>
            </w:pPr>
            <w:r>
              <w:rPr>
                <w:sz w:val="17"/>
              </w:rPr>
              <w:t>WAMAS</w:t>
            </w:r>
          </w:p>
        </w:tc>
        <w:tc>
          <w:tcPr>
            <w:tcW w:type="dxa" w:w="5216"/>
          </w:tcPr>
          <w:p>
            <w:pPr>
              <w:spacing w:after="0" w:line="252" w:lineRule="auto"/>
            </w:pPr>
            <w:r>
              <w:rPr>
                <w:sz w:val="17"/>
              </w:rPr>
              <w:t>Aus Lagerstruktur-Excel (Kap. 6)</w:t>
            </w:r>
          </w:p>
        </w:tc>
      </w:tr>
      <w:tr>
        <w:tc>
          <w:tcPr>
            <w:tcW w:type="dxa" w:w="2835"/>
          </w:tcPr>
          <w:p>
            <w:pPr>
              <w:spacing w:after="0" w:line="252" w:lineRule="auto"/>
            </w:pPr>
            <w:r>
              <w:rPr>
                <w:sz w:val="17"/>
              </w:rPr>
              <w:t>Bestand je Lagerplatz (Menge, Charge, Seriennummer)</w:t>
            </w:r>
          </w:p>
        </w:tc>
        <w:tc>
          <w:tcPr>
            <w:tcW w:type="dxa" w:w="1474"/>
          </w:tcPr>
          <w:p>
            <w:pPr>
              <w:spacing w:after="0" w:line="252" w:lineRule="auto"/>
            </w:pPr>
            <w:r>
              <w:rPr>
                <w:sz w:val="17"/>
              </w:rPr>
              <w:t>WAMAS</w:t>
            </w:r>
          </w:p>
        </w:tc>
        <w:tc>
          <w:tcPr>
            <w:tcW w:type="dxa" w:w="5216"/>
          </w:tcPr>
          <w:p>
            <w:pPr>
              <w:spacing w:after="0" w:line="252" w:lineRule="auto"/>
            </w:pPr>
            <w:r>
              <w:rPr>
                <w:sz w:val="17"/>
              </w:rPr>
              <w:t>Abacus kennt nur den Lagerort</w:t>
            </w:r>
          </w:p>
        </w:tc>
      </w:tr>
      <w:tr>
        <w:tc>
          <w:tcPr>
            <w:tcW w:type="dxa" w:w="2835"/>
          </w:tcPr>
          <w:p>
            <w:pPr>
              <w:spacing w:after="0" w:line="252" w:lineRule="auto"/>
            </w:pPr>
            <w:r>
              <w:rPr>
                <w:sz w:val="17"/>
              </w:rPr>
              <w:t>Umlagerungen innerhalb WAM</w:t>
            </w:r>
          </w:p>
        </w:tc>
        <w:tc>
          <w:tcPr>
            <w:tcW w:type="dxa" w:w="1474"/>
          </w:tcPr>
          <w:p>
            <w:pPr>
              <w:spacing w:after="0" w:line="252" w:lineRule="auto"/>
            </w:pPr>
            <w:r>
              <w:rPr>
                <w:sz w:val="17"/>
              </w:rPr>
              <w:t>WAMAS</w:t>
            </w:r>
          </w:p>
        </w:tc>
        <w:tc>
          <w:tcPr>
            <w:tcW w:type="dxa" w:w="5216"/>
          </w:tcPr>
          <w:p>
            <w:pPr>
              <w:spacing w:after="0" w:line="252" w:lineRule="auto"/>
            </w:pPr>
            <w:r>
              <w:rPr>
                <w:sz w:val="17"/>
              </w:rPr>
              <w:t>Keine Lagerortumbuchung in Abacus (Lastenheft 3.21)</w:t>
            </w:r>
          </w:p>
        </w:tc>
      </w:tr>
      <w:tr>
        <w:tc>
          <w:tcPr>
            <w:tcW w:type="dxa" w:w="2835"/>
          </w:tcPr>
          <w:p>
            <w:pPr>
              <w:spacing w:after="0" w:line="252" w:lineRule="auto"/>
            </w:pPr>
            <w:r>
              <w:rPr>
                <w:sz w:val="17"/>
              </w:rPr>
              <w:t>Lagerplatzfindung und -optimierung</w:t>
            </w:r>
          </w:p>
        </w:tc>
        <w:tc>
          <w:tcPr>
            <w:tcW w:type="dxa" w:w="1474"/>
          </w:tcPr>
          <w:p>
            <w:pPr>
              <w:spacing w:after="0" w:line="252" w:lineRule="auto"/>
            </w:pPr>
            <w:r>
              <w:rPr>
                <w:sz w:val="17"/>
              </w:rPr>
              <w:t>WAMAS</w:t>
            </w:r>
          </w:p>
        </w:tc>
        <w:tc>
          <w:tcPr>
            <w:tcW w:type="dxa" w:w="5216"/>
          </w:tcPr>
          <w:p>
            <w:pPr>
              <w:spacing w:after="0" w:line="252" w:lineRule="auto"/>
            </w:pPr>
            <w:r>
              <w:rPr>
                <w:sz w:val="17"/>
              </w:rPr>
              <w:t>Strategien Kap. 7.1</w:t>
            </w:r>
          </w:p>
        </w:tc>
      </w:tr>
      <w:tr>
        <w:tc>
          <w:tcPr>
            <w:tcW w:type="dxa" w:w="2835"/>
          </w:tcPr>
          <w:p>
            <w:pPr>
              <w:spacing w:after="0" w:line="252" w:lineRule="auto"/>
            </w:pPr>
            <w:r>
              <w:rPr>
                <w:sz w:val="17"/>
              </w:rPr>
              <w:t>Benutzer und Rollen WAMAS</w:t>
            </w:r>
          </w:p>
        </w:tc>
        <w:tc>
          <w:tcPr>
            <w:tcW w:type="dxa" w:w="1474"/>
          </w:tcPr>
          <w:p>
            <w:pPr>
              <w:spacing w:after="0" w:line="252" w:lineRule="auto"/>
            </w:pPr>
            <w:r>
              <w:rPr>
                <w:sz w:val="17"/>
              </w:rPr>
              <w:t>WAMAS</w:t>
            </w:r>
          </w:p>
        </w:tc>
        <w:tc>
          <w:tcPr>
            <w:tcW w:type="dxa" w:w="5216"/>
          </w:tcPr>
          <w:p>
            <w:pPr>
              <w:spacing w:after="0" w:line="252" w:lineRule="auto"/>
            </w:pPr>
            <w:r>
              <w:rPr>
                <w:sz w:val="17"/>
              </w:rPr>
              <w:t>Zentrale Benutzerverwaltung (→ OP-19 Verzeichnisdienst)</w:t>
            </w:r>
          </w:p>
        </w:tc>
      </w:tr>
      <w:tr>
        <w:tc>
          <w:tcPr>
            <w:tcW w:type="dxa" w:w="2835"/>
          </w:tcPr>
          <w:p>
            <w:pPr>
              <w:spacing w:after="0" w:line="252" w:lineRule="auto"/>
            </w:pPr>
            <w:r>
              <w:rPr>
                <w:sz w:val="17"/>
              </w:rPr>
              <w:t>Bestandsklassifizierung (frei/gesperrt/QS)</w:t>
            </w:r>
          </w:p>
        </w:tc>
        <w:tc>
          <w:tcPr>
            <w:tcW w:type="dxa" w:w="1474"/>
          </w:tcPr>
          <w:p>
            <w:pPr>
              <w:spacing w:after="0" w:line="252" w:lineRule="auto"/>
            </w:pPr>
            <w:r>
              <w:rPr>
                <w:sz w:val="17"/>
              </w:rPr>
              <w:t>zu klären</w:t>
            </w:r>
          </w:p>
        </w:tc>
        <w:tc>
          <w:tcPr>
            <w:tcW w:type="dxa" w:w="5216"/>
          </w:tcPr>
          <w:p>
            <w:pPr>
              <w:spacing w:after="0" w:line="252" w:lineRule="auto"/>
            </w:pPr>
            <w:r>
              <w:rPr>
                <w:sz w:val="17"/>
              </w:rPr>
              <w:t>Abhängig von Variantenentscheid Kap. 5.4 (→ OP-05)</w:t>
            </w:r>
          </w:p>
        </w:tc>
      </w:tr>
    </w:tbl>
    <w:p>
      <w:pPr>
        <w:pStyle w:val="BeschriftungSSI"/>
      </w:pPr>
      <w:r>
        <w:t>Tab. 3: Datenführerschaft (Entwurf)</w:t>
      </w:r>
    </w:p>
    <w:p>
      <w:pPr>
        <w:pStyle w:val="Heading2"/>
      </w:pPr>
      <w:r>
        <w:t>4.3 Verantwortlichkeiten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27"/>
        <w:gridCol w:w="7597"/>
      </w:tblGrid>
      <w:tr>
        <w:trPr>
          <w:tblHeader w:val="true"/>
        </w:trPr>
        <w:tc>
          <w:tcPr>
            <w:tcW w:type="dxa" w:w="1928"/>
            <w:shd w:val="clear" w:color="auto" w:fill="FEEE19"/>
          </w:tcPr>
          <w:p>
            <w:pPr>
              <w:spacing w:after="0"/>
            </w:pPr>
            <w:r>
              <w:rPr>
                <w:b/>
                <w:sz w:val="17"/>
              </w:rPr>
              <w:t>Partei</w:t>
            </w:r>
          </w:p>
        </w:tc>
        <w:tc>
          <w:tcPr>
            <w:tcW w:type="dxa" w:w="7597"/>
            <w:shd w:val="clear" w:color="auto" w:fill="FEEE19"/>
          </w:tcPr>
          <w:p>
            <w:pPr>
              <w:spacing w:after="0"/>
            </w:pPr>
            <w:r>
              <w:rPr>
                <w:b/>
                <w:sz w:val="17"/>
              </w:rPr>
              <w:t>Aufgaben (Entwurf)</w:t>
            </w:r>
          </w:p>
        </w:tc>
      </w:tr>
      <w:tr>
        <w:tc>
          <w:tcPr>
            <w:tcW w:type="dxa" w:w="1928"/>
          </w:tcPr>
          <w:p>
            <w:pPr>
              <w:spacing w:after="0" w:line="252" w:lineRule="auto"/>
            </w:pPr>
            <w:r>
              <w:rPr>
                <w:sz w:val="17"/>
              </w:rPr>
              <w:t>Brütsch Technology AG</w:t>
            </w:r>
          </w:p>
        </w:tc>
        <w:tc>
          <w:tcPr>
            <w:tcW w:type="dxa" w:w="7597"/>
          </w:tcPr>
          <w:p>
            <w:pPr>
              <w:spacing w:after="0" w:line="252" w:lineRule="auto"/>
            </w:pPr>
            <w:r>
              <w:rPr>
                <w:sz w:val="17"/>
              </w:rPr>
              <w:t>Lastenheft, Abacus-Anpassungen (Lagerorte, Auftragsarten, Artikelkennzeichen), Stammdaten, Lagerstruktur, QR-Format, Berechtigungskonzept, SOPs, Validierung (QM), IT-Infrastruktur, Abnahme</w:t>
            </w:r>
          </w:p>
        </w:tc>
      </w:tr>
      <w:tr>
        <w:tc>
          <w:tcPr>
            <w:tcW w:type="dxa" w:w="1928"/>
          </w:tcPr>
          <w:p>
            <w:pPr>
              <w:spacing w:after="0" w:line="252" w:lineRule="auto"/>
            </w:pPr>
            <w:r>
              <w:rPr>
                <w:sz w:val="17"/>
              </w:rPr>
              <w:t>SSI SCHÄFER</w:t>
            </w:r>
          </w:p>
        </w:tc>
        <w:tc>
          <w:tcPr>
            <w:tcW w:type="dxa" w:w="7597"/>
          </w:tcPr>
          <w:p>
            <w:pPr>
              <w:spacing w:after="0" w:line="252" w:lineRule="auto"/>
            </w:pPr>
            <w:r>
              <w:rPr>
                <w:sz w:val="17"/>
              </w:rPr>
              <w:t>Pflichtenheft, WAMAS-Konfiguration (Zone, Lagerplätze, Strategien, Bedarfstypen, Rechte), Projektanpassungen WAMAS, Etikettenlayouts, Test- und Schulungsunterstützung, Validierungsdokumente zum System (Umfang zu klären)</w:t>
            </w:r>
          </w:p>
        </w:tc>
      </w:tr>
      <w:tr>
        <w:tc>
          <w:tcPr>
            <w:tcW w:type="dxa" w:w="1928"/>
          </w:tcPr>
          <w:p>
            <w:pPr>
              <w:spacing w:after="0" w:line="252" w:lineRule="auto"/>
            </w:pPr>
            <w:r>
              <w:rPr>
                <w:sz w:val="17"/>
              </w:rPr>
              <w:t>bsb</w:t>
            </w:r>
          </w:p>
        </w:tc>
        <w:tc>
          <w:tcPr>
            <w:tcW w:type="dxa" w:w="7597"/>
          </w:tcPr>
          <w:p>
            <w:pPr>
              <w:spacing w:after="0" w:line="252" w:lineRule="auto"/>
            </w:pPr>
            <w:r>
              <w:rPr>
                <w:sz w:val="17"/>
              </w:rPr>
              <w:t>Erweiterung der BPE-Prozesse (Routing, neue Satzarten/Lagerorte), Fehlerhandling und Notifikation, Bestandsabgleich (Lastenheft 4.12–4.15)</w:t>
            </w:r>
          </w:p>
        </w:tc>
      </w:tr>
    </w:tbl>
    <w:p>
      <w:pPr>
        <w:pStyle w:val="BeschriftungSSI"/>
      </w:pPr>
      <w:r>
        <w:t>Tab. 4: Verantwortlichkeiten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Leistungsabgrenzung</w:t>
            </w:r>
          </w:p>
          <w:p>
            <w:pPr>
              <w:spacing w:after="40"/>
            </w:pPr>
            <w:r>
              <w:rPr>
                <w:sz w:val="19"/>
              </w:rPr>
              <w:t>Die Aufteilung zwischen SSI SCHÄFER und bsb sowie der Umfang der SSI-Leistungen für die Validierung sind im Lastenheft nicht festgelegt.</w:t>
            </w:r>
          </w:p>
        </w:tc>
      </w:tr>
    </w:tbl>
    <w:p>
      <w:pPr>
        <w:spacing w:after="40"/>
      </w:pPr>
    </w:p>
    <w:p>
      <w:pPr>
        <w:pStyle w:val="Heading1"/>
      </w:pPr>
      <w:r>
        <w:t>5 Lagerorte und Bestandsstatus</w:t>
      </w:r>
    </w:p>
    <w:p>
      <w:pPr>
        <w:pStyle w:val="Heading2"/>
      </w:pPr>
      <w:r>
        <w:t>5.1 Lagerort WAM</w:t>
      </w:r>
    </w:p>
    <w:p>
      <w:r>
        <w:t xml:space="preserve">Alle für die PPS verfügbaren Bestände ausserhalb von WEP, REP und externen Aussenlagern werden in Abacus unter </w:t>
      </w:r>
      <w:r>
        <w:rPr>
          <w:b/>
        </w:rPr>
        <w:t>WAM</w:t>
      </w:r>
      <w:r>
        <w:t xml:space="preserve"> geführt. WAM umfasst künftig den Logimat und die manuellen Lagerplätze des Hauptlagers. In WAMAS werden die manuellen Plätze als externe Lagerplätze einer WAMAS-Lift-&amp;-Store-Zone angelegt (Lagerplatzgruppen je Bereich, Kap. 6.2). Abacus zeigt den Lagerort WAM, WAMAS den konkreten Platz mit Menge, Charge und Seriennummer.</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Artikel in Logimat und Hauptlager</w:t>
            </w:r>
          </w:p>
          <w:p>
            <w:pPr>
              <w:spacing w:after="40"/>
            </w:pPr>
            <w:r>
              <w:rPr>
                <w:sz w:val="19"/>
              </w:rPr>
              <w:t xml:space="preserve">Laut Administratorhandbuch 2.7 und Administrator Manual 2.8 kann ein als </w:t>
            </w:r>
            <w:r>
              <w:rPr>
                <w:b/>
                <w:sz w:val="19"/>
              </w:rPr>
              <w:t>Externer Artikel</w:t>
            </w:r>
            <w:r>
              <w:rPr>
                <w:sz w:val="19"/>
              </w:rPr>
              <w:t xml:space="preserve"> markierter Artikel am Mobilterminal, aber </w:t>
            </w:r>
            <w:r>
              <w:rPr>
                <w:b/>
                <w:sz w:val="19"/>
              </w:rPr>
              <w:t>nicht am Touch-Client</w:t>
            </w:r>
            <w:r>
              <w:rPr>
                <w:sz w:val="19"/>
              </w:rPr>
              <w:t xml:space="preserve"> verarbeitet werden. Artikel, die sowohl im Logimat als auch auf manuellen Plätzen liegen, sind damit nicht ohne Weiteres abbildbar. Version 2.8 bietet Nachschub zwischen externem Lager und SSI LOGIMAT (</w:t>
            </w:r>
            <w:r>
              <w:rPr>
                <w:b/>
                <w:sz w:val="19"/>
              </w:rPr>
              <w:t>LM175</w:t>
            </w:r>
            <w:r>
              <w:rPr>
                <w:sz w:val="19"/>
              </w:rPr>
              <w:t xml:space="preserve">), was auf eine Mischlagerung hindeutet. Das Zusammenspiel ist mit dem Produktmanagement zu klären (→ OP-01). Ausserdem gilt: Als </w:t>
            </w:r>
            <w:r>
              <w:rPr>
                <w:b/>
                <w:sz w:val="19"/>
              </w:rPr>
              <w:t>Grosser Artikel</w:t>
            </w:r>
            <w:r>
              <w:rPr>
                <w:sz w:val="19"/>
              </w:rPr>
              <w:t xml:space="preserve"> markierte Artikel können nicht auf externen Plätzen gelagert werden.</w:t>
            </w:r>
          </w:p>
        </w:tc>
      </w:tr>
    </w:tbl>
    <w:p>
      <w:pPr>
        <w:spacing w:after="40"/>
      </w:pPr>
    </w:p>
    <w:p>
      <w:pPr>
        <w:pStyle w:val="Quelle"/>
      </w:pPr>
      <w:r>
        <w:rPr>
          <w:b/>
        </w:rPr>
        <w:t xml:space="preserve">Quelle: </w:t>
      </w:r>
      <w:r>
        <w:rPr>
          <w:sz w:val="17"/>
        </w:rPr>
        <w:t>Lastenheft 3796/0001, Kap. 2.2.1; AH 2.7 Kap. 3.6.3.7; AM 2.8 Kap. 3.1.11 (Replenishment)</w:t>
      </w:r>
    </w:p>
    <w:p>
      <w:pPr>
        <w:pStyle w:val="Heading2"/>
      </w:pPr>
      <w:r>
        <w:t>5.2 WAM-Sperrlager</w:t>
      </w:r>
    </w:p>
    <w:p>
      <w:r>
        <w:t>Ziel laut Lastenheft: separater Sperrbestand, nicht frei verfügbar, nicht für Kommissionierung und PPS; Zugriff nur für Logistikleitung und QS; Überführung in den freien Bestand nur nach Freigabe durch berechtigte Benutzer; lückenlose Protokollierung. CAPA-Massnahmen zu Lagerung, Sperrung, Freigabe und Rückverfolgbarkeit sind zu berücksichtigen.</w:t>
      </w:r>
    </w:p>
    <w:p>
      <w:r>
        <w:t xml:space="preserve">WAMAS-Bausteine: Die </w:t>
      </w:r>
      <w:r>
        <w:rPr>
          <w:b/>
        </w:rPr>
        <w:t>Bestandsklassifizierung</w:t>
      </w:r>
      <w:r>
        <w:t xml:space="preserve"> klassifiziert Bestand je Klient in Zustände wie gesperrt, normal oder QS-Bestand. Je Klassifizierung kann eingestellt werden, dass Bestandskorrekturen nur mit erweiterten Berechtigungen zulässig sind. Kommissionierbedarfszeilen führen das Feld </w:t>
      </w:r>
      <w:r>
        <w:rPr>
          <w:rFonts w:ascii="Consolas" w:hAnsi="Consolas" w:cs="Consolas" w:eastAsia="Consolas"/>
          <w:sz w:val="18"/>
        </w:rPr>
        <w:t>stockRating</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Bezeichnung und Freigabeprozess</w:t>
            </w:r>
          </w:p>
          <w:p>
            <w:pPr>
              <w:spacing w:after="40"/>
            </w:pPr>
            <w:r>
              <w:rPr>
                <w:sz w:val="19"/>
              </w:rPr>
              <w:t>Das Lastenheft nennt den Lagerort in Kap. 2.2.2 und Nr. 2.7 «WAM-Sperrlager», in Kap. 2.3 «WAM-REP». Die verbindliche Bezeichnung, die betroffenen CAPAs und der Freigabeablauf (wer, mit welchem Nachweis, ggf. elektronische Signatur) sind offen (→ OP-05, OP-07).</w:t>
            </w:r>
          </w:p>
        </w:tc>
      </w:tr>
    </w:tbl>
    <w:p>
      <w:pPr>
        <w:spacing w:after="40"/>
      </w:pPr>
    </w:p>
    <w:p>
      <w:pPr>
        <w:pStyle w:val="Quelle"/>
      </w:pPr>
      <w:r>
        <w:rPr>
          <w:b/>
        </w:rPr>
        <w:t xml:space="preserve">Quelle: </w:t>
      </w:r>
      <w:r>
        <w:rPr>
          <w:sz w:val="17"/>
        </w:rPr>
        <w:t>Lastenheft 3796/0001, Kap. 2.2.2, 2.3, Nr. 1.5, 1.6, 2.7; AM 2.8 Kap. 3.6.1.9; IM 2.8 Kap. 7.1 (</w:t>
      </w:r>
      <w:r>
        <w:rPr>
          <w:rFonts w:ascii="Consolas" w:hAnsi="Consolas" w:cs="Consolas" w:eastAsia="Consolas"/>
          <w:sz w:val="15"/>
        </w:rPr>
        <w:t>WLSPDL002</w:t>
      </w:r>
      <w:r>
        <w:rPr>
          <w:sz w:val="17"/>
        </w:rPr>
        <w:t>)</w:t>
      </w:r>
    </w:p>
    <w:p>
      <w:pPr>
        <w:pStyle w:val="Heading2"/>
      </w:pPr>
      <w:r>
        <w:t>5.3 WAM-SER und WAM-GE</w:t>
      </w:r>
    </w:p>
    <w:p>
      <w:r>
        <w:t>Bestände des Service (WAM-SER) und der Entwicklung (WAM-GE) sollen nicht zum regulären WAM gehören und hinsichtlich Bestand, Verfügbarkeit, Berechtigungen und Auswertungen getrennt geführt werden. Weitere Lagerorte sollen bei Bedarf ergänzt werden können. Das Lastenheft stuft beides als Wunsch ein (Nr. 2.8), die logische Trennung aber als Muss (Nr. 2.9).</w:t>
      </w:r>
    </w:p>
    <w:p>
      <w:pPr>
        <w:pStyle w:val="Heading2"/>
      </w:pPr>
      <w:r>
        <w:t>5.4 Lösungsvarianten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01"/>
        <w:gridCol w:w="2608"/>
        <w:gridCol w:w="2608"/>
        <w:gridCol w:w="2608"/>
      </w:tblGrid>
      <w:tr>
        <w:trPr>
          <w:tblHeader w:val="true"/>
        </w:trPr>
        <w:tc>
          <w:tcPr>
            <w:tcW w:type="dxa" w:w="1701"/>
            <w:shd w:val="clear" w:color="auto" w:fill="FEEE19"/>
          </w:tcPr>
          <w:p>
            <w:pPr>
              <w:spacing w:after="0"/>
            </w:pPr>
            <w:r>
              <w:rPr>
                <w:b/>
                <w:sz w:val="16"/>
              </w:rPr>
              <w:t>Variante</w:t>
            </w:r>
          </w:p>
        </w:tc>
        <w:tc>
          <w:tcPr>
            <w:tcW w:type="dxa" w:w="2608"/>
            <w:shd w:val="clear" w:color="auto" w:fill="FEEE19"/>
          </w:tcPr>
          <w:p>
            <w:pPr>
              <w:spacing w:after="0"/>
            </w:pPr>
            <w:r>
              <w:rPr>
                <w:b/>
                <w:sz w:val="16"/>
              </w:rPr>
              <w:t>Prinzip in WAMAS</w:t>
            </w:r>
          </w:p>
        </w:tc>
        <w:tc>
          <w:tcPr>
            <w:tcW w:type="dxa" w:w="2608"/>
            <w:shd w:val="clear" w:color="auto" w:fill="FEEE19"/>
          </w:tcPr>
          <w:p>
            <w:pPr>
              <w:spacing w:after="0"/>
            </w:pPr>
            <w:r>
              <w:rPr>
                <w:b/>
                <w:sz w:val="16"/>
              </w:rPr>
              <w:t>Stärken</w:t>
            </w:r>
          </w:p>
        </w:tc>
        <w:tc>
          <w:tcPr>
            <w:tcW w:type="dxa" w:w="2608"/>
            <w:shd w:val="clear" w:color="auto" w:fill="FEEE19"/>
          </w:tcPr>
          <w:p>
            <w:pPr>
              <w:spacing w:after="0"/>
            </w:pPr>
            <w:r>
              <w:rPr>
                <w:b/>
                <w:sz w:val="16"/>
              </w:rPr>
              <w:t>Offene Fragen</w:t>
            </w:r>
          </w:p>
        </w:tc>
      </w:tr>
      <w:tr>
        <w:tc>
          <w:tcPr>
            <w:tcW w:type="dxa" w:w="1701"/>
          </w:tcPr>
          <w:p>
            <w:pPr>
              <w:spacing w:after="0" w:line="252" w:lineRule="auto"/>
            </w:pPr>
            <w:r>
              <w:rPr>
                <w:sz w:val="16"/>
              </w:rPr>
              <w:t>A Bestandsklassifizierung</w:t>
            </w:r>
          </w:p>
        </w:tc>
        <w:tc>
          <w:tcPr>
            <w:tcW w:type="dxa" w:w="2608"/>
          </w:tcPr>
          <w:p>
            <w:pPr>
              <w:spacing w:after="0" w:line="252" w:lineRule="auto"/>
            </w:pPr>
            <w:r>
              <w:rPr>
                <w:sz w:val="16"/>
              </w:rPr>
              <w:t>Ein Klient; Status «frei», «gesperrt», ggf. «SER», «GE» je Bestandsobjekt</w:t>
            </w:r>
          </w:p>
        </w:tc>
        <w:tc>
          <w:tcPr>
            <w:tcW w:type="dxa" w:w="2608"/>
          </w:tcPr>
          <w:p>
            <w:pPr>
              <w:spacing w:after="0" w:line="252" w:lineRule="auto"/>
            </w:pPr>
            <w:r>
              <w:rPr>
                <w:sz w:val="16"/>
              </w:rPr>
              <w:t>Bestand bleibt auf seinem Platz; Rechte für Korrekturen je Klassifizierung</w:t>
            </w:r>
          </w:p>
        </w:tc>
        <w:tc>
          <w:tcPr>
            <w:tcW w:type="dxa" w:w="2608"/>
          </w:tcPr>
          <w:p>
            <w:pPr>
              <w:spacing w:after="0" w:line="252" w:lineRule="auto"/>
            </w:pPr>
            <w:r>
              <w:rPr>
                <w:sz w:val="16"/>
              </w:rPr>
              <w:t>Mapping auf Abacus-Lagerorte über BPE; ob Reservierung andere Klassifizierungen sicher ausschliesst</w:t>
            </w:r>
          </w:p>
        </w:tc>
      </w:tr>
      <w:tr>
        <w:tc>
          <w:tcPr>
            <w:tcW w:type="dxa" w:w="1701"/>
          </w:tcPr>
          <w:p>
            <w:pPr>
              <w:spacing w:after="0" w:line="252" w:lineRule="auto"/>
            </w:pPr>
            <w:r>
              <w:rPr>
                <w:sz w:val="16"/>
              </w:rPr>
              <w:t>B Eigener Klient je Lagerort</w:t>
            </w:r>
          </w:p>
        </w:tc>
        <w:tc>
          <w:tcPr>
            <w:tcW w:type="dxa" w:w="2608"/>
          </w:tcPr>
          <w:p>
            <w:pPr>
              <w:spacing w:after="0" w:line="252" w:lineRule="auto"/>
            </w:pPr>
            <w:r>
              <w:rPr>
                <w:sz w:val="16"/>
              </w:rPr>
              <w:t>WAM, WAM-SER, WAM-GE als eigene Klienten</w:t>
            </w:r>
          </w:p>
        </w:tc>
        <w:tc>
          <w:tcPr>
            <w:tcW w:type="dxa" w:w="2608"/>
          </w:tcPr>
          <w:p>
            <w:pPr>
              <w:spacing w:after="0" w:line="252" w:lineRule="auto"/>
            </w:pPr>
            <w:r>
              <w:rPr>
                <w:sz w:val="16"/>
              </w:rPr>
              <w:t>Klare Trennung von Bestand und Auswertung</w:t>
            </w:r>
          </w:p>
        </w:tc>
        <w:tc>
          <w:tcPr>
            <w:tcW w:type="dxa" w:w="2608"/>
          </w:tcPr>
          <w:p>
            <w:pPr>
              <w:spacing w:after="0" w:line="252" w:lineRule="auto"/>
            </w:pPr>
            <w:r>
              <w:rPr>
                <w:sz w:val="16"/>
              </w:rPr>
              <w:t>Einschränkung der Sicht per Datenzugriffsprofil nicht beschrieben; Stammdaten je Klient</w:t>
            </w:r>
          </w:p>
        </w:tc>
      </w:tr>
      <w:tr>
        <w:tc>
          <w:tcPr>
            <w:tcW w:type="dxa" w:w="1701"/>
          </w:tcPr>
          <w:p>
            <w:pPr>
              <w:spacing w:after="0" w:line="252" w:lineRule="auto"/>
            </w:pPr>
            <w:r>
              <w:rPr>
                <w:sz w:val="16"/>
              </w:rPr>
              <w:t>C Wareneigentümer</w:t>
            </w:r>
          </w:p>
        </w:tc>
        <w:tc>
          <w:tcPr>
            <w:tcW w:type="dxa" w:w="2608"/>
          </w:tcPr>
          <w:p>
            <w:pPr>
              <w:spacing w:after="0" w:line="252" w:lineRule="auto"/>
            </w:pPr>
            <w:r>
              <w:rPr>
                <w:sz w:val="16"/>
              </w:rPr>
              <w:t>Ein Klient, Wareneigentümer je Lagerort</w:t>
            </w:r>
          </w:p>
        </w:tc>
        <w:tc>
          <w:tcPr>
            <w:tcW w:type="dxa" w:w="2608"/>
          </w:tcPr>
          <w:p>
            <w:pPr>
              <w:spacing w:after="0" w:line="252" w:lineRule="auto"/>
            </w:pPr>
            <w:r>
              <w:rPr>
                <w:sz w:val="16"/>
              </w:rPr>
              <w:t>Trennung ohne doppelte Stammdaten</w:t>
            </w:r>
          </w:p>
        </w:tc>
        <w:tc>
          <w:tcPr>
            <w:tcW w:type="dxa" w:w="2608"/>
          </w:tcPr>
          <w:p>
            <w:pPr>
              <w:spacing w:after="0" w:line="252" w:lineRule="auto"/>
            </w:pPr>
            <w:r>
              <w:rPr>
                <w:sz w:val="16"/>
              </w:rPr>
              <w:t>Verhalten bei Reservierung und Telegrammen (</w:t>
            </w:r>
            <w:r>
              <w:rPr>
                <w:rFonts w:ascii="Consolas" w:hAnsi="Consolas" w:cs="Consolas" w:eastAsia="Consolas"/>
                <w:sz w:val="14"/>
              </w:rPr>
              <w:t>gow</w:t>
            </w:r>
            <w:r>
              <w:rPr>
                <w:sz w:val="16"/>
              </w:rPr>
              <w:t>) zu prüfen</w:t>
            </w:r>
          </w:p>
        </w:tc>
      </w:tr>
      <w:tr>
        <w:tc>
          <w:tcPr>
            <w:tcW w:type="dxa" w:w="1701"/>
          </w:tcPr>
          <w:p>
            <w:pPr>
              <w:spacing w:after="0" w:line="252" w:lineRule="auto"/>
            </w:pPr>
            <w:r>
              <w:rPr>
                <w:sz w:val="16"/>
              </w:rPr>
              <w:t>D Eigene Zone/Lagerplatzgruppe</w:t>
            </w:r>
          </w:p>
        </w:tc>
        <w:tc>
          <w:tcPr>
            <w:tcW w:type="dxa" w:w="2608"/>
          </w:tcPr>
          <w:p>
            <w:pPr>
              <w:spacing w:after="0" w:line="252" w:lineRule="auto"/>
            </w:pPr>
            <w:r>
              <w:rPr>
                <w:sz w:val="16"/>
              </w:rPr>
              <w:t>Physisch getrennter Bereich, z. B. Sperrzone</w:t>
            </w:r>
          </w:p>
        </w:tc>
        <w:tc>
          <w:tcPr>
            <w:tcW w:type="dxa" w:w="2608"/>
          </w:tcPr>
          <w:p>
            <w:pPr>
              <w:spacing w:after="0" w:line="252" w:lineRule="auto"/>
            </w:pPr>
            <w:r>
              <w:rPr>
                <w:sz w:val="16"/>
              </w:rPr>
              <w:t>Einfach verständlich, physische Trennung</w:t>
            </w:r>
          </w:p>
        </w:tc>
        <w:tc>
          <w:tcPr>
            <w:tcW w:type="dxa" w:w="2608"/>
          </w:tcPr>
          <w:p>
            <w:pPr>
              <w:spacing w:after="0" w:line="252" w:lineRule="auto"/>
            </w:pPr>
            <w:r>
              <w:rPr>
                <w:sz w:val="16"/>
              </w:rPr>
              <w:t>Kein Statuswechsel am Platz; Umlagerung zwingend</w:t>
            </w:r>
          </w:p>
        </w:tc>
      </w:tr>
    </w:tbl>
    <w:p>
      <w:pPr>
        <w:pStyle w:val="BeschriftungSSI"/>
      </w:pPr>
      <w:r>
        <w:t>Tab. 5: Varianten für zusätzliche Lagerorte (Entwurf, nicht entschieden)</w:t>
      </w:r>
    </w:p>
    <w:p>
      <w:r>
        <w:t>Vorschlag zur Diskussion: Für WAM-Sperrlager Variante A (Bestandsklassifizierung «gesperrt») kombiniert mit einem physisch gekennzeichneten Sperrbereich (Variante D); für WAM-SER und WAM-GE Entscheid nach Klärung der Datenzugriffsprofile. Der Entscheid erfordert LOG, QS, PPS, ERP, bsb und SSI SCHÄFER (→ OP-05).</w:t>
      </w:r>
    </w:p>
    <w:p>
      <w:pPr>
        <w:pStyle w:val="Quelle"/>
      </w:pPr>
      <w:r>
        <w:rPr>
          <w:b/>
        </w:rPr>
        <w:t xml:space="preserve">Quelle: </w:t>
      </w:r>
      <w:r>
        <w:rPr>
          <w:sz w:val="17"/>
        </w:rPr>
        <w:t>AM 2.8 Kap. 3.6.1, 3.6.1.2, 3.6.1.9; AH 2.7 Kap. 3.3.2.2; IM 2.8 Kap. 7.1, 10.1</w:t>
      </w:r>
    </w:p>
    <w:p>
      <w:pPr>
        <w:pStyle w:val="Heading2"/>
      </w:pPr>
      <w:r>
        <w:t>5.5 WEP, REP und Aussenlager</w:t>
      </w:r>
    </w:p>
    <w:p>
      <w:r>
        <w:t>WEP, REP und externe Aussenlager bleiben eigene Lagerorte in Abacus ausserhalb der WAMAS-Platzverwaltung. Eine Umbuchung nach WAM wird in Abacus gebucht und erzeugt über die Schnittstelle einen Einlagerbedarf in WAMAS (Kap. 7.3). Ob WEP/REP mit vertretbarem Aufwand zusätzlich über WAMAS verwaltet werden, ist nach Abschluss der Hauptphase zu bewerten.</w:t>
      </w:r>
    </w:p>
    <w:p>
      <w:pPr>
        <w:pStyle w:val="Quelle"/>
      </w:pPr>
      <w:r>
        <w:rPr>
          <w:b/>
        </w:rPr>
        <w:t xml:space="preserve">Quelle: </w:t>
      </w:r>
      <w:r>
        <w:rPr>
          <w:sz w:val="17"/>
        </w:rPr>
        <w:t>Lastenheft 3796/0001, Kap. 2.2.1, 2.2.6, 2.3</w:t>
      </w:r>
    </w:p>
    <w:p>
      <w:pPr>
        <w:pStyle w:val="Heading1"/>
      </w:pPr>
      <w:r>
        <w:t>6 Lagerplatzstruktur und Codierung</w:t>
      </w:r>
    </w:p>
    <w:p>
      <w:pPr>
        <w:pStyle w:val="Heading2"/>
      </w:pPr>
      <w:r>
        <w:t>6.1 Mengengerüst</w:t>
      </w:r>
    </w:p>
    <w:p>
      <w:r>
        <w:t xml:space="preserve">Die Lagerstruktur-Excel umfasst </w:t>
      </w:r>
      <w:r>
        <w:rPr>
          <w:b/>
        </w:rPr>
        <w:t>425 Lagerplätze</w:t>
      </w:r>
      <w:r>
        <w:t xml:space="preserve"> in 23 Bereichen: 301 Plätze Palettenregal (A–O), 8 Plätze Blocklager (P) und 116 Plätze Fachboden-/Sonderregal (Q, R, SS, T, U, V, W). Alle Plätze haben den Status «Aktiv».</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14"/>
        <w:gridCol w:w="1587"/>
        <w:gridCol w:w="737"/>
        <w:gridCol w:w="850"/>
        <w:gridCol w:w="1020"/>
        <w:gridCol w:w="3515"/>
      </w:tblGrid>
      <w:tr>
        <w:trPr>
          <w:tblHeader w:val="true"/>
        </w:trPr>
        <w:tc>
          <w:tcPr>
            <w:tcW w:type="dxa" w:w="1814"/>
            <w:shd w:val="clear" w:color="auto" w:fill="FEEE19"/>
          </w:tcPr>
          <w:p>
            <w:pPr>
              <w:spacing w:after="0"/>
            </w:pPr>
            <w:r>
              <w:rPr>
                <w:b/>
                <w:sz w:val="16"/>
              </w:rPr>
              <w:t>Bereich</w:t>
            </w:r>
          </w:p>
        </w:tc>
        <w:tc>
          <w:tcPr>
            <w:tcW w:type="dxa" w:w="1587"/>
            <w:shd w:val="clear" w:color="auto" w:fill="FEEE19"/>
          </w:tcPr>
          <w:p>
            <w:pPr>
              <w:spacing w:after="0"/>
            </w:pPr>
            <w:r>
              <w:rPr>
                <w:b/>
                <w:sz w:val="16"/>
              </w:rPr>
              <w:t>Lagerart</w:t>
            </w:r>
          </w:p>
        </w:tc>
        <w:tc>
          <w:tcPr>
            <w:tcW w:type="dxa" w:w="737"/>
            <w:shd w:val="clear" w:color="auto" w:fill="FEEE19"/>
          </w:tcPr>
          <w:p>
            <w:pPr>
              <w:spacing w:after="0"/>
            </w:pPr>
            <w:r>
              <w:rPr>
                <w:b/>
                <w:sz w:val="16"/>
              </w:rPr>
              <w:t>Plätze</w:t>
            </w:r>
          </w:p>
        </w:tc>
        <w:tc>
          <w:tcPr>
            <w:tcW w:type="dxa" w:w="850"/>
            <w:shd w:val="clear" w:color="auto" w:fill="FEEE19"/>
          </w:tcPr>
          <w:p>
            <w:pPr>
              <w:spacing w:after="0"/>
            </w:pPr>
            <w:r>
              <w:rPr>
                <w:b/>
                <w:sz w:val="16"/>
              </w:rPr>
              <w:t>Felder</w:t>
            </w:r>
          </w:p>
        </w:tc>
        <w:tc>
          <w:tcPr>
            <w:tcW w:type="dxa" w:w="1020"/>
            <w:shd w:val="clear" w:color="auto" w:fill="FEEE19"/>
          </w:tcPr>
          <w:p>
            <w:pPr>
              <w:spacing w:after="0"/>
            </w:pPr>
            <w:r>
              <w:rPr>
                <w:b/>
                <w:sz w:val="16"/>
              </w:rPr>
              <w:t>Ebenen</w:t>
            </w:r>
          </w:p>
        </w:tc>
        <w:tc>
          <w:tcPr>
            <w:tcW w:type="dxa" w:w="3515"/>
            <w:shd w:val="clear" w:color="auto" w:fill="FEEE19"/>
          </w:tcPr>
          <w:p>
            <w:pPr>
              <w:spacing w:after="0"/>
            </w:pPr>
            <w:r>
              <w:rPr>
                <w:b/>
                <w:sz w:val="16"/>
              </w:rPr>
              <w:t>Höhen je Platz [cm]</w:t>
            </w:r>
          </w:p>
        </w:tc>
      </w:tr>
      <w:tr>
        <w:tc>
          <w:tcPr>
            <w:tcW w:type="dxa" w:w="1814"/>
          </w:tcPr>
          <w:p>
            <w:pPr>
              <w:spacing w:after="0" w:line="252" w:lineRule="auto"/>
            </w:pPr>
            <w:r>
              <w:rPr>
                <w:sz w:val="16"/>
              </w:rPr>
              <w:t>A</w:t>
            </w:r>
          </w:p>
        </w:tc>
        <w:tc>
          <w:tcPr>
            <w:tcW w:type="dxa" w:w="1587"/>
          </w:tcPr>
          <w:p>
            <w:pPr>
              <w:spacing w:after="0" w:line="252" w:lineRule="auto"/>
            </w:pPr>
            <w:r>
              <w:rPr>
                <w:sz w:val="16"/>
              </w:rPr>
              <w:t>Palettenregal</w:t>
            </w:r>
          </w:p>
        </w:tc>
        <w:tc>
          <w:tcPr>
            <w:tcW w:type="dxa" w:w="737"/>
          </w:tcPr>
          <w:p>
            <w:pPr>
              <w:spacing w:after="0" w:line="252" w:lineRule="auto"/>
            </w:pPr>
            <w:r>
              <w:rPr>
                <w:sz w:val="16"/>
              </w:rPr>
              <w:t>20</w:t>
            </w:r>
          </w:p>
        </w:tc>
        <w:tc>
          <w:tcPr>
            <w:tcW w:type="dxa" w:w="850"/>
          </w:tcPr>
          <w:p>
            <w:pPr>
              <w:spacing w:after="0" w:line="252" w:lineRule="auto"/>
            </w:pPr>
            <w:r>
              <w:rPr>
                <w:sz w:val="16"/>
              </w:rPr>
              <w:t>5</w:t>
            </w:r>
          </w:p>
        </w:tc>
        <w:tc>
          <w:tcPr>
            <w:tcW w:type="dxa" w:w="1020"/>
          </w:tcPr>
          <w:p>
            <w:pPr>
              <w:spacing w:after="0" w:line="252" w:lineRule="auto"/>
            </w:pPr>
            <w:r>
              <w:rPr>
                <w:sz w:val="16"/>
              </w:rPr>
              <w:t>4</w:t>
            </w:r>
          </w:p>
        </w:tc>
        <w:tc>
          <w:tcPr>
            <w:tcW w:type="dxa" w:w="3515"/>
          </w:tcPr>
          <w:p>
            <w:pPr>
              <w:spacing w:after="0" w:line="252" w:lineRule="auto"/>
            </w:pPr>
            <w:r>
              <w:rPr>
                <w:sz w:val="16"/>
              </w:rPr>
              <w:t>28, 55, 100, 130</w:t>
            </w:r>
          </w:p>
        </w:tc>
      </w:tr>
      <w:tr>
        <w:tc>
          <w:tcPr>
            <w:tcW w:type="dxa" w:w="1814"/>
          </w:tcPr>
          <w:p>
            <w:pPr>
              <w:spacing w:after="0" w:line="252" w:lineRule="auto"/>
            </w:pPr>
            <w:r>
              <w:rPr>
                <w:sz w:val="16"/>
              </w:rPr>
              <w:t>B</w:t>
            </w:r>
          </w:p>
        </w:tc>
        <w:tc>
          <w:tcPr>
            <w:tcW w:type="dxa" w:w="1587"/>
          </w:tcPr>
          <w:p>
            <w:pPr>
              <w:spacing w:after="0" w:line="252" w:lineRule="auto"/>
            </w:pPr>
            <w:r>
              <w:rPr>
                <w:sz w:val="16"/>
              </w:rPr>
              <w:t>Palettenregal</w:t>
            </w:r>
          </w:p>
        </w:tc>
        <w:tc>
          <w:tcPr>
            <w:tcW w:type="dxa" w:w="737"/>
          </w:tcPr>
          <w:p>
            <w:pPr>
              <w:spacing w:after="0" w:line="252" w:lineRule="auto"/>
            </w:pPr>
            <w:r>
              <w:rPr>
                <w:sz w:val="16"/>
              </w:rPr>
              <w:t>15</w:t>
            </w:r>
          </w:p>
        </w:tc>
        <w:tc>
          <w:tcPr>
            <w:tcW w:type="dxa" w:w="850"/>
          </w:tcPr>
          <w:p>
            <w:pPr>
              <w:spacing w:after="0" w:line="252" w:lineRule="auto"/>
            </w:pPr>
            <w:r>
              <w:rPr>
                <w:sz w:val="16"/>
              </w:rPr>
              <w:t>5</w:t>
            </w:r>
          </w:p>
        </w:tc>
        <w:tc>
          <w:tcPr>
            <w:tcW w:type="dxa" w:w="1020"/>
          </w:tcPr>
          <w:p>
            <w:pPr>
              <w:spacing w:after="0" w:line="252" w:lineRule="auto"/>
            </w:pPr>
            <w:r>
              <w:rPr>
                <w:sz w:val="16"/>
              </w:rPr>
              <w:t>3</w:t>
            </w:r>
          </w:p>
        </w:tc>
        <w:tc>
          <w:tcPr>
            <w:tcW w:type="dxa" w:w="3515"/>
          </w:tcPr>
          <w:p>
            <w:pPr>
              <w:spacing w:after="0" w:line="252" w:lineRule="auto"/>
            </w:pPr>
            <w:r>
              <w:rPr>
                <w:sz w:val="16"/>
              </w:rPr>
              <w:t>64, 130, 135</w:t>
            </w:r>
          </w:p>
        </w:tc>
      </w:tr>
      <w:tr>
        <w:tc>
          <w:tcPr>
            <w:tcW w:type="dxa" w:w="1814"/>
          </w:tcPr>
          <w:p>
            <w:pPr>
              <w:spacing w:after="0" w:line="252" w:lineRule="auto"/>
            </w:pPr>
            <w:r>
              <w:rPr>
                <w:sz w:val="16"/>
              </w:rPr>
              <w:t>C</w:t>
            </w:r>
          </w:p>
        </w:tc>
        <w:tc>
          <w:tcPr>
            <w:tcW w:type="dxa" w:w="1587"/>
          </w:tcPr>
          <w:p>
            <w:pPr>
              <w:spacing w:after="0" w:line="252" w:lineRule="auto"/>
            </w:pPr>
            <w:r>
              <w:rPr>
                <w:sz w:val="16"/>
              </w:rPr>
              <w:t>Palettenregal</w:t>
            </w:r>
          </w:p>
        </w:tc>
        <w:tc>
          <w:tcPr>
            <w:tcW w:type="dxa" w:w="737"/>
          </w:tcPr>
          <w:p>
            <w:pPr>
              <w:spacing w:after="0" w:line="252" w:lineRule="auto"/>
            </w:pPr>
            <w:r>
              <w:rPr>
                <w:sz w:val="16"/>
              </w:rPr>
              <w:t>26</w:t>
            </w:r>
          </w:p>
        </w:tc>
        <w:tc>
          <w:tcPr>
            <w:tcW w:type="dxa" w:w="850"/>
          </w:tcPr>
          <w:p>
            <w:pPr>
              <w:spacing w:after="0" w:line="252" w:lineRule="auto"/>
            </w:pPr>
            <w:r>
              <w:rPr>
                <w:sz w:val="16"/>
              </w:rPr>
              <w:t>8</w:t>
            </w:r>
          </w:p>
        </w:tc>
        <w:tc>
          <w:tcPr>
            <w:tcW w:type="dxa" w:w="1020"/>
          </w:tcPr>
          <w:p>
            <w:pPr>
              <w:spacing w:after="0" w:line="252" w:lineRule="auto"/>
            </w:pPr>
            <w:r>
              <w:rPr>
                <w:sz w:val="16"/>
              </w:rPr>
              <w:t>3–4</w:t>
            </w:r>
          </w:p>
        </w:tc>
        <w:tc>
          <w:tcPr>
            <w:tcW w:type="dxa" w:w="3515"/>
          </w:tcPr>
          <w:p>
            <w:pPr>
              <w:spacing w:after="0" w:line="252" w:lineRule="auto"/>
            </w:pPr>
            <w:r>
              <w:rPr>
                <w:sz w:val="16"/>
              </w:rPr>
              <w:t>35, 50, 100, 130 (Feld 1–2: 4 Ebenen)</w:t>
            </w:r>
          </w:p>
        </w:tc>
      </w:tr>
      <w:tr>
        <w:tc>
          <w:tcPr>
            <w:tcW w:type="dxa" w:w="1814"/>
          </w:tcPr>
          <w:p>
            <w:pPr>
              <w:spacing w:after="0" w:line="252" w:lineRule="auto"/>
            </w:pPr>
            <w:r>
              <w:rPr>
                <w:sz w:val="16"/>
              </w:rPr>
              <w:t>D, E, G, H, J</w:t>
            </w:r>
          </w:p>
        </w:tc>
        <w:tc>
          <w:tcPr>
            <w:tcW w:type="dxa" w:w="1587"/>
          </w:tcPr>
          <w:p>
            <w:pPr>
              <w:spacing w:after="0" w:line="252" w:lineRule="auto"/>
            </w:pPr>
            <w:r>
              <w:rPr>
                <w:sz w:val="16"/>
              </w:rPr>
              <w:t>Palettenregal</w:t>
            </w:r>
          </w:p>
        </w:tc>
        <w:tc>
          <w:tcPr>
            <w:tcW w:type="dxa" w:w="737"/>
          </w:tcPr>
          <w:p>
            <w:pPr>
              <w:spacing w:after="0" w:line="252" w:lineRule="auto"/>
            </w:pPr>
            <w:r>
              <w:rPr>
                <w:sz w:val="16"/>
              </w:rPr>
              <w:t>je 24</w:t>
            </w:r>
          </w:p>
        </w:tc>
        <w:tc>
          <w:tcPr>
            <w:tcW w:type="dxa" w:w="850"/>
          </w:tcPr>
          <w:p>
            <w:pPr>
              <w:spacing w:after="0" w:line="252" w:lineRule="auto"/>
            </w:pPr>
            <w:r>
              <w:rPr>
                <w:sz w:val="16"/>
              </w:rPr>
              <w:t>8</w:t>
            </w:r>
          </w:p>
        </w:tc>
        <w:tc>
          <w:tcPr>
            <w:tcW w:type="dxa" w:w="1020"/>
          </w:tcPr>
          <w:p>
            <w:pPr>
              <w:spacing w:after="0" w:line="252" w:lineRule="auto"/>
            </w:pPr>
            <w:r>
              <w:rPr>
                <w:sz w:val="16"/>
              </w:rPr>
              <w:t>3</w:t>
            </w:r>
          </w:p>
        </w:tc>
        <w:tc>
          <w:tcPr>
            <w:tcW w:type="dxa" w:w="3515"/>
          </w:tcPr>
          <w:p>
            <w:pPr>
              <w:spacing w:after="0" w:line="252" w:lineRule="auto"/>
            </w:pPr>
            <w:r>
              <w:rPr>
                <w:sz w:val="16"/>
              </w:rPr>
              <w:t>100, 130</w:t>
            </w:r>
          </w:p>
        </w:tc>
      </w:tr>
      <w:tr>
        <w:tc>
          <w:tcPr>
            <w:tcW w:type="dxa" w:w="1814"/>
          </w:tcPr>
          <w:p>
            <w:pPr>
              <w:spacing w:after="0" w:line="252" w:lineRule="auto"/>
            </w:pPr>
            <w:r>
              <w:rPr>
                <w:sz w:val="16"/>
              </w:rPr>
              <w:t>F</w:t>
            </w:r>
          </w:p>
        </w:tc>
        <w:tc>
          <w:tcPr>
            <w:tcW w:type="dxa" w:w="1587"/>
          </w:tcPr>
          <w:p>
            <w:pPr>
              <w:spacing w:after="0" w:line="252" w:lineRule="auto"/>
            </w:pPr>
            <w:r>
              <w:rPr>
                <w:sz w:val="16"/>
              </w:rPr>
              <w:t>Palettenregal</w:t>
            </w:r>
          </w:p>
        </w:tc>
        <w:tc>
          <w:tcPr>
            <w:tcW w:type="dxa" w:w="737"/>
          </w:tcPr>
          <w:p>
            <w:pPr>
              <w:spacing w:after="0" w:line="252" w:lineRule="auto"/>
            </w:pPr>
            <w:r>
              <w:rPr>
                <w:sz w:val="16"/>
              </w:rPr>
              <w:t>29</w:t>
            </w:r>
          </w:p>
        </w:tc>
        <w:tc>
          <w:tcPr>
            <w:tcW w:type="dxa" w:w="850"/>
          </w:tcPr>
          <w:p>
            <w:pPr>
              <w:spacing w:after="0" w:line="252" w:lineRule="auto"/>
            </w:pPr>
            <w:r>
              <w:rPr>
                <w:sz w:val="16"/>
              </w:rPr>
              <w:t>8</w:t>
            </w:r>
          </w:p>
        </w:tc>
        <w:tc>
          <w:tcPr>
            <w:tcW w:type="dxa" w:w="1020"/>
          </w:tcPr>
          <w:p>
            <w:pPr>
              <w:spacing w:after="0" w:line="252" w:lineRule="auto"/>
            </w:pPr>
            <w:r>
              <w:rPr>
                <w:sz w:val="16"/>
              </w:rPr>
              <w:t>3–4</w:t>
            </w:r>
          </w:p>
        </w:tc>
        <w:tc>
          <w:tcPr>
            <w:tcW w:type="dxa" w:w="3515"/>
          </w:tcPr>
          <w:p>
            <w:pPr>
              <w:spacing w:after="0" w:line="252" w:lineRule="auto"/>
            </w:pPr>
            <w:r>
              <w:rPr>
                <w:sz w:val="16"/>
              </w:rPr>
              <w:t>23, 60, 100 (Feld 1–5: 4 Ebenen)</w:t>
            </w:r>
          </w:p>
        </w:tc>
      </w:tr>
      <w:tr>
        <w:tc>
          <w:tcPr>
            <w:tcW w:type="dxa" w:w="1814"/>
          </w:tcPr>
          <w:p>
            <w:pPr>
              <w:spacing w:after="0" w:line="252" w:lineRule="auto"/>
            </w:pPr>
            <w:r>
              <w:rPr>
                <w:sz w:val="16"/>
              </w:rPr>
              <w:t>I</w:t>
            </w:r>
          </w:p>
        </w:tc>
        <w:tc>
          <w:tcPr>
            <w:tcW w:type="dxa" w:w="1587"/>
          </w:tcPr>
          <w:p>
            <w:pPr>
              <w:spacing w:after="0" w:line="252" w:lineRule="auto"/>
            </w:pPr>
            <w:r>
              <w:rPr>
                <w:sz w:val="16"/>
              </w:rPr>
              <w:t>Palettenregal</w:t>
            </w:r>
          </w:p>
        </w:tc>
        <w:tc>
          <w:tcPr>
            <w:tcW w:type="dxa" w:w="737"/>
          </w:tcPr>
          <w:p>
            <w:pPr>
              <w:spacing w:after="0" w:line="252" w:lineRule="auto"/>
            </w:pPr>
            <w:r>
              <w:rPr>
                <w:sz w:val="16"/>
              </w:rPr>
              <w:t>16</w:t>
            </w:r>
          </w:p>
        </w:tc>
        <w:tc>
          <w:tcPr>
            <w:tcW w:type="dxa" w:w="850"/>
          </w:tcPr>
          <w:p>
            <w:pPr>
              <w:spacing w:after="0" w:line="252" w:lineRule="auto"/>
            </w:pPr>
            <w:r>
              <w:rPr>
                <w:sz w:val="16"/>
              </w:rPr>
              <w:t>8</w:t>
            </w:r>
          </w:p>
        </w:tc>
        <w:tc>
          <w:tcPr>
            <w:tcW w:type="dxa" w:w="1020"/>
          </w:tcPr>
          <w:p>
            <w:pPr>
              <w:spacing w:after="0" w:line="252" w:lineRule="auto"/>
            </w:pPr>
            <w:r>
              <w:rPr>
                <w:sz w:val="16"/>
              </w:rPr>
              <w:t>2</w:t>
            </w:r>
          </w:p>
        </w:tc>
        <w:tc>
          <w:tcPr>
            <w:tcW w:type="dxa" w:w="3515"/>
          </w:tcPr>
          <w:p>
            <w:pPr>
              <w:spacing w:after="0" w:line="252" w:lineRule="auto"/>
            </w:pPr>
            <w:r>
              <w:rPr>
                <w:sz w:val="16"/>
              </w:rPr>
              <w:t>100, 130, 215</w:t>
            </w:r>
          </w:p>
        </w:tc>
      </w:tr>
      <w:tr>
        <w:tc>
          <w:tcPr>
            <w:tcW w:type="dxa" w:w="1814"/>
          </w:tcPr>
          <w:p>
            <w:pPr>
              <w:spacing w:after="0" w:line="252" w:lineRule="auto"/>
            </w:pPr>
            <w:r>
              <w:rPr>
                <w:sz w:val="16"/>
              </w:rPr>
              <w:t>K, L</w:t>
            </w:r>
          </w:p>
        </w:tc>
        <w:tc>
          <w:tcPr>
            <w:tcW w:type="dxa" w:w="1587"/>
          </w:tcPr>
          <w:p>
            <w:pPr>
              <w:spacing w:after="0" w:line="252" w:lineRule="auto"/>
            </w:pPr>
            <w:r>
              <w:rPr>
                <w:sz w:val="16"/>
              </w:rPr>
              <w:t>Palettenregal</w:t>
            </w:r>
          </w:p>
        </w:tc>
        <w:tc>
          <w:tcPr>
            <w:tcW w:type="dxa" w:w="737"/>
          </w:tcPr>
          <w:p>
            <w:pPr>
              <w:spacing w:after="0" w:line="252" w:lineRule="auto"/>
            </w:pPr>
            <w:r>
              <w:rPr>
                <w:sz w:val="16"/>
              </w:rPr>
              <w:t>je 24</w:t>
            </w:r>
          </w:p>
        </w:tc>
        <w:tc>
          <w:tcPr>
            <w:tcW w:type="dxa" w:w="850"/>
          </w:tcPr>
          <w:p>
            <w:pPr>
              <w:spacing w:after="0" w:line="252" w:lineRule="auto"/>
            </w:pPr>
            <w:r>
              <w:rPr>
                <w:sz w:val="16"/>
              </w:rPr>
              <w:t>8</w:t>
            </w:r>
          </w:p>
        </w:tc>
        <w:tc>
          <w:tcPr>
            <w:tcW w:type="dxa" w:w="1020"/>
          </w:tcPr>
          <w:p>
            <w:pPr>
              <w:spacing w:after="0" w:line="252" w:lineRule="auto"/>
            </w:pPr>
            <w:r>
              <w:rPr>
                <w:sz w:val="16"/>
              </w:rPr>
              <w:t>3</w:t>
            </w:r>
          </w:p>
        </w:tc>
        <w:tc>
          <w:tcPr>
            <w:tcW w:type="dxa" w:w="3515"/>
          </w:tcPr>
          <w:p>
            <w:pPr>
              <w:spacing w:after="0" w:line="252" w:lineRule="auto"/>
            </w:pPr>
            <w:r>
              <w:rPr>
                <w:sz w:val="16"/>
              </w:rPr>
              <w:t>100, 130 (gemischt je Feld)</w:t>
            </w:r>
          </w:p>
        </w:tc>
      </w:tr>
      <w:tr>
        <w:tc>
          <w:tcPr>
            <w:tcW w:type="dxa" w:w="1814"/>
          </w:tcPr>
          <w:p>
            <w:pPr>
              <w:spacing w:after="0" w:line="252" w:lineRule="auto"/>
            </w:pPr>
            <w:r>
              <w:rPr>
                <w:sz w:val="16"/>
              </w:rPr>
              <w:t>M, N (Reserve Regal)</w:t>
            </w:r>
          </w:p>
        </w:tc>
        <w:tc>
          <w:tcPr>
            <w:tcW w:type="dxa" w:w="1587"/>
          </w:tcPr>
          <w:p>
            <w:pPr>
              <w:spacing w:after="0" w:line="252" w:lineRule="auto"/>
            </w:pPr>
            <w:r>
              <w:rPr>
                <w:sz w:val="16"/>
              </w:rPr>
              <w:t>Palettenregal</w:t>
            </w:r>
          </w:p>
        </w:tc>
        <w:tc>
          <w:tcPr>
            <w:tcW w:type="dxa" w:w="737"/>
          </w:tcPr>
          <w:p>
            <w:pPr>
              <w:spacing w:after="0" w:line="252" w:lineRule="auto"/>
            </w:pPr>
            <w:r>
              <w:rPr>
                <w:sz w:val="16"/>
              </w:rPr>
              <w:t>je 9</w:t>
            </w:r>
          </w:p>
        </w:tc>
        <w:tc>
          <w:tcPr>
            <w:tcW w:type="dxa" w:w="850"/>
          </w:tcPr>
          <w:p>
            <w:pPr>
              <w:spacing w:after="0" w:line="252" w:lineRule="auto"/>
            </w:pPr>
            <w:r>
              <w:rPr>
                <w:sz w:val="16"/>
              </w:rPr>
              <w:t>3</w:t>
            </w:r>
          </w:p>
        </w:tc>
        <w:tc>
          <w:tcPr>
            <w:tcW w:type="dxa" w:w="1020"/>
          </w:tcPr>
          <w:p>
            <w:pPr>
              <w:spacing w:after="0" w:line="252" w:lineRule="auto"/>
            </w:pPr>
            <w:r>
              <w:rPr>
                <w:sz w:val="16"/>
              </w:rPr>
              <w:t>3</w:t>
            </w:r>
          </w:p>
        </w:tc>
        <w:tc>
          <w:tcPr>
            <w:tcW w:type="dxa" w:w="3515"/>
          </w:tcPr>
          <w:p>
            <w:pPr>
              <w:spacing w:after="0" w:line="252" w:lineRule="auto"/>
            </w:pPr>
            <w:r>
              <w:rPr>
                <w:sz w:val="16"/>
              </w:rPr>
              <w:t>100, 130; je ein Platz ohne Höhe</w:t>
            </w:r>
          </w:p>
        </w:tc>
      </w:tr>
      <w:tr>
        <w:tc>
          <w:tcPr>
            <w:tcW w:type="dxa" w:w="1814"/>
          </w:tcPr>
          <w:p>
            <w:pPr>
              <w:spacing w:after="0" w:line="252" w:lineRule="auto"/>
            </w:pPr>
            <w:r>
              <w:rPr>
                <w:sz w:val="16"/>
              </w:rPr>
              <w:t>O (Reserve Regal)</w:t>
            </w:r>
          </w:p>
        </w:tc>
        <w:tc>
          <w:tcPr>
            <w:tcW w:type="dxa" w:w="1587"/>
          </w:tcPr>
          <w:p>
            <w:pPr>
              <w:spacing w:after="0" w:line="252" w:lineRule="auto"/>
            </w:pPr>
            <w:r>
              <w:rPr>
                <w:sz w:val="16"/>
              </w:rPr>
              <w:t>Palettenregal</w:t>
            </w:r>
          </w:p>
        </w:tc>
        <w:tc>
          <w:tcPr>
            <w:tcW w:type="dxa" w:w="737"/>
          </w:tcPr>
          <w:p>
            <w:pPr>
              <w:spacing w:after="0" w:line="252" w:lineRule="auto"/>
            </w:pPr>
            <w:r>
              <w:rPr>
                <w:sz w:val="16"/>
              </w:rPr>
              <w:t>9</w:t>
            </w:r>
          </w:p>
        </w:tc>
        <w:tc>
          <w:tcPr>
            <w:tcW w:type="dxa" w:w="850"/>
          </w:tcPr>
          <w:p>
            <w:pPr>
              <w:spacing w:after="0" w:line="252" w:lineRule="auto"/>
            </w:pPr>
            <w:r>
              <w:rPr>
                <w:sz w:val="16"/>
              </w:rPr>
              <w:t>3</w:t>
            </w:r>
          </w:p>
        </w:tc>
        <w:tc>
          <w:tcPr>
            <w:tcW w:type="dxa" w:w="1020"/>
          </w:tcPr>
          <w:p>
            <w:pPr>
              <w:spacing w:after="0" w:line="252" w:lineRule="auto"/>
            </w:pPr>
            <w:r>
              <w:rPr>
                <w:sz w:val="16"/>
              </w:rPr>
              <w:t>3</w:t>
            </w:r>
          </w:p>
        </w:tc>
        <w:tc>
          <w:tcPr>
            <w:tcW w:type="dxa" w:w="3515"/>
          </w:tcPr>
          <w:p>
            <w:pPr>
              <w:spacing w:after="0" w:line="252" w:lineRule="auto"/>
            </w:pPr>
            <w:r>
              <w:rPr>
                <w:sz w:val="16"/>
              </w:rPr>
              <w:t>100</w:t>
            </w:r>
          </w:p>
        </w:tc>
      </w:tr>
      <w:tr>
        <w:tc>
          <w:tcPr>
            <w:tcW w:type="dxa" w:w="1814"/>
          </w:tcPr>
          <w:p>
            <w:pPr>
              <w:spacing w:after="0" w:line="252" w:lineRule="auto"/>
            </w:pPr>
            <w:r>
              <w:rPr>
                <w:sz w:val="16"/>
              </w:rPr>
              <w:t>P (Bodenplätze Reserve)</w:t>
            </w:r>
          </w:p>
        </w:tc>
        <w:tc>
          <w:tcPr>
            <w:tcW w:type="dxa" w:w="1587"/>
          </w:tcPr>
          <w:p>
            <w:pPr>
              <w:spacing w:after="0" w:line="252" w:lineRule="auto"/>
            </w:pPr>
            <w:r>
              <w:rPr>
                <w:sz w:val="16"/>
              </w:rPr>
              <w:t>Blocklager</w:t>
            </w:r>
          </w:p>
        </w:tc>
        <w:tc>
          <w:tcPr>
            <w:tcW w:type="dxa" w:w="737"/>
          </w:tcPr>
          <w:p>
            <w:pPr>
              <w:spacing w:after="0" w:line="252" w:lineRule="auto"/>
            </w:pPr>
            <w:r>
              <w:rPr>
                <w:sz w:val="16"/>
              </w:rPr>
              <w:t>8</w:t>
            </w:r>
          </w:p>
        </w:tc>
        <w:tc>
          <w:tcPr>
            <w:tcW w:type="dxa" w:w="850"/>
          </w:tcPr>
          <w:p>
            <w:pPr>
              <w:spacing w:after="0" w:line="252" w:lineRule="auto"/>
            </w:pPr>
            <w:r>
              <w:rPr>
                <w:sz w:val="16"/>
              </w:rPr>
              <w:t>8</w:t>
            </w:r>
          </w:p>
        </w:tc>
        <w:tc>
          <w:tcPr>
            <w:tcW w:type="dxa" w:w="1020"/>
          </w:tcPr>
          <w:p>
            <w:pPr>
              <w:spacing w:after="0" w:line="252" w:lineRule="auto"/>
            </w:pPr>
            <w:r>
              <w:rPr>
                <w:sz w:val="16"/>
              </w:rPr>
              <w:t>1</w:t>
            </w:r>
          </w:p>
        </w:tc>
        <w:tc>
          <w:tcPr>
            <w:tcW w:type="dxa" w:w="3515"/>
          </w:tcPr>
          <w:p>
            <w:pPr>
              <w:spacing w:after="0" w:line="252" w:lineRule="auto"/>
            </w:pPr>
            <w:r>
              <w:rPr>
                <w:sz w:val="16"/>
              </w:rPr>
              <w:t>250</w:t>
            </w:r>
          </w:p>
        </w:tc>
      </w:tr>
      <w:tr>
        <w:tc>
          <w:tcPr>
            <w:tcW w:type="dxa" w:w="1814"/>
          </w:tcPr>
          <w:p>
            <w:pPr>
              <w:spacing w:after="0" w:line="252" w:lineRule="auto"/>
            </w:pPr>
            <w:r>
              <w:rPr>
                <w:sz w:val="16"/>
              </w:rPr>
              <w:t>Q (Eiger)</w:t>
            </w:r>
          </w:p>
        </w:tc>
        <w:tc>
          <w:tcPr>
            <w:tcW w:type="dxa" w:w="1587"/>
          </w:tcPr>
          <w:p>
            <w:pPr>
              <w:spacing w:after="0" w:line="252" w:lineRule="auto"/>
            </w:pPr>
            <w:r>
              <w:rPr>
                <w:sz w:val="16"/>
              </w:rPr>
              <w:t>Fachboden/Sonder</w:t>
            </w:r>
          </w:p>
        </w:tc>
        <w:tc>
          <w:tcPr>
            <w:tcW w:type="dxa" w:w="737"/>
          </w:tcPr>
          <w:p>
            <w:pPr>
              <w:spacing w:after="0" w:line="252" w:lineRule="auto"/>
            </w:pPr>
            <w:r>
              <w:rPr>
                <w:sz w:val="16"/>
              </w:rPr>
              <w:t>14</w:t>
            </w:r>
          </w:p>
        </w:tc>
        <w:tc>
          <w:tcPr>
            <w:tcW w:type="dxa" w:w="850"/>
          </w:tcPr>
          <w:p>
            <w:pPr>
              <w:spacing w:after="0" w:line="252" w:lineRule="auto"/>
            </w:pPr>
            <w:r>
              <w:rPr>
                <w:sz w:val="16"/>
              </w:rPr>
              <w:t>2</w:t>
            </w:r>
          </w:p>
        </w:tc>
        <w:tc>
          <w:tcPr>
            <w:tcW w:type="dxa" w:w="1020"/>
          </w:tcPr>
          <w:p>
            <w:pPr>
              <w:spacing w:after="0" w:line="252" w:lineRule="auto"/>
            </w:pPr>
            <w:r>
              <w:rPr>
                <w:sz w:val="16"/>
              </w:rPr>
              <w:t>7</w:t>
            </w:r>
          </w:p>
        </w:tc>
        <w:tc>
          <w:tcPr>
            <w:tcW w:type="dxa" w:w="3515"/>
          </w:tcPr>
          <w:p>
            <w:pPr>
              <w:spacing w:after="0" w:line="252" w:lineRule="auto"/>
            </w:pPr>
            <w:r>
              <w:rPr>
                <w:sz w:val="16"/>
              </w:rPr>
              <w:t>23, 30, 33</w:t>
            </w:r>
          </w:p>
        </w:tc>
      </w:tr>
      <w:tr>
        <w:tc>
          <w:tcPr>
            <w:tcW w:type="dxa" w:w="1814"/>
          </w:tcPr>
          <w:p>
            <w:pPr>
              <w:spacing w:after="0" w:line="252" w:lineRule="auto"/>
            </w:pPr>
            <w:r>
              <w:rPr>
                <w:sz w:val="16"/>
              </w:rPr>
              <w:t>R (gegenüber Logimat)</w:t>
            </w:r>
          </w:p>
        </w:tc>
        <w:tc>
          <w:tcPr>
            <w:tcW w:type="dxa" w:w="1587"/>
          </w:tcPr>
          <w:p>
            <w:pPr>
              <w:spacing w:after="0" w:line="252" w:lineRule="auto"/>
            </w:pPr>
            <w:r>
              <w:rPr>
                <w:sz w:val="16"/>
              </w:rPr>
              <w:t>Fachboden/Sonder</w:t>
            </w:r>
          </w:p>
        </w:tc>
        <w:tc>
          <w:tcPr>
            <w:tcW w:type="dxa" w:w="737"/>
          </w:tcPr>
          <w:p>
            <w:pPr>
              <w:spacing w:after="0" w:line="252" w:lineRule="auto"/>
            </w:pPr>
            <w:r>
              <w:rPr>
                <w:sz w:val="16"/>
              </w:rPr>
              <w:t>23</w:t>
            </w:r>
          </w:p>
        </w:tc>
        <w:tc>
          <w:tcPr>
            <w:tcW w:type="dxa" w:w="850"/>
          </w:tcPr>
          <w:p>
            <w:pPr>
              <w:spacing w:after="0" w:line="252" w:lineRule="auto"/>
            </w:pPr>
            <w:r>
              <w:rPr>
                <w:sz w:val="16"/>
              </w:rPr>
              <w:t>4</w:t>
            </w:r>
          </w:p>
        </w:tc>
        <w:tc>
          <w:tcPr>
            <w:tcW w:type="dxa" w:w="1020"/>
          </w:tcPr>
          <w:p>
            <w:pPr>
              <w:spacing w:after="0" w:line="252" w:lineRule="auto"/>
            </w:pPr>
            <w:r>
              <w:rPr>
                <w:sz w:val="16"/>
              </w:rPr>
              <w:t>5–6</w:t>
            </w:r>
          </w:p>
        </w:tc>
        <w:tc>
          <w:tcPr>
            <w:tcW w:type="dxa" w:w="3515"/>
          </w:tcPr>
          <w:p>
            <w:pPr>
              <w:spacing w:after="0" w:line="252" w:lineRule="auto"/>
            </w:pPr>
            <w:r>
              <w:rPr>
                <w:sz w:val="16"/>
              </w:rPr>
              <w:t>30, 44</w:t>
            </w:r>
          </w:p>
        </w:tc>
      </w:tr>
      <w:tr>
        <w:tc>
          <w:tcPr>
            <w:tcW w:type="dxa" w:w="1814"/>
          </w:tcPr>
          <w:p>
            <w:pPr>
              <w:spacing w:after="0" w:line="252" w:lineRule="auto"/>
            </w:pPr>
            <w:r>
              <w:rPr>
                <w:sz w:val="16"/>
              </w:rPr>
              <w:t>SS (Schrumpfschlauch)</w:t>
            </w:r>
          </w:p>
        </w:tc>
        <w:tc>
          <w:tcPr>
            <w:tcW w:type="dxa" w:w="1587"/>
          </w:tcPr>
          <w:p>
            <w:pPr>
              <w:spacing w:after="0" w:line="252" w:lineRule="auto"/>
            </w:pPr>
            <w:r>
              <w:rPr>
                <w:sz w:val="16"/>
              </w:rPr>
              <w:t>Fachboden/Sonder</w:t>
            </w:r>
          </w:p>
        </w:tc>
        <w:tc>
          <w:tcPr>
            <w:tcW w:type="dxa" w:w="737"/>
          </w:tcPr>
          <w:p>
            <w:pPr>
              <w:spacing w:after="0" w:line="252" w:lineRule="auto"/>
            </w:pPr>
            <w:r>
              <w:rPr>
                <w:sz w:val="16"/>
              </w:rPr>
              <w:t>5</w:t>
            </w:r>
          </w:p>
        </w:tc>
        <w:tc>
          <w:tcPr>
            <w:tcW w:type="dxa" w:w="850"/>
          </w:tcPr>
          <w:p>
            <w:pPr>
              <w:spacing w:after="0" w:line="252" w:lineRule="auto"/>
            </w:pPr>
            <w:r>
              <w:rPr>
                <w:sz w:val="16"/>
              </w:rPr>
              <w:t>1</w:t>
            </w:r>
          </w:p>
        </w:tc>
        <w:tc>
          <w:tcPr>
            <w:tcW w:type="dxa" w:w="1020"/>
          </w:tcPr>
          <w:p>
            <w:pPr>
              <w:spacing w:after="0" w:line="252" w:lineRule="auto"/>
            </w:pPr>
            <w:r>
              <w:rPr>
                <w:sz w:val="16"/>
              </w:rPr>
              <w:t>5</w:t>
            </w:r>
          </w:p>
        </w:tc>
        <w:tc>
          <w:tcPr>
            <w:tcW w:type="dxa" w:w="3515"/>
          </w:tcPr>
          <w:p>
            <w:pPr>
              <w:spacing w:after="0" w:line="252" w:lineRule="auto"/>
            </w:pPr>
            <w:r>
              <w:rPr>
                <w:sz w:val="16"/>
              </w:rPr>
              <w:t>30, 32, 36, 56</w:t>
            </w:r>
          </w:p>
        </w:tc>
      </w:tr>
      <w:tr>
        <w:tc>
          <w:tcPr>
            <w:tcW w:type="dxa" w:w="1814"/>
          </w:tcPr>
          <w:p>
            <w:pPr>
              <w:spacing w:after="0" w:line="252" w:lineRule="auto"/>
            </w:pPr>
            <w:r>
              <w:rPr>
                <w:sz w:val="16"/>
              </w:rPr>
              <w:t>T (Beutel)</w:t>
            </w:r>
          </w:p>
        </w:tc>
        <w:tc>
          <w:tcPr>
            <w:tcW w:type="dxa" w:w="1587"/>
          </w:tcPr>
          <w:p>
            <w:pPr>
              <w:spacing w:after="0" w:line="252" w:lineRule="auto"/>
            </w:pPr>
            <w:r>
              <w:rPr>
                <w:sz w:val="16"/>
              </w:rPr>
              <w:t>Fachboden/Sonder</w:t>
            </w:r>
          </w:p>
        </w:tc>
        <w:tc>
          <w:tcPr>
            <w:tcW w:type="dxa" w:w="737"/>
          </w:tcPr>
          <w:p>
            <w:pPr>
              <w:spacing w:after="0" w:line="252" w:lineRule="auto"/>
            </w:pPr>
            <w:r>
              <w:rPr>
                <w:sz w:val="16"/>
              </w:rPr>
              <w:t>6</w:t>
            </w:r>
          </w:p>
        </w:tc>
        <w:tc>
          <w:tcPr>
            <w:tcW w:type="dxa" w:w="850"/>
          </w:tcPr>
          <w:p>
            <w:pPr>
              <w:spacing w:after="0" w:line="252" w:lineRule="auto"/>
            </w:pPr>
            <w:r>
              <w:rPr>
                <w:sz w:val="16"/>
              </w:rPr>
              <w:t>1</w:t>
            </w:r>
          </w:p>
        </w:tc>
        <w:tc>
          <w:tcPr>
            <w:tcW w:type="dxa" w:w="1020"/>
          </w:tcPr>
          <w:p>
            <w:pPr>
              <w:spacing w:after="0" w:line="252" w:lineRule="auto"/>
            </w:pPr>
            <w:r>
              <w:rPr>
                <w:sz w:val="16"/>
              </w:rPr>
              <w:t>6</w:t>
            </w:r>
          </w:p>
        </w:tc>
        <w:tc>
          <w:tcPr>
            <w:tcW w:type="dxa" w:w="3515"/>
          </w:tcPr>
          <w:p>
            <w:pPr>
              <w:spacing w:after="0" w:line="252" w:lineRule="auto"/>
            </w:pPr>
            <w:r>
              <w:rPr>
                <w:sz w:val="16"/>
              </w:rPr>
              <w:t>15–55 (je Ebene verschieden)</w:t>
            </w:r>
          </w:p>
        </w:tc>
      </w:tr>
      <w:tr>
        <w:tc>
          <w:tcPr>
            <w:tcW w:type="dxa" w:w="1814"/>
          </w:tcPr>
          <w:p>
            <w:pPr>
              <w:spacing w:after="0" w:line="252" w:lineRule="auto"/>
            </w:pPr>
            <w:r>
              <w:rPr>
                <w:sz w:val="16"/>
              </w:rPr>
              <w:t>U (Kühlschrank, Akku, Gefahrenschrank, Batterieregal, Chemie)</w:t>
            </w:r>
          </w:p>
        </w:tc>
        <w:tc>
          <w:tcPr>
            <w:tcW w:type="dxa" w:w="1587"/>
          </w:tcPr>
          <w:p>
            <w:pPr>
              <w:spacing w:after="0" w:line="252" w:lineRule="auto"/>
            </w:pPr>
            <w:r>
              <w:rPr>
                <w:sz w:val="16"/>
              </w:rPr>
              <w:t>Fachboden/Sonder</w:t>
            </w:r>
          </w:p>
        </w:tc>
        <w:tc>
          <w:tcPr>
            <w:tcW w:type="dxa" w:w="737"/>
          </w:tcPr>
          <w:p>
            <w:pPr>
              <w:spacing w:after="0" w:line="252" w:lineRule="auto"/>
            </w:pPr>
            <w:r>
              <w:rPr>
                <w:sz w:val="16"/>
              </w:rPr>
              <w:t>29</w:t>
            </w:r>
          </w:p>
        </w:tc>
        <w:tc>
          <w:tcPr>
            <w:tcW w:type="dxa" w:w="850"/>
          </w:tcPr>
          <w:p>
            <w:pPr>
              <w:spacing w:after="0" w:line="252" w:lineRule="auto"/>
            </w:pPr>
            <w:r>
              <w:rPr>
                <w:sz w:val="16"/>
              </w:rPr>
              <w:t>6</w:t>
            </w:r>
          </w:p>
        </w:tc>
        <w:tc>
          <w:tcPr>
            <w:tcW w:type="dxa" w:w="1020"/>
          </w:tcPr>
          <w:p>
            <w:pPr>
              <w:spacing w:after="0" w:line="252" w:lineRule="auto"/>
            </w:pPr>
            <w:r>
              <w:rPr>
                <w:sz w:val="16"/>
              </w:rPr>
              <w:t>4–6</w:t>
            </w:r>
          </w:p>
        </w:tc>
        <w:tc>
          <w:tcPr>
            <w:tcW w:type="dxa" w:w="3515"/>
          </w:tcPr>
          <w:p>
            <w:pPr>
              <w:spacing w:after="0" w:line="252" w:lineRule="auto"/>
            </w:pPr>
            <w:r>
              <w:rPr>
                <w:sz w:val="16"/>
              </w:rPr>
              <w:t>20</w:t>
            </w:r>
          </w:p>
        </w:tc>
      </w:tr>
      <w:tr>
        <w:tc>
          <w:tcPr>
            <w:tcW w:type="dxa" w:w="1814"/>
          </w:tcPr>
          <w:p>
            <w:pPr>
              <w:spacing w:after="0" w:line="252" w:lineRule="auto"/>
            </w:pPr>
            <w:r>
              <w:rPr>
                <w:sz w:val="16"/>
              </w:rPr>
              <w:t>V (Verbrauchsmaterial)</w:t>
            </w:r>
          </w:p>
        </w:tc>
        <w:tc>
          <w:tcPr>
            <w:tcW w:type="dxa" w:w="1587"/>
          </w:tcPr>
          <w:p>
            <w:pPr>
              <w:spacing w:after="0" w:line="252" w:lineRule="auto"/>
            </w:pPr>
            <w:r>
              <w:rPr>
                <w:sz w:val="16"/>
              </w:rPr>
              <w:t>Fachboden/Sonder</w:t>
            </w:r>
          </w:p>
        </w:tc>
        <w:tc>
          <w:tcPr>
            <w:tcW w:type="dxa" w:w="737"/>
          </w:tcPr>
          <w:p>
            <w:pPr>
              <w:spacing w:after="0" w:line="252" w:lineRule="auto"/>
            </w:pPr>
            <w:r>
              <w:rPr>
                <w:sz w:val="16"/>
              </w:rPr>
              <w:t>26</w:t>
            </w:r>
          </w:p>
        </w:tc>
        <w:tc>
          <w:tcPr>
            <w:tcW w:type="dxa" w:w="850"/>
          </w:tcPr>
          <w:p>
            <w:pPr>
              <w:spacing w:after="0" w:line="252" w:lineRule="auto"/>
            </w:pPr>
            <w:r>
              <w:rPr>
                <w:sz w:val="16"/>
              </w:rPr>
              <w:t>5</w:t>
            </w:r>
          </w:p>
        </w:tc>
        <w:tc>
          <w:tcPr>
            <w:tcW w:type="dxa" w:w="1020"/>
          </w:tcPr>
          <w:p>
            <w:pPr>
              <w:spacing w:after="0" w:line="252" w:lineRule="auto"/>
            </w:pPr>
            <w:r>
              <w:rPr>
                <w:sz w:val="16"/>
              </w:rPr>
              <w:t>4–6</w:t>
            </w:r>
          </w:p>
        </w:tc>
        <w:tc>
          <w:tcPr>
            <w:tcW w:type="dxa" w:w="3515"/>
          </w:tcPr>
          <w:p>
            <w:pPr>
              <w:spacing w:after="0" w:line="252" w:lineRule="auto"/>
            </w:pPr>
            <w:r>
              <w:rPr>
                <w:sz w:val="16"/>
              </w:rPr>
              <w:t>25, 50</w:t>
            </w:r>
          </w:p>
        </w:tc>
      </w:tr>
      <w:tr>
        <w:tc>
          <w:tcPr>
            <w:tcW w:type="dxa" w:w="1814"/>
          </w:tcPr>
          <w:p>
            <w:pPr>
              <w:spacing w:after="0" w:line="252" w:lineRule="auto"/>
            </w:pPr>
            <w:r>
              <w:rPr>
                <w:sz w:val="16"/>
              </w:rPr>
              <w:t>W (Warenausgang)</w:t>
            </w:r>
          </w:p>
        </w:tc>
        <w:tc>
          <w:tcPr>
            <w:tcW w:type="dxa" w:w="1587"/>
          </w:tcPr>
          <w:p>
            <w:pPr>
              <w:spacing w:after="0" w:line="252" w:lineRule="auto"/>
            </w:pPr>
            <w:r>
              <w:rPr>
                <w:sz w:val="16"/>
              </w:rPr>
              <w:t>Fachboden/Sonder</w:t>
            </w:r>
          </w:p>
        </w:tc>
        <w:tc>
          <w:tcPr>
            <w:tcW w:type="dxa" w:w="737"/>
          </w:tcPr>
          <w:p>
            <w:pPr>
              <w:spacing w:after="0" w:line="252" w:lineRule="auto"/>
            </w:pPr>
            <w:r>
              <w:rPr>
                <w:sz w:val="16"/>
              </w:rPr>
              <w:t>13</w:t>
            </w:r>
          </w:p>
        </w:tc>
        <w:tc>
          <w:tcPr>
            <w:tcW w:type="dxa" w:w="850"/>
          </w:tcPr>
          <w:p>
            <w:pPr>
              <w:spacing w:after="0" w:line="252" w:lineRule="auto"/>
            </w:pPr>
            <w:r>
              <w:rPr>
                <w:sz w:val="16"/>
              </w:rPr>
              <w:t>4</w:t>
            </w:r>
          </w:p>
        </w:tc>
        <w:tc>
          <w:tcPr>
            <w:tcW w:type="dxa" w:w="1020"/>
          </w:tcPr>
          <w:p>
            <w:pPr>
              <w:spacing w:after="0" w:line="252" w:lineRule="auto"/>
            </w:pPr>
            <w:r>
              <w:rPr>
                <w:sz w:val="16"/>
              </w:rPr>
              <w:t>3–4</w:t>
            </w:r>
          </w:p>
        </w:tc>
        <w:tc>
          <w:tcPr>
            <w:tcW w:type="dxa" w:w="3515"/>
          </w:tcPr>
          <w:p>
            <w:pPr>
              <w:spacing w:after="0" w:line="252" w:lineRule="auto"/>
            </w:pPr>
            <w:r>
              <w:rPr>
                <w:sz w:val="16"/>
              </w:rPr>
              <w:t>40, 100</w:t>
            </w:r>
          </w:p>
        </w:tc>
      </w:tr>
    </w:tbl>
    <w:p>
      <w:pPr>
        <w:pStyle w:val="BeschriftungSSI"/>
      </w:pPr>
      <w:r>
        <w:t>Tab. 6: Mengengerüst Lagerplätze (aus Blatt «02 Lagerplatzliste»)</w:t>
      </w:r>
    </w:p>
    <w:p>
      <w:r>
        <w:t>Höhenlogik laut Excel: Die Höhe gilt je einzelnem Lagerplatz. Gelb markiert = Höhe links in derselben Zeile, grün markiert = Höhe rechts (Beispiel K: K-01-03 bis K-07-03 = 130 cm, K-08-03 = 100 cm).</w:t>
      </w:r>
    </w:p>
    <w:p>
      <w:pPr>
        <w:pStyle w:val="Quelle"/>
      </w:pPr>
      <w:r>
        <w:rPr>
          <w:b/>
        </w:rPr>
        <w:t xml:space="preserve">Quelle: </w:t>
      </w:r>
      <w:r>
        <w:rPr>
          <w:sz w:val="17"/>
        </w:rPr>
        <w:t>Lagerstruktur Projekt 3796, Blätter «00 Übersicht», «01 Lagerlayout», «02 Lagerplatzliste»</w:t>
      </w:r>
    </w:p>
    <w:p>
      <w:pPr>
        <w:pStyle w:val="Heading2"/>
      </w:pPr>
      <w:r>
        <w:t>6.2 Abbildung in WAMAS</w:t>
      </w:r>
    </w:p>
    <w:p>
      <w:pPr>
        <w:pStyle w:val="ListBullet"/>
      </w:pPr>
      <w:r>
        <w:t xml:space="preserve">Die manuellen Plätze werden als </w:t>
      </w:r>
      <w:r>
        <w:rPr>
          <w:b/>
        </w:rPr>
        <w:t>externe Lagerplätze</w:t>
      </w:r>
      <w:r>
        <w:t xml:space="preserve"> einer WAMAS-Lift-&amp;-Store-Zone mit Lagerstandort angelegt. Vorschlag: eine Lagerplatzgruppe je Bereich (A … W).</w:t>
      </w:r>
    </w:p>
    <w:p>
      <w:pPr>
        <w:pStyle w:val="ListBullet"/>
      </w:pPr>
      <w:r>
        <w:t xml:space="preserve">Der </w:t>
      </w:r>
      <w:r>
        <w:rPr>
          <w:b/>
        </w:rPr>
        <w:t>Lagerfachträgertyp</w:t>
      </w:r>
      <w:r>
        <w:t xml:space="preserve"> legt Lagereigenschaften und zulässige Ladehilfsmittel fest; er kann mit Tiefe, Breite und Höhe angelegt werden (</w:t>
      </w:r>
      <w:r>
        <w:rPr>
          <w:b/>
        </w:rPr>
        <w:t>LM129</w:t>
      </w:r>
      <w:r>
        <w:t>). Je Einzelplatz lassen sich Abmessungen, Einlagerungs- und Kommissionierreihenfolge sowie eine externe Lagerplatzkennung pflegen (</w:t>
      </w:r>
      <w:r>
        <w:rPr>
          <w:b/>
        </w:rPr>
        <w:t>LM124</w:t>
      </w:r>
      <w:r>
        <w:t>).</w:t>
      </w:r>
    </w:p>
    <w:p>
      <w:pPr>
        <w:pStyle w:val="ListBullet"/>
      </w:pPr>
      <w:r>
        <w:t xml:space="preserve">Die </w:t>
      </w:r>
      <w:r>
        <w:rPr>
          <w:b/>
        </w:rPr>
        <w:t>Lagerplatztypzuordnung</w:t>
      </w:r>
      <w:r>
        <w:t xml:space="preserve"> (</w:t>
      </w:r>
      <w:r>
        <w:rPr>
          <w:b/>
        </w:rPr>
        <w:t>LM132</w:t>
      </w:r>
      <w:r>
        <w:t>) legt fest, welche Artikel (Verpackungsversion) mit welcher Höchstmenge auf einem Platztyp lagern dürfen. Fehlt eine Zuordnung, legt WAMAS sie bei der ersten Einlagerung automatisch an.</w:t>
      </w:r>
    </w:p>
    <w:p>
      <w:pPr>
        <w:pStyle w:val="ListBullet"/>
      </w:pPr>
      <w:r>
        <w:t xml:space="preserve">Lagerplatzetiketten werden am Desktop über </w:t>
      </w:r>
      <w:r>
        <w:rPr>
          <w:b/>
        </w:rPr>
        <w:t>WH004</w:t>
      </w:r>
      <w:r>
        <w:t xml:space="preserve"> → </w:t>
      </w:r>
      <w:r>
        <w:rPr>
          <w:b/>
        </w:rPr>
        <w:t>RM001</w:t>
      </w:r>
      <w:r>
        <w:t xml:space="preserve"> gedruckt.</w:t>
      </w:r>
    </w:p>
    <w:p>
      <w:pPr>
        <w:pStyle w:val="Quelle"/>
      </w:pPr>
      <w:r>
        <w:rPr>
          <w:b/>
        </w:rPr>
        <w:t xml:space="preserve">Quelle: </w:t>
      </w:r>
      <w:r>
        <w:rPr>
          <w:sz w:val="17"/>
        </w:rPr>
        <w:t>AH 2.7 Kap. 3.1.13–3.1.15, 3.4.2; BH 2.7 Kap. 6.8.1.3</w:t>
      </w:r>
    </w:p>
    <w:p>
      <w:pPr>
        <w:pStyle w:val="Heading2"/>
      </w:pPr>
      <w:r>
        <w:t>6.3 Lagerplatzcodierung</w:t>
      </w:r>
    </w:p>
    <w:p>
      <w:r>
        <w:t xml:space="preserve">Bestehende Codierung: </w:t>
      </w:r>
      <w:r>
        <w:rPr>
          <w:rFonts w:ascii="Consolas" w:hAnsi="Consolas" w:cs="Consolas" w:eastAsia="Consolas"/>
          <w:sz w:val="18"/>
        </w:rPr>
        <w:t>&lt;Bereich&gt;-&lt;Feld&gt;-&lt;Ebene&gt;</w:t>
      </w:r>
      <w:r>
        <w:t xml:space="preserve"> mit Bereich aus einem oder zwei Buchstaben (z. B. </w:t>
      </w:r>
      <w:r>
        <w:rPr>
          <w:rFonts w:ascii="Consolas" w:hAnsi="Consolas" w:cs="Consolas" w:eastAsia="Consolas"/>
          <w:sz w:val="18"/>
        </w:rPr>
        <w:t>SS</w:t>
      </w:r>
      <w:r>
        <w:t xml:space="preserve">), Feld und Ebene zweistellig, Ebene von unten gezählt (z. B. </w:t>
      </w:r>
      <w:r>
        <w:rPr>
          <w:rFonts w:ascii="Consolas" w:hAnsi="Consolas" w:cs="Consolas" w:eastAsia="Consolas"/>
          <w:sz w:val="18"/>
        </w:rPr>
        <w:t>A-01-01</w:t>
      </w:r>
      <w:r>
        <w:t xml:space="preserve"> unten, </w:t>
      </w:r>
      <w:r>
        <w:rPr>
          <w:rFonts w:ascii="Consolas" w:hAnsi="Consolas" w:cs="Consolas" w:eastAsia="Consolas"/>
          <w:sz w:val="18"/>
        </w:rPr>
        <w:t>A-01-04</w:t>
      </w:r>
      <w:r>
        <w:t xml:space="preserve"> oben).</w:t>
      </w:r>
    </w:p>
    <w:p>
      <w:r>
        <w:t>Der WAMAS-Generator (</w:t>
      </w:r>
      <w:r>
        <w:rPr>
          <w:b/>
        </w:rPr>
        <w:t>LM126</w:t>
      </w:r>
      <w:r>
        <w:t xml:space="preserve">) benennt externe Plätze nach dem Muster </w:t>
      </w:r>
      <w:r>
        <w:rPr>
          <w:b/>
        </w:rPr>
        <w:t>Zone–Gruppenname–Spalten-ID–Reihen-ID</w:t>
      </w:r>
      <w:r>
        <w:t xml:space="preserve"> (Handbuchbeispiel </w:t>
      </w:r>
      <w:r>
        <w:rPr>
          <w:rFonts w:ascii="Consolas" w:hAnsi="Consolas" w:cs="Consolas" w:eastAsia="Consolas"/>
          <w:sz w:val="18"/>
        </w:rPr>
        <w:t>LG1-RackA-001-002</w:t>
      </w:r>
      <w:r>
        <w:t>) und erzeugt je Gruppe ein Raster aus Spalten × Reihen. Die bestehenden Codes entsprechen diesem Muster nicht direkt.</w:t>
      </w:r>
    </w:p>
    <w:p>
      <w:r>
        <w:t>Lösungswege (Entscheid → OP-04):</w:t>
      </w:r>
    </w:p>
    <w:p>
      <w:pPr>
        <w:tabs>
          <w:tab w:pos="425" w:val="left"/>
        </w:tabs>
        <w:spacing w:after="60"/>
        <w:ind w:left="425" w:hanging="425"/>
      </w:pPr>
      <w:r>
        <w:rPr>
          <w:b/>
        </w:rPr>
        <w:t>1.</w:t>
        <w:tab/>
      </w:r>
      <w:r>
        <w:t xml:space="preserve">Plätze mit dem Generator anlegen und den bestehenden Code als </w:t>
      </w:r>
      <w:r>
        <w:rPr>
          <w:b/>
        </w:rPr>
        <w:t>externe Lagerplatzkennung</w:t>
      </w:r>
      <w:r>
        <w:t xml:space="preserve"> (</w:t>
      </w:r>
      <w:r>
        <w:rPr>
          <w:b/>
        </w:rPr>
        <w:t>LM124</w:t>
      </w:r>
      <w:r>
        <w:t>) führen; Scan und Etikett müssen dann die Kennung verwenden (zu bestätigen).</w:t>
      </w:r>
    </w:p>
    <w:p>
      <w:pPr>
        <w:tabs>
          <w:tab w:pos="425" w:val="left"/>
        </w:tabs>
        <w:spacing w:after="60"/>
        <w:ind w:left="425" w:hanging="425"/>
      </w:pPr>
      <w:r>
        <w:rPr>
          <w:b/>
        </w:rPr>
        <w:t>2.</w:t>
        <w:tab/>
      </w:r>
      <w:r>
        <w:t>Plätze per CSV-Import (</w:t>
      </w:r>
      <w:r>
        <w:rPr>
          <w:b/>
        </w:rPr>
        <w:t>LM125</w:t>
      </w:r>
      <w:r>
        <w:t xml:space="preserve"> → </w:t>
      </w:r>
      <w:r>
        <w:rPr>
          <w:b/>
        </w:rPr>
        <w:t>Externe Lagerplätze importieren</w:t>
      </w:r>
      <w:r>
        <w:t>) mit eigener Platzkennung anlegen. Das Importbeispiel zeigt eine frei wählbare Kennung; der Spaltenaufbau ist im Handbuch nicht dokumentiert.</w:t>
      </w:r>
    </w:p>
    <w:p>
      <w:r>
        <w:t>Unregelmässige Bereiche passen nicht in ein Rechteckraster: C (Feld 1–2 mit 4, Feld 3–8 mit 3 Ebenen), F (Feld 1–5 mit 4, Feld 6–8 mit 3 Ebenen), R (Feld 2 mit 5 statt 6 Ebenen), U, V und W (je Feld verschieden). Hier ist der Import oder eine Aufteilung in mehrere Gruppen nötig (Prüfpunkt 2).</w:t>
      </w:r>
    </w:p>
    <w:p>
      <w:pPr>
        <w:pStyle w:val="Quelle"/>
      </w:pPr>
      <w:r>
        <w:rPr>
          <w:b/>
        </w:rPr>
        <w:t xml:space="preserve">Quelle: </w:t>
      </w:r>
      <w:r>
        <w:rPr>
          <w:sz w:val="17"/>
        </w:rPr>
        <w:t>AH 2.7 Kap. 3.1.13, 3.1.13.2, 3.1.14.1; Lagerstruktur Projekt 3796, Blatt «01 Lagerlayout»</w:t>
      </w:r>
    </w:p>
    <w:p>
      <w:pPr>
        <w:pStyle w:val="Heading2"/>
      </w:pPr>
      <w:r>
        <w:t>6.4 Höhen und Kapazitäten</w:t>
      </w:r>
    </w:p>
    <w:p>
      <w:pPr>
        <w:pStyle w:val="ListBullet"/>
      </w:pPr>
      <w:r>
        <w:t>Die Höhe je Platz kann als Abmessung des Einzelplatzes (</w:t>
      </w:r>
      <w:r>
        <w:rPr>
          <w:b/>
        </w:rPr>
        <w:t>LM124</w:t>
      </w:r>
      <w:r>
        <w:t>) bzw. über Lagerfachträgertypen je Höhenklasse geführt werden. Ob die externe Einlagerstrategie die Platzhöhe gegen die Artikel- bzw. Ladeeinheitenmasse prüft, ist zu bestätigen (Prüfpunkt 5, → OP-20).</w:t>
      </w:r>
    </w:p>
    <w:p>
      <w:pPr>
        <w:pStyle w:val="ListBullet"/>
      </w:pPr>
      <w:r>
        <w:t>Für die Platzfindung nach Platzbedarf braucht WAMAS Artikel- bzw. Verpackungsabmessungen. Ob diese in Abacus gepflegt sind, ist offen.</w:t>
      </w:r>
    </w:p>
    <w:p>
      <w:pPr>
        <w:pStyle w:val="ListBullet"/>
      </w:pPr>
      <w:r>
        <w:t>Kapazität je Platz (z. B. Anzahl Paletten je Palettenplatz, Tiefe und Breite) ist in der Excel nicht angegeben.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Datenlücken in der Lagerstruktur</w:t>
            </w:r>
          </w:p>
          <w:p>
            <w:pPr>
              <w:spacing w:after="40"/>
            </w:pPr>
            <w:r>
              <w:rPr>
                <w:sz w:val="19"/>
              </w:rPr>
              <w:t>- M-03-03 und N-03-03 haben in der Lagerplatzliste keine Höhe (Layout: grün markiert, rechte Höhe 100 cm).</w:t>
            </w:r>
          </w:p>
          <w:p>
            <w:pPr>
              <w:spacing w:after="40"/>
            </w:pPr>
            <w:r>
              <w:rPr>
                <w:sz w:val="19"/>
              </w:rPr>
              <w:t>- Prüfpunkt 6 nennt Schubladenplätze; im Layout ist kein Schubladenbereich erkennbar.</w:t>
            </w:r>
          </w:p>
          <w:p>
            <w:pPr>
              <w:spacing w:after="40"/>
            </w:pPr>
            <w:r>
              <w:rPr>
                <w:sz w:val="19"/>
              </w:rPr>
              <w:t>- Bereich W (Warenausgang): Lagerplatz mit Bestand oder Bereitstell-/Zielplatz für kommissionierte Ware?</w:t>
            </w:r>
          </w:p>
          <w:p>
            <w:pPr>
              <w:spacing w:after="40"/>
            </w:pPr>
            <w:r>
              <w:rPr>
                <w:sz w:val="19"/>
              </w:rPr>
              <w:t>- Bereich U: besondere Lagerbedingungen (Kühlschrank, Akku, Gefahrenschrank, Chemie) und deren Abbildung (→ OP-14).</w:t>
            </w:r>
          </w:p>
          <w:p>
            <w:pPr>
              <w:spacing w:after="40"/>
            </w:pPr>
            <w:r>
              <w:rPr>
                <w:sz w:val="19"/>
              </w:rPr>
              <w:t>(→ OP-15)</w:t>
            </w:r>
          </w:p>
        </w:tc>
      </w:tr>
    </w:tbl>
    <w:p>
      <w:pPr>
        <w:spacing w:after="40"/>
      </w:pPr>
    </w:p>
    <w:p>
      <w:pPr>
        <w:pStyle w:val="Heading2"/>
      </w:pPr>
      <w:r>
        <w:t>6.5 Prüfpunkte SSI aus der Lagerstruktur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3"/>
        <w:gridCol w:w="1701"/>
        <w:gridCol w:w="3175"/>
        <w:gridCol w:w="4195"/>
      </w:tblGrid>
      <w:tr>
        <w:trPr>
          <w:tblHeader w:val="true"/>
        </w:trPr>
        <w:tc>
          <w:tcPr>
            <w:tcW w:type="dxa" w:w="454"/>
            <w:shd w:val="clear" w:color="auto" w:fill="FEEE19"/>
          </w:tcPr>
          <w:p>
            <w:pPr>
              <w:spacing w:after="0"/>
            </w:pPr>
            <w:r>
              <w:rPr>
                <w:b/>
                <w:sz w:val="16"/>
              </w:rPr>
              <w:t>Nr.</w:t>
            </w:r>
          </w:p>
        </w:tc>
        <w:tc>
          <w:tcPr>
            <w:tcW w:type="dxa" w:w="1701"/>
            <w:shd w:val="clear" w:color="auto" w:fill="FEEE19"/>
          </w:tcPr>
          <w:p>
            <w:pPr>
              <w:spacing w:after="0"/>
            </w:pPr>
            <w:r>
              <w:rPr>
                <w:b/>
                <w:sz w:val="16"/>
              </w:rPr>
              <w:t>Thema</w:t>
            </w:r>
          </w:p>
        </w:tc>
        <w:tc>
          <w:tcPr>
            <w:tcW w:type="dxa" w:w="3175"/>
            <w:shd w:val="clear" w:color="auto" w:fill="FEEE19"/>
          </w:tcPr>
          <w:p>
            <w:pPr>
              <w:spacing w:after="0"/>
            </w:pPr>
            <w:r>
              <w:rPr>
                <w:b/>
                <w:sz w:val="16"/>
              </w:rPr>
              <w:t>Klärpunkt (Excel)</w:t>
            </w:r>
          </w:p>
        </w:tc>
        <w:tc>
          <w:tcPr>
            <w:tcW w:type="dxa" w:w="4195"/>
            <w:shd w:val="clear" w:color="auto" w:fill="FEEE19"/>
          </w:tcPr>
          <w:p>
            <w:pPr>
              <w:spacing w:after="0"/>
            </w:pPr>
            <w:r>
              <w:rPr>
                <w:b/>
                <w:sz w:val="16"/>
              </w:rPr>
              <w:t>Stand Pflichtenheft V 0.1</w:t>
            </w:r>
          </w:p>
        </w:tc>
      </w:tr>
      <w:tr>
        <w:tc>
          <w:tcPr>
            <w:tcW w:type="dxa" w:w="454"/>
          </w:tcPr>
          <w:p>
            <w:pPr>
              <w:spacing w:after="0" w:line="252" w:lineRule="auto"/>
            </w:pPr>
            <w:r>
              <w:rPr>
                <w:sz w:val="16"/>
              </w:rPr>
              <w:t>1</w:t>
            </w:r>
          </w:p>
        </w:tc>
        <w:tc>
          <w:tcPr>
            <w:tcW w:type="dxa" w:w="1701"/>
          </w:tcPr>
          <w:p>
            <w:pPr>
              <w:spacing w:after="0" w:line="252" w:lineRule="auto"/>
            </w:pPr>
            <w:r>
              <w:rPr>
                <w:sz w:val="16"/>
              </w:rPr>
              <w:t>Lagerplatzcodierung</w:t>
            </w:r>
          </w:p>
        </w:tc>
        <w:tc>
          <w:tcPr>
            <w:tcW w:type="dxa" w:w="3175"/>
          </w:tcPr>
          <w:p>
            <w:pPr>
              <w:spacing w:after="0" w:line="252" w:lineRule="auto"/>
            </w:pPr>
            <w:r>
              <w:rPr>
                <w:sz w:val="16"/>
              </w:rPr>
              <w:t>Definitive WAMAS-Codierung anhand der bestehenden Bezeichnungen bestätigen</w:t>
            </w:r>
          </w:p>
        </w:tc>
        <w:tc>
          <w:tcPr>
            <w:tcW w:type="dxa" w:w="4195"/>
          </w:tcPr>
          <w:p>
            <w:pPr>
              <w:spacing w:after="0" w:line="252" w:lineRule="auto"/>
            </w:pPr>
            <w:r>
              <w:rPr>
                <w:sz w:val="16"/>
              </w:rPr>
              <w:t>Zwei Lösungswege (Kap. 6.3); Entscheid offen, OP-04</w:t>
            </w:r>
          </w:p>
        </w:tc>
      </w:tr>
      <w:tr>
        <w:tc>
          <w:tcPr>
            <w:tcW w:type="dxa" w:w="454"/>
          </w:tcPr>
          <w:p>
            <w:pPr>
              <w:spacing w:after="0" w:line="252" w:lineRule="auto"/>
            </w:pPr>
            <w:r>
              <w:rPr>
                <w:sz w:val="16"/>
              </w:rPr>
              <w:t>2</w:t>
            </w:r>
          </w:p>
        </w:tc>
        <w:tc>
          <w:tcPr>
            <w:tcW w:type="dxa" w:w="1701"/>
          </w:tcPr>
          <w:p>
            <w:pPr>
              <w:spacing w:after="0" w:line="252" w:lineRule="auto"/>
            </w:pPr>
            <w:r>
              <w:rPr>
                <w:sz w:val="16"/>
              </w:rPr>
              <w:t>Palettenregale A–O</w:t>
            </w:r>
          </w:p>
        </w:tc>
        <w:tc>
          <w:tcPr>
            <w:tcW w:type="dxa" w:w="3175"/>
          </w:tcPr>
          <w:p>
            <w:pPr>
              <w:spacing w:after="0" w:line="252" w:lineRule="auto"/>
            </w:pPr>
            <w:r>
              <w:rPr>
                <w:sz w:val="16"/>
              </w:rPr>
              <w:t>Feld-/Ebenenstruktur direkt übernehmen?</w:t>
            </w:r>
          </w:p>
        </w:tc>
        <w:tc>
          <w:tcPr>
            <w:tcW w:type="dxa" w:w="4195"/>
          </w:tcPr>
          <w:p>
            <w:pPr>
              <w:spacing w:after="0" w:line="252" w:lineRule="auto"/>
            </w:pPr>
            <w:r>
              <w:rPr>
                <w:sz w:val="16"/>
              </w:rPr>
              <w:t>Grundsätzlich ja (Gruppe = Bereich, Spalte = Feld, Reihe = Ebene); C und F unregelmässig; OP-04</w:t>
            </w:r>
          </w:p>
        </w:tc>
      </w:tr>
      <w:tr>
        <w:tc>
          <w:tcPr>
            <w:tcW w:type="dxa" w:w="454"/>
          </w:tcPr>
          <w:p>
            <w:pPr>
              <w:spacing w:after="0" w:line="252" w:lineRule="auto"/>
            </w:pPr>
            <w:r>
              <w:rPr>
                <w:sz w:val="16"/>
              </w:rPr>
              <w:t>3</w:t>
            </w:r>
          </w:p>
        </w:tc>
        <w:tc>
          <w:tcPr>
            <w:tcW w:type="dxa" w:w="1701"/>
          </w:tcPr>
          <w:p>
            <w:pPr>
              <w:spacing w:after="0" w:line="252" w:lineRule="auto"/>
            </w:pPr>
            <w:r>
              <w:rPr>
                <w:sz w:val="16"/>
              </w:rPr>
              <w:t>Blocklager P</w:t>
            </w:r>
          </w:p>
        </w:tc>
        <w:tc>
          <w:tcPr>
            <w:tcW w:type="dxa" w:w="3175"/>
          </w:tcPr>
          <w:p>
            <w:pPr>
              <w:spacing w:after="0" w:line="252" w:lineRule="auto"/>
            </w:pPr>
            <w:r>
              <w:rPr>
                <w:sz w:val="16"/>
              </w:rPr>
              <w:t>Abbildung und Kennzeichnung</w:t>
            </w:r>
          </w:p>
        </w:tc>
        <w:tc>
          <w:tcPr>
            <w:tcW w:type="dxa" w:w="4195"/>
          </w:tcPr>
          <w:p>
            <w:pPr>
              <w:spacing w:after="0" w:line="252" w:lineRule="auto"/>
            </w:pPr>
            <w:r>
              <w:rPr>
                <w:sz w:val="16"/>
              </w:rPr>
              <w:t>Vorschlag: eigene Gruppe P, 8 Plätze, 1 Ebene, Höhe 250 cm; Kapazität je Bodenplatz und Bodenkennzeichnung offen, OP-15</w:t>
            </w:r>
          </w:p>
        </w:tc>
      </w:tr>
      <w:tr>
        <w:tc>
          <w:tcPr>
            <w:tcW w:type="dxa" w:w="454"/>
          </w:tcPr>
          <w:p>
            <w:pPr>
              <w:spacing w:after="0" w:line="252" w:lineRule="auto"/>
            </w:pPr>
            <w:r>
              <w:rPr>
                <w:sz w:val="16"/>
              </w:rPr>
              <w:t>4</w:t>
            </w:r>
          </w:p>
        </w:tc>
        <w:tc>
          <w:tcPr>
            <w:tcW w:type="dxa" w:w="1701"/>
          </w:tcPr>
          <w:p>
            <w:pPr>
              <w:spacing w:after="0" w:line="252" w:lineRule="auto"/>
            </w:pPr>
            <w:r>
              <w:rPr>
                <w:sz w:val="16"/>
              </w:rPr>
              <w:t>Fachboden</w:t>
            </w:r>
          </w:p>
        </w:tc>
        <w:tc>
          <w:tcPr>
            <w:tcW w:type="dxa" w:w="3175"/>
          </w:tcPr>
          <w:p>
            <w:pPr>
              <w:spacing w:after="0" w:line="252" w:lineRule="auto"/>
            </w:pPr>
            <w:r>
              <w:rPr>
                <w:sz w:val="16"/>
              </w:rPr>
              <w:t>Fachboden/Tablar als ein Platz mit mehreren Artikeln?</w:t>
            </w:r>
          </w:p>
        </w:tc>
        <w:tc>
          <w:tcPr>
            <w:tcW w:type="dxa" w:w="4195"/>
          </w:tcPr>
          <w:p>
            <w:pPr>
              <w:spacing w:after="0" w:line="252" w:lineRule="auto"/>
            </w:pPr>
            <w:r>
              <w:rPr>
                <w:sz w:val="16"/>
              </w:rPr>
              <w:t>Mehrere Bestandsobjekte je Platz vorgesehen; Mischbelegung und Homogenität bestätigen, OP-04</w:t>
            </w:r>
          </w:p>
        </w:tc>
      </w:tr>
      <w:tr>
        <w:tc>
          <w:tcPr>
            <w:tcW w:type="dxa" w:w="454"/>
          </w:tcPr>
          <w:p>
            <w:pPr>
              <w:spacing w:after="0" w:line="252" w:lineRule="auto"/>
            </w:pPr>
            <w:r>
              <w:rPr>
                <w:sz w:val="16"/>
              </w:rPr>
              <w:t>5</w:t>
            </w:r>
          </w:p>
        </w:tc>
        <w:tc>
          <w:tcPr>
            <w:tcW w:type="dxa" w:w="1701"/>
          </w:tcPr>
          <w:p>
            <w:pPr>
              <w:spacing w:after="0" w:line="252" w:lineRule="auto"/>
            </w:pPr>
            <w:r>
              <w:rPr>
                <w:sz w:val="16"/>
              </w:rPr>
              <w:t>Gemischte Höhen</w:t>
            </w:r>
          </w:p>
        </w:tc>
        <w:tc>
          <w:tcPr>
            <w:tcW w:type="dxa" w:w="3175"/>
          </w:tcPr>
          <w:p>
            <w:pPr>
              <w:spacing w:after="0" w:line="252" w:lineRule="auto"/>
            </w:pPr>
            <w:r>
              <w:rPr>
                <w:sz w:val="16"/>
              </w:rPr>
              <w:t>Höhe je Platz als Stamminformation</w:t>
            </w:r>
          </w:p>
        </w:tc>
        <w:tc>
          <w:tcPr>
            <w:tcW w:type="dxa" w:w="4195"/>
          </w:tcPr>
          <w:p>
            <w:pPr>
              <w:spacing w:after="0" w:line="252" w:lineRule="auto"/>
            </w:pPr>
            <w:r>
              <w:rPr>
                <w:sz w:val="16"/>
              </w:rPr>
              <w:t>Abmessung je Platz pflegbar; Wirkung in der Strategie offen, OP-20</w:t>
            </w:r>
          </w:p>
        </w:tc>
      </w:tr>
      <w:tr>
        <w:tc>
          <w:tcPr>
            <w:tcW w:type="dxa" w:w="454"/>
          </w:tcPr>
          <w:p>
            <w:pPr>
              <w:spacing w:after="0" w:line="252" w:lineRule="auto"/>
            </w:pPr>
            <w:r>
              <w:rPr>
                <w:sz w:val="16"/>
              </w:rPr>
              <w:t>6</w:t>
            </w:r>
          </w:p>
        </w:tc>
        <w:tc>
          <w:tcPr>
            <w:tcW w:type="dxa" w:w="1701"/>
          </w:tcPr>
          <w:p>
            <w:pPr>
              <w:spacing w:after="0" w:line="252" w:lineRule="auto"/>
            </w:pPr>
            <w:r>
              <w:rPr>
                <w:sz w:val="16"/>
              </w:rPr>
              <w:t>Schubladen</w:t>
            </w:r>
          </w:p>
        </w:tc>
        <w:tc>
          <w:tcPr>
            <w:tcW w:type="dxa" w:w="3175"/>
          </w:tcPr>
          <w:p>
            <w:pPr>
              <w:spacing w:after="0" w:line="252" w:lineRule="auto"/>
            </w:pPr>
            <w:r>
              <w:rPr>
                <w:sz w:val="16"/>
              </w:rPr>
              <w:t>Schubladenplätze, mehrere Artikel je Platz</w:t>
            </w:r>
          </w:p>
        </w:tc>
        <w:tc>
          <w:tcPr>
            <w:tcW w:type="dxa" w:w="4195"/>
          </w:tcPr>
          <w:p>
            <w:pPr>
              <w:spacing w:after="0" w:line="252" w:lineRule="auto"/>
            </w:pPr>
            <w:r>
              <w:rPr>
                <w:sz w:val="16"/>
              </w:rPr>
              <w:t>Schubladenbereich im Layout nicht identifiziert, OP-15</w:t>
            </w:r>
          </w:p>
        </w:tc>
      </w:tr>
      <w:tr>
        <w:tc>
          <w:tcPr>
            <w:tcW w:type="dxa" w:w="454"/>
          </w:tcPr>
          <w:p>
            <w:pPr>
              <w:spacing w:after="0" w:line="252" w:lineRule="auto"/>
            </w:pPr>
            <w:r>
              <w:rPr>
                <w:sz w:val="16"/>
              </w:rPr>
              <w:t>7</w:t>
            </w:r>
          </w:p>
        </w:tc>
        <w:tc>
          <w:tcPr>
            <w:tcW w:type="dxa" w:w="1701"/>
          </w:tcPr>
          <w:p>
            <w:pPr>
              <w:spacing w:after="0" w:line="252" w:lineRule="auto"/>
            </w:pPr>
            <w:r>
              <w:rPr>
                <w:sz w:val="16"/>
              </w:rPr>
              <w:t>Beschriftung</w:t>
            </w:r>
          </w:p>
        </w:tc>
        <w:tc>
          <w:tcPr>
            <w:tcW w:type="dxa" w:w="3175"/>
          </w:tcPr>
          <w:p>
            <w:pPr>
              <w:spacing w:after="0" w:line="252" w:lineRule="auto"/>
            </w:pPr>
            <w:r>
              <w:rPr>
                <w:sz w:val="16"/>
              </w:rPr>
              <w:t>Barcode-/QR-Format und Platzbeschriftung</w:t>
            </w:r>
          </w:p>
        </w:tc>
        <w:tc>
          <w:tcPr>
            <w:tcW w:type="dxa" w:w="4195"/>
          </w:tcPr>
          <w:p>
            <w:pPr>
              <w:spacing w:after="0" w:line="252" w:lineRule="auto"/>
            </w:pPr>
            <w:r>
              <w:rPr>
                <w:sz w:val="16"/>
              </w:rPr>
              <w:t>Lagerplatzetikett über WH004/RM001; Format abhängig von Codierung und Scanner, OP-03/OP-04</w:t>
            </w:r>
          </w:p>
        </w:tc>
      </w:tr>
    </w:tbl>
    <w:p>
      <w:pPr>
        <w:pStyle w:val="BeschriftungSSI"/>
      </w:pPr>
      <w:r>
        <w:t>Tab. 7: Prüfpunkte SSI (alle Status «Offen», Priorität «Muss»)</w:t>
      </w:r>
    </w:p>
    <w:p>
      <w:pPr>
        <w:pStyle w:val="Quelle"/>
      </w:pPr>
      <w:r>
        <w:rPr>
          <w:b/>
        </w:rPr>
        <w:t xml:space="preserve">Quelle: </w:t>
      </w:r>
      <w:r>
        <w:rPr>
          <w:sz w:val="17"/>
        </w:rPr>
        <w:t>Lagerstruktur Projekt 3796, Blatt «03 Prüfpunkte SSI»</w:t>
      </w:r>
    </w:p>
    <w:p>
      <w:pPr>
        <w:pStyle w:val="Heading1"/>
      </w:pPr>
      <w:r>
        <w:t>7 Prozesse</w:t>
      </w:r>
    </w:p>
    <w:p>
      <w:r>
        <w:t>Die Soll-Abläufe beschreiben den vorgesehenen Ablauf für die manuellen Plätze. Logimat-Positionen laufen wie heute über den Touch-Client. Mobil-Dialoge sind nach Benutzerhandbuch 2.7 bzw. User Manual 2.8 (Kap. 6.3) benannt.</w:t>
      </w:r>
    </w:p>
    <w:p>
      <w:pPr>
        <w:pStyle w:val="Heading2"/>
      </w:pPr>
      <w:r>
        <w:t>7.1 Wareneingang und Einlagerung</w:t>
      </w:r>
    </w:p>
    <w:p>
      <w:pPr>
        <w:tabs>
          <w:tab w:pos="425" w:val="left"/>
        </w:tabs>
        <w:spacing w:after="60"/>
        <w:ind w:left="425" w:hanging="425"/>
      </w:pPr>
      <w:r>
        <w:rPr>
          <w:b/>
        </w:rPr>
        <w:t>1.</w:t>
        <w:tab/>
      </w:r>
      <w:r>
        <w:t>Wareneingang wird in Abacus gebucht (unverändert).</w:t>
      </w:r>
    </w:p>
    <w:p>
      <w:pPr>
        <w:tabs>
          <w:tab w:pos="425" w:val="left"/>
        </w:tabs>
        <w:spacing w:after="60"/>
        <w:ind w:left="425" w:hanging="425"/>
      </w:pPr>
      <w:r>
        <w:rPr>
          <w:b/>
        </w:rPr>
        <w:t>2.</w:t>
        <w:tab/>
      </w:r>
      <w:r>
        <w:t>Abacus/BPE übermittelt einen Einlagerbedarf (</w:t>
      </w:r>
      <w:r>
        <w:rPr>
          <w:rFonts w:ascii="Consolas" w:hAnsi="Consolas" w:cs="Consolas" w:eastAsia="Consolas"/>
          <w:sz w:val="18"/>
        </w:rPr>
        <w:t>WLSSD003</w:t>
      </w:r>
      <w:r>
        <w:t xml:space="preserve">, Zeilen </w:t>
      </w:r>
      <w:r>
        <w:rPr>
          <w:rFonts w:ascii="Consolas" w:hAnsi="Consolas" w:cs="Consolas" w:eastAsia="Consolas"/>
          <w:sz w:val="18"/>
        </w:rPr>
        <w:t>WLSSDL002</w:t>
      </w:r>
      <w:r>
        <w:t>) mit Artikel, Menge, Charge und ABIA (Seriennummer). Die Zone (Logimat oder manuell) wird mitgegeben (Regel → OP-01, OP-11).</w:t>
      </w:r>
    </w:p>
    <w:p>
      <w:pPr>
        <w:tabs>
          <w:tab w:pos="425" w:val="left"/>
        </w:tabs>
        <w:spacing w:after="60"/>
        <w:ind w:left="425" w:hanging="425"/>
      </w:pPr>
      <w:r>
        <w:rPr>
          <w:b/>
        </w:rPr>
        <w:t>3.</w:t>
        <w:tab/>
      </w:r>
      <w:r>
        <w:t xml:space="preserve">Mobilterminal: </w:t>
      </w:r>
      <w:r>
        <w:rPr>
          <w:b/>
        </w:rPr>
        <w:t>WLM001 Tätigkeiten</w:t>
      </w:r>
      <w:r>
        <w:t xml:space="preserve"> → </w:t>
      </w:r>
      <w:r>
        <w:rPr>
          <w:b/>
        </w:rPr>
        <w:t>Einlagerung</w:t>
      </w:r>
      <w:r>
        <w:t xml:space="preserve"> → </w:t>
      </w:r>
      <w:r>
        <w:rPr>
          <w:b/>
        </w:rPr>
        <w:t>MLS003</w:t>
      </w:r>
      <w:r>
        <w:t xml:space="preserve"> Artikel oder Einlagerbedarf scannen (QR-Code → OP-03).</w:t>
      </w:r>
    </w:p>
    <w:p>
      <w:pPr>
        <w:tabs>
          <w:tab w:pos="425" w:val="left"/>
        </w:tabs>
        <w:spacing w:after="60"/>
        <w:ind w:left="425" w:hanging="425"/>
      </w:pPr>
      <w:r>
        <w:rPr>
          <w:b/>
        </w:rPr>
        <w:t>4.</w:t>
        <w:tab/>
      </w:r>
      <w:r>
        <w:rPr>
          <w:b/>
        </w:rPr>
        <w:t>MLS002 Einlagerung bestätigen</w:t>
      </w:r>
      <w:r>
        <w:t xml:space="preserve"> → </w:t>
      </w:r>
      <w:r>
        <w:rPr>
          <w:b/>
        </w:rPr>
        <w:t>F2 Ziel vorschlagen</w:t>
      </w:r>
      <w:r>
        <w:t xml:space="preserve">: WAMAS schlägt in </w:t>
      </w:r>
      <w:r>
        <w:rPr>
          <w:b/>
        </w:rPr>
        <w:t>MLS004</w:t>
      </w:r>
      <w:r>
        <w:t xml:space="preserve"> einen externen Platz nach der Lagerreservierungsstrategie vor. Der Mitarbeitende kann einen anderen geeigneten Platz wählen (Lastenheft 3.6).</w:t>
      </w:r>
    </w:p>
    <w:p>
      <w:pPr>
        <w:tabs>
          <w:tab w:pos="425" w:val="left"/>
        </w:tabs>
        <w:spacing w:after="60"/>
        <w:ind w:left="425" w:hanging="425"/>
      </w:pPr>
      <w:r>
        <w:rPr>
          <w:b/>
        </w:rPr>
        <w:t>5.</w:t>
        <w:tab/>
      </w:r>
      <w:r>
        <w:t xml:space="preserve">Platz bestätigen, </w:t>
      </w:r>
      <w:r>
        <w:rPr>
          <w:b/>
        </w:rPr>
        <w:t>MLS006</w:t>
      </w:r>
      <w:r>
        <w:t>/</w:t>
      </w:r>
      <w:r>
        <w:rPr>
          <w:b/>
        </w:rPr>
        <w:t>MLS007</w:t>
      </w:r>
      <w:r>
        <w:t xml:space="preserve"> melden den fertiggestellten Einlagerbedarf; Rückmeldung an Abacus (</w:t>
      </w:r>
      <w:r>
        <w:rPr>
          <w:rFonts w:ascii="Consolas" w:hAnsi="Consolas" w:cs="Consolas" w:eastAsia="Consolas"/>
          <w:sz w:val="18"/>
        </w:rPr>
        <w:t>WLSSDLACK001</w:t>
      </w:r>
      <w:r>
        <w:t>).</w:t>
      </w:r>
    </w:p>
    <w:p>
      <w:r>
        <w:t xml:space="preserve">Strategie (Konfiguration): Lagerreservierungsstrategie wird zuerst am Artikel, dann an der Warengruppe, zuletzt am Einlagerbedarfstyp gesucht. Für externe Plätze stehen </w:t>
      </w:r>
      <w:r>
        <w:rPr>
          <w:rFonts w:ascii="Consolas" w:hAnsi="Consolas" w:cs="Consolas" w:eastAsia="Consolas"/>
          <w:sz w:val="18"/>
        </w:rPr>
        <w:t>ASSIGNMENT_EXTERN</w:t>
      </w:r>
      <w:r>
        <w:t xml:space="preserve"> (Gruppe und Reihenfolge, Verpackungsversion, Artikelbeschränkungen, Kapazität, Bestandsniveau), </w:t>
      </w:r>
      <w:r>
        <w:rPr>
          <w:rFonts w:ascii="Consolas" w:hAnsi="Consolas" w:cs="Consolas" w:eastAsia="Consolas"/>
          <w:sz w:val="18"/>
        </w:rPr>
        <w:t>LOWEST_STOCK_EXTERN</w:t>
      </w:r>
      <w:r>
        <w:t xml:space="preserve"> (Ausgleich über Gruppen) und </w:t>
      </w:r>
      <w:r>
        <w:rPr>
          <w:rFonts w:ascii="Consolas" w:hAnsi="Consolas" w:cs="Consolas" w:eastAsia="Consolas"/>
          <w:sz w:val="18"/>
        </w:rPr>
        <w:t>ABC_EXTERNAL</w:t>
      </w:r>
      <w:r>
        <w:t xml:space="preserve"> (ABC-Wert) zur Verfügung.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Offen im Einlagerprozess</w:t>
            </w:r>
          </w:p>
          <w:p>
            <w:pPr>
              <w:spacing w:after="40"/>
            </w:pPr>
            <w:r>
              <w:rPr>
                <w:sz w:val="19"/>
              </w:rPr>
              <w:t>- Erfassung einzelner Seriennummern beim Einlagern (z. B. 20 SN auf einem Platz) am Mobilterminal ist nicht beschrieben (→ OP-02).</w:t>
            </w:r>
          </w:p>
          <w:p>
            <w:pPr>
              <w:spacing w:after="40"/>
            </w:pPr>
            <w:r>
              <w:rPr>
                <w:sz w:val="19"/>
              </w:rPr>
              <w:t xml:space="preserve">- Aufteilung einer Einlagerzeile auf mehrere Plätze am Mobilterminal: Der dokumentierte Ablauf schliesst eine Teilmenge über </w:t>
            </w:r>
            <w:r>
              <w:rPr>
                <w:b/>
                <w:sz w:val="19"/>
              </w:rPr>
              <w:t>F3 Fehlmenge</w:t>
            </w:r>
            <w:r>
              <w:rPr>
                <w:sz w:val="19"/>
              </w:rPr>
              <w:t xml:space="preserve"> ab; am Desktop und Touch-Client kann ein Einlagerbedarf gesplittet werden (→ OP-17).</w:t>
            </w:r>
          </w:p>
        </w:tc>
      </w:tr>
    </w:tbl>
    <w:p>
      <w:pPr>
        <w:spacing w:after="40"/>
      </w:pPr>
    </w:p>
    <w:p>
      <w:pPr>
        <w:pStyle w:val="Quelle"/>
      </w:pPr>
      <w:r>
        <w:rPr>
          <w:b/>
        </w:rPr>
        <w:t xml:space="preserve">Quelle: </w:t>
      </w:r>
      <w:r>
        <w:rPr>
          <w:sz w:val="17"/>
        </w:rPr>
        <w:t>Lastenheft 3796/0001, Kap. 2.2.3, 2.2.4; BH 2.7 Kap. 6.3.1; UM 2.8 Kap. 6.3.1, 6.4.7; AH 2.7 Kap. 3.1.16</w:t>
      </w:r>
    </w:p>
    <w:p>
      <w:pPr>
        <w:pStyle w:val="Heading2"/>
      </w:pPr>
      <w:r>
        <w:t>7.2 Umlagerung innerhalb WAM</w:t>
      </w:r>
    </w:p>
    <w:p>
      <w:r>
        <w:t xml:space="preserve">Ablauf Lastenheft: Quellplatz → Artikel/QR-Code → Menge bzw. Seriennummer → Zielplatz → Bestätigung. WAMAS-Standard: Mobil-Tätigkeit </w:t>
      </w:r>
      <w:r>
        <w:rPr>
          <w:b/>
        </w:rPr>
        <w:t>Bestand verteilen</w:t>
      </w:r>
      <w:r>
        <w:t xml:space="preserve"> (</w:t>
      </w:r>
      <w:r>
        <w:rPr>
          <w:b/>
        </w:rPr>
        <w:t>MLD001</w:t>
      </w:r>
      <w:r>
        <w:t xml:space="preserve"> Quellplatz → </w:t>
      </w:r>
      <w:r>
        <w:rPr>
          <w:b/>
        </w:rPr>
        <w:t>MLD002</w:t>
      </w:r>
      <w:r>
        <w:t xml:space="preserve"> Artikel → </w:t>
      </w:r>
      <w:r>
        <w:rPr>
          <w:b/>
        </w:rPr>
        <w:t>MLD004</w:t>
      </w:r>
      <w:r>
        <w:t xml:space="preserve"> Menge und Zielplatz → </w:t>
      </w:r>
      <w:r>
        <w:rPr>
          <w:b/>
        </w:rPr>
        <w:t>MLD010</w:t>
      </w:r>
      <w:r>
        <w:t xml:space="preserve"> Information). Der Platzbestand wird sofort aktualisiert; in Abacus bleibt der Lagerort WAM. Offen: Auswahl einer konkreten SN (→ OP-02) und ob dabei eine Host-Meldung entsteht, die BPE unterdrücken muss (→ OP-11).</w:t>
      </w:r>
    </w:p>
    <w:p>
      <w:pPr>
        <w:pStyle w:val="Quelle"/>
      </w:pPr>
      <w:r>
        <w:rPr>
          <w:b/>
        </w:rPr>
        <w:t xml:space="preserve">Quelle: </w:t>
      </w:r>
      <w:r>
        <w:rPr>
          <w:sz w:val="17"/>
        </w:rPr>
        <w:t>Lastenheft 3796/0001, Kap. 2.2.5; BH 2.7 Kap. 6.3; UM 2.8 Kap. 6.3.4</w:t>
      </w:r>
    </w:p>
    <w:p>
      <w:pPr>
        <w:pStyle w:val="Heading2"/>
      </w:pPr>
      <w:r>
        <w:t>7.3 Umbuchung von WEP, REP und Aussenlagern nach WAM</w:t>
      </w:r>
    </w:p>
    <w:p>
      <w:pPr>
        <w:tabs>
          <w:tab w:pos="425" w:val="left"/>
        </w:tabs>
        <w:spacing w:after="60"/>
        <w:ind w:left="425" w:hanging="425"/>
      </w:pPr>
      <w:r>
        <w:rPr>
          <w:b/>
        </w:rPr>
        <w:t>1.</w:t>
        <w:tab/>
      </w:r>
      <w:r>
        <w:t>Lagerortumbuchung in Abacus (z. B. WEP → WAM).</w:t>
      </w:r>
    </w:p>
    <w:p>
      <w:pPr>
        <w:tabs>
          <w:tab w:pos="425" w:val="left"/>
        </w:tabs>
        <w:spacing w:after="60"/>
        <w:ind w:left="425" w:hanging="425"/>
      </w:pPr>
      <w:r>
        <w:rPr>
          <w:b/>
        </w:rPr>
        <w:t>2.</w:t>
        <w:tab/>
      </w:r>
      <w:r>
        <w:t>BPE erzeugt daraus einen Einlagerbedarf in WAMAS (Projektanpassung bsb, → OP-11).</w:t>
      </w:r>
    </w:p>
    <w:p>
      <w:pPr>
        <w:tabs>
          <w:tab w:pos="425" w:val="left"/>
        </w:tabs>
        <w:spacing w:after="60"/>
        <w:ind w:left="425" w:hanging="425"/>
      </w:pPr>
      <w:r>
        <w:rPr>
          <w:b/>
        </w:rPr>
        <w:t>3.</w:t>
        <w:tab/>
      </w:r>
      <w:r>
        <w:t>Physische Einlagerung wie Kap. 7.1.</w:t>
      </w:r>
    </w:p>
    <w:p>
      <w:r>
        <w:t>Ausbuchungen aus WAM auf Kostenstellen: siehe Kap. 7.8; Berechtigungen siehe Kap. 9.</w:t>
      </w:r>
    </w:p>
    <w:p>
      <w:pPr>
        <w:pStyle w:val="Quelle"/>
      </w:pPr>
      <w:r>
        <w:rPr>
          <w:b/>
        </w:rPr>
        <w:t xml:space="preserve">Quelle: </w:t>
      </w:r>
      <w:r>
        <w:rPr>
          <w:sz w:val="17"/>
        </w:rPr>
        <w:t>Lastenheft 3796/0001, Kap. 2.2.6, Nr. 3.22</w:t>
      </w:r>
    </w:p>
    <w:p>
      <w:pPr>
        <w:pStyle w:val="Heading2"/>
      </w:pPr>
      <w:r>
        <w:t>7.4 Kommissionierung (Einzelauftrag)</w:t>
      </w:r>
    </w:p>
    <w:p>
      <w:pPr>
        <w:tabs>
          <w:tab w:pos="425" w:val="left"/>
        </w:tabs>
        <w:spacing w:after="60"/>
        <w:ind w:left="425" w:hanging="425"/>
      </w:pPr>
      <w:r>
        <w:rPr>
          <w:b/>
        </w:rPr>
        <w:t>1.</w:t>
        <w:tab/>
      </w:r>
      <w:r>
        <w:t>Auftrag wird in Abacus gestartet und als Kommissionierbedarf (</w:t>
      </w:r>
      <w:r>
        <w:rPr>
          <w:rFonts w:ascii="Consolas" w:hAnsi="Consolas" w:cs="Consolas" w:eastAsia="Consolas"/>
          <w:sz w:val="18"/>
        </w:rPr>
        <w:t>WLSPD003</w:t>
      </w:r>
      <w:r>
        <w:t>/</w:t>
      </w:r>
      <w:r>
        <w:rPr>
          <w:rFonts w:ascii="Consolas" w:hAnsi="Consolas" w:cs="Consolas" w:eastAsia="Consolas"/>
          <w:sz w:val="18"/>
        </w:rPr>
        <w:t>WLSPDL002</w:t>
      </w:r>
      <w:r>
        <w:t>) übermittelt. Logimat-Positionen gehen wie bisher an den Logimat, Positionen der manuellen Plätze an den Mobil-Client. Wo die Aufteilung entschieden wird (Abacus/BPE oder WAMAS-Reservierung), ist offen (→ OP-01, OP-11).</w:t>
      </w:r>
    </w:p>
    <w:p>
      <w:pPr>
        <w:tabs>
          <w:tab w:pos="425" w:val="left"/>
        </w:tabs>
        <w:spacing w:after="60"/>
        <w:ind w:left="425" w:hanging="425"/>
      </w:pPr>
      <w:r>
        <w:rPr>
          <w:b/>
        </w:rPr>
        <w:t>2.</w:t>
        <w:tab/>
      </w:r>
      <w:r>
        <w:t xml:space="preserve">Mobil: </w:t>
      </w:r>
      <w:r>
        <w:rPr>
          <w:b/>
        </w:rPr>
        <w:t>Kommissionierung</w:t>
      </w:r>
      <w:r>
        <w:t xml:space="preserve"> → </w:t>
      </w:r>
      <w:r>
        <w:rPr>
          <w:b/>
        </w:rPr>
        <w:t>MLP002</w:t>
      </w:r>
      <w:r>
        <w:t xml:space="preserve"> Kommissionierbedarf scannen oder wählen → </w:t>
      </w:r>
      <w:r>
        <w:rPr>
          <w:b/>
        </w:rPr>
        <w:t>MLP003</w:t>
      </w:r>
      <w:r>
        <w:t xml:space="preserve"> Menge eingeben (Anpassung über </w:t>
      </w:r>
      <w:r>
        <w:rPr>
          <w:b/>
        </w:rPr>
        <w:t>MAP030</w:t>
      </w:r>
      <w:r>
        <w:t xml:space="preserve">) → Artikel scannen → </w:t>
      </w:r>
      <w:r>
        <w:rPr>
          <w:b/>
        </w:rPr>
        <w:t>MLP005</w:t>
      </w:r>
      <w:r>
        <w:t xml:space="preserve"> → </w:t>
      </w:r>
      <w:r>
        <w:rPr>
          <w:b/>
        </w:rPr>
        <w:t>MLP006</w:t>
      </w:r>
      <w:r>
        <w:t xml:space="preserve"> Zielplatz scannen und bestätigen.</w:t>
      </w:r>
    </w:p>
    <w:p>
      <w:pPr>
        <w:tabs>
          <w:tab w:pos="425" w:val="left"/>
        </w:tabs>
        <w:spacing w:after="60"/>
        <w:ind w:left="425" w:hanging="425"/>
      </w:pPr>
      <w:r>
        <w:rPr>
          <w:b/>
        </w:rPr>
        <w:t>3.</w:t>
        <w:tab/>
      </w:r>
      <w:r>
        <w:t>Reihenfolge: Die Kommissionierreihenfolge der Gruppe (</w:t>
      </w:r>
      <w:r>
        <w:rPr>
          <w:b/>
        </w:rPr>
        <w:t>LM126</w:t>
      </w:r>
      <w:r>
        <w:t>) und des Platzes (</w:t>
      </w:r>
      <w:r>
        <w:rPr>
          <w:b/>
        </w:rPr>
        <w:t>LM124</w:t>
      </w:r>
      <w:r>
        <w:t>) bestimmt den Laufweg. Vorschlag: Reihenfolge entlang der Gänge gemäss Layout, gemeinsam mit LOG festzulegen.</w:t>
      </w:r>
    </w:p>
    <w:p>
      <w:pPr>
        <w:tabs>
          <w:tab w:pos="425" w:val="left"/>
        </w:tabs>
        <w:spacing w:after="60"/>
        <w:ind w:left="425" w:hanging="425"/>
      </w:pPr>
      <w:r>
        <w:rPr>
          <w:b/>
        </w:rPr>
        <w:t>4.</w:t>
        <w:tab/>
      </w:r>
      <w:r>
        <w:t>Rückmeldung je Zeile/Bedarf an Abacus (</w:t>
      </w:r>
      <w:r>
        <w:rPr>
          <w:rFonts w:ascii="Consolas" w:hAnsi="Consolas" w:cs="Consolas" w:eastAsia="Consolas"/>
          <w:sz w:val="18"/>
        </w:rPr>
        <w:t>WLSPDLACK001</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Offen in der Kommissionierung</w:t>
            </w:r>
          </w:p>
          <w:p>
            <w:pPr>
              <w:spacing w:after="40"/>
            </w:pPr>
            <w:r>
              <w:rPr>
                <w:sz w:val="19"/>
              </w:rPr>
              <w:t>- Lagerplatzscan als Pflichtschritt (Lastenheft 3.26) ist im Standardablauf nicht beschrieben.</w:t>
            </w:r>
          </w:p>
          <w:p>
            <w:pPr>
              <w:spacing w:after="40"/>
            </w:pPr>
            <w:r>
              <w:rPr>
                <w:sz w:val="19"/>
              </w:rPr>
              <w:t>- Auswahlliste der auf dem Platz vorhandenen Seriennummern und Erfassung einer abweichenden Charge (3.28, 3.29) sind nicht beschrieben (→ OP-02).</w:t>
            </w:r>
          </w:p>
        </w:tc>
      </w:tr>
    </w:tbl>
    <w:p>
      <w:pPr>
        <w:spacing w:after="40"/>
      </w:pPr>
    </w:p>
    <w:p>
      <w:pPr>
        <w:pStyle w:val="Quelle"/>
      </w:pPr>
      <w:r>
        <w:rPr>
          <w:b/>
        </w:rPr>
        <w:t xml:space="preserve">Quelle: </w:t>
      </w:r>
      <w:r>
        <w:rPr>
          <w:sz w:val="17"/>
        </w:rPr>
        <w:t>Lastenheft 3796/0001, Kap. 2.2.7, 2.2.9, 2.2.11; UM 2.8 Kap. 6.3.2; AH 2.7 Kap. 3.1.13, 3.1.14.1</w:t>
      </w:r>
    </w:p>
    <w:p>
      <w:pPr>
        <w:pStyle w:val="Heading2"/>
      </w:pPr>
      <w:r>
        <w:t>7.5 Auftragsübergreifende Kommissionierung (Multi-Order)</w:t>
      </w:r>
    </w:p>
    <w:p>
      <w:r>
        <w:t>Lastenheft: mehrere Aufträge mit gleichem bzw. ähnlichem Hauptprodukt in einer Runde kommissionieren, dabei Mengen, Chargen und SN je Auftrag getrennt halten und getrennt an Abacus melden (Nr. 3.33 Wunsch, 3.34 Muss).</w:t>
      </w:r>
    </w:p>
    <w:p>
      <w:r>
        <w:t xml:space="preserve">WAMAS-Standard: </w:t>
      </w:r>
      <w:r>
        <w:rPr>
          <w:b/>
        </w:rPr>
        <w:t>Kommissionierwagen</w:t>
      </w:r>
      <w:r>
        <w:t xml:space="preserve"> mit fester Anzahl Ladehilfsmittel für parallele Kommissionierung (Pflege am Touch-Client, Bedarfstyp «Mit Kommissionierwagen verwendet»). Jeder Bedarf bleibt dabei ein eigener Kommissionierbedarf. Für externe Plätze am Mobilterminal ist dieses Verfahren nicht beschrieben.</w:t>
      </w:r>
    </w:p>
    <w:p>
      <w:r>
        <w:t>Vorschlag: Machbarkeit für die manuellen Plätze mit dem Produktmanagement prüfen; bis dahin serielle Abarbeitung mehrerer Bedarfe in optimierter Platzreihenfolge (→ OP-08). Die im Lastenheft gewünschte Platzierung nach Umschlagshäufigkeit wird über die ABC-Berechnung für externe Artikel (</w:t>
      </w:r>
      <w:r>
        <w:rPr>
          <w:b/>
        </w:rPr>
        <w:t>LM069</w:t>
      </w:r>
      <w:r>
        <w:t xml:space="preserve">, Strategien «# Picks» oder «Kommissionierte Artikelmenge») und </w:t>
      </w:r>
      <w:r>
        <w:rPr>
          <w:rFonts w:ascii="Consolas" w:hAnsi="Consolas" w:cs="Consolas" w:eastAsia="Consolas"/>
          <w:sz w:val="18"/>
        </w:rPr>
        <w:t>ABC_EXTERNAL</w:t>
      </w:r>
      <w:r>
        <w:t xml:space="preserve"> unterstützt. Automatische Umlagerungsvorschläge sind nicht dokumentiert.</w:t>
      </w:r>
    </w:p>
    <w:p>
      <w:pPr>
        <w:pStyle w:val="Quelle"/>
      </w:pPr>
      <w:r>
        <w:rPr>
          <w:b/>
        </w:rPr>
        <w:t xml:space="preserve">Quelle: </w:t>
      </w:r>
      <w:r>
        <w:rPr>
          <w:sz w:val="17"/>
        </w:rPr>
        <w:t>Lastenheft 3796/0001, Kap. 2.2.8; AM 2.8 Kap. 3.1.18; UM 2.8 Kap. 5.5; AH 2.7 Kap. 3.1.10.4, 3.6.1.10</w:t>
      </w:r>
    </w:p>
    <w:p>
      <w:pPr>
        <w:pStyle w:val="Heading2"/>
      </w:pPr>
      <w:r>
        <w:t>7.6 Warenausgang</w:t>
      </w:r>
    </w:p>
    <w:p>
      <w:r>
        <w:t>Gleiches Grundprinzip wie Kap. 7.4 mit eigenem Kommissionierbedarfstyp für den Warenausgang. Kommissionierte Ware wird auf einen Zielplatz gebucht (</w:t>
      </w:r>
      <w:r>
        <w:rPr>
          <w:b/>
        </w:rPr>
        <w:t>MLP006</w:t>
      </w:r>
      <w:r>
        <w:t>); ob Bereich W dafür als Zielplatz/Bereitstellung dient, ist offen (→ OP-15). Rückmeldung an Abacus nach Abschluss.</w:t>
      </w:r>
    </w:p>
    <w:p>
      <w:pPr>
        <w:pStyle w:val="Quelle"/>
      </w:pPr>
      <w:r>
        <w:rPr>
          <w:b/>
        </w:rPr>
        <w:t xml:space="preserve">Quelle: </w:t>
      </w:r>
      <w:r>
        <w:rPr>
          <w:sz w:val="17"/>
        </w:rPr>
        <w:t>Lastenheft 3796/0001, Kap. 2.2.13, Nr. 3.42</w:t>
      </w:r>
    </w:p>
    <w:p>
      <w:pPr>
        <w:pStyle w:val="Heading2"/>
      </w:pPr>
      <w:r>
        <w:t>7.7 Nachrüstungen aus der Fabrikation</w:t>
      </w:r>
    </w:p>
    <w:p>
      <w:r>
        <w:t>Nachrüstungsaufträge werden in Abacus ausgelöst. Die logistikrelevanten Positionen gehen als Kommissionierbedarf mit eigenem Bedarfstyp an WAMAS und werden wie Kap. 7.4 kommissioniert. Kennzeichnung der Auftragsart in Abacus/BPE ist festzulegen (→ OP-11).</w:t>
      </w:r>
    </w:p>
    <w:p>
      <w:pPr>
        <w:pStyle w:val="Quelle"/>
      </w:pPr>
      <w:r>
        <w:rPr>
          <w:b/>
        </w:rPr>
        <w:t xml:space="preserve">Quelle: </w:t>
      </w:r>
      <w:r>
        <w:rPr>
          <w:sz w:val="17"/>
        </w:rPr>
        <w:t>Lastenheft 3796/0001, Kap. 2.2.14, Nr. 3.43</w:t>
      </w:r>
    </w:p>
    <w:p>
      <w:pPr>
        <w:pStyle w:val="Heading2"/>
      </w:pPr>
      <w:r>
        <w:t>7.8 Manuelle Ausgänge und Verbrauchsmaterial</w:t>
      </w:r>
    </w:p>
    <w:p>
      <w:r>
        <w:t>Varianten (Entscheid → OP-11):</w:t>
      </w:r>
    </w:p>
    <w:p>
      <w:pPr>
        <w:pStyle w:val="ListBullet"/>
      </w:pPr>
      <w:r>
        <w:rPr>
          <w:b/>
        </w:rPr>
        <w:t>Variante 1:</w:t>
      </w:r>
      <w:r>
        <w:t xml:space="preserve"> Kostenstellen-/Verbrauchsauftrag in Abacus → Kommissionierbedarf → Mobil-Kommissionierung → Rückmeldung.</w:t>
      </w:r>
    </w:p>
    <w:p>
      <w:pPr>
        <w:pStyle w:val="ListBullet"/>
      </w:pPr>
      <w:r>
        <w:rPr>
          <w:b/>
        </w:rPr>
        <w:t>Variante 2:</w:t>
      </w:r>
      <w:r>
        <w:t xml:space="preserve"> Ausgang direkt in WAMAS (manuell angelegter Bedarf oder Bestandskorrektur mit eigenem Buchungsschlüssel) → Meldung </w:t>
      </w:r>
      <w:r>
        <w:rPr>
          <w:rFonts w:ascii="Consolas" w:hAnsi="Consolas" w:cs="Consolas" w:eastAsia="Consolas"/>
          <w:sz w:val="18"/>
        </w:rPr>
        <w:t>WLSSTOCKADJ002</w:t>
      </w:r>
      <w:r>
        <w:t xml:space="preserve"> an Abacus.</w:t>
      </w:r>
    </w:p>
    <w:p>
      <w:r>
        <w:t>Bereich V (Verbrauchsmaterial, 26 Plätze) ist der naheliegende Anwendungsfall. Berechtigung für Ausbuchungen auf Kostenstellen gemäss Kap. 9.</w:t>
      </w:r>
    </w:p>
    <w:p>
      <w:pPr>
        <w:pStyle w:val="Quelle"/>
      </w:pPr>
      <w:r>
        <w:rPr>
          <w:b/>
        </w:rPr>
        <w:t xml:space="preserve">Quelle: </w:t>
      </w:r>
      <w:r>
        <w:rPr>
          <w:sz w:val="17"/>
        </w:rPr>
        <w:t>Lastenheft 3796/0001, Kap. 2.2.6, 2.2.15; IM 2.8 Kap. 10.1</w:t>
      </w:r>
    </w:p>
    <w:p>
      <w:pPr>
        <w:pStyle w:val="Heading2"/>
      </w:pPr>
      <w:r>
        <w:t>7.9 Inventur</w:t>
      </w:r>
    </w:p>
    <w:p>
      <w:pPr>
        <w:pStyle w:val="ListBullet"/>
      </w:pPr>
      <w:r>
        <w:t>Inventurbedarf aus Abacus (</w:t>
      </w:r>
      <w:r>
        <w:rPr>
          <w:rFonts w:ascii="Consolas" w:hAnsi="Consolas" w:cs="Consolas" w:eastAsia="Consolas"/>
          <w:sz w:val="18"/>
        </w:rPr>
        <w:t>WLSINVD002</w:t>
      </w:r>
      <w:r>
        <w:t>/</w:t>
      </w:r>
      <w:r>
        <w:rPr>
          <w:rFonts w:ascii="Consolas" w:hAnsi="Consolas" w:cs="Consolas" w:eastAsia="Consolas"/>
          <w:sz w:val="18"/>
        </w:rPr>
        <w:t>WLSINVDL003</w:t>
      </w:r>
      <w:r>
        <w:t>) oder in WAMAS angelegt.</w:t>
      </w:r>
    </w:p>
    <w:p>
      <w:pPr>
        <w:pStyle w:val="ListBullet"/>
      </w:pPr>
      <w:r>
        <w:t xml:space="preserve">Mobil </w:t>
      </w:r>
      <w:r>
        <w:rPr>
          <w:b/>
        </w:rPr>
        <w:t>Inventur</w:t>
      </w:r>
      <w:r>
        <w:t xml:space="preserve">: </w:t>
      </w:r>
      <w:r>
        <w:rPr>
          <w:b/>
        </w:rPr>
        <w:t>MLI002</w:t>
      </w:r>
      <w:r>
        <w:t xml:space="preserve"> Inventurbedarf scannen → </w:t>
      </w:r>
      <w:r>
        <w:rPr>
          <w:b/>
        </w:rPr>
        <w:t>MLI003</w:t>
      </w:r>
      <w:r>
        <w:t xml:space="preserve"> → Lagerplatz scannen → </w:t>
      </w:r>
      <w:r>
        <w:rPr>
          <w:b/>
        </w:rPr>
        <w:t>MLI005</w:t>
      </w:r>
      <w:r>
        <w:t>. Nicht bearbeitete Zeilen müssen laut Handbuch am Touch-Client fertiggestellt werden.</w:t>
      </w:r>
    </w:p>
    <w:p>
      <w:pPr>
        <w:pStyle w:val="ListBullet"/>
      </w:pPr>
      <w:r>
        <w:rPr>
          <w:b/>
        </w:rPr>
        <w:t>Spontane Inventur</w:t>
      </w:r>
      <w:r>
        <w:t xml:space="preserve">: </w:t>
      </w:r>
      <w:r>
        <w:rPr>
          <w:b/>
        </w:rPr>
        <w:t>MLSI001</w:t>
      </w:r>
      <w:r>
        <w:t xml:space="preserve"> Platz → </w:t>
      </w:r>
      <w:r>
        <w:rPr>
          <w:b/>
        </w:rPr>
        <w:t>MLSI002</w:t>
      </w:r>
      <w:r>
        <w:t xml:space="preserve"> Artikel → </w:t>
      </w:r>
      <w:r>
        <w:rPr>
          <w:b/>
        </w:rPr>
        <w:t>MLSI004</w:t>
      </w:r>
      <w:r>
        <w:t xml:space="preserve"> Menge → </w:t>
      </w:r>
      <w:r>
        <w:rPr>
          <w:b/>
        </w:rPr>
        <w:t>MLSI003</w:t>
      </w:r>
      <w:r>
        <w:t>.</w:t>
      </w:r>
    </w:p>
    <w:p>
      <w:pPr>
        <w:pStyle w:val="ListBullet"/>
      </w:pPr>
      <w:r>
        <w:t xml:space="preserve">Rückmeldung: Quittierung </w:t>
      </w:r>
      <w:r>
        <w:rPr>
          <w:rFonts w:ascii="Consolas" w:hAnsi="Consolas" w:cs="Consolas" w:eastAsia="Consolas"/>
          <w:sz w:val="18"/>
        </w:rPr>
        <w:t>WLSINVDLACK003</w:t>
      </w:r>
      <w:r>
        <w:t xml:space="preserve"> bzw. Korrekturmeldung </w:t>
      </w:r>
      <w:r>
        <w:rPr>
          <w:rFonts w:ascii="Consolas" w:hAnsi="Consolas" w:cs="Consolas" w:eastAsia="Consolas"/>
          <w:sz w:val="18"/>
        </w:rPr>
        <w:t>WLSSTOCKADJ002</w:t>
      </w:r>
      <w:r>
        <w:t xml:space="preserve"> mit </w:t>
      </w:r>
      <w:r>
        <w:rPr>
          <w:rFonts w:ascii="Consolas" w:hAnsi="Consolas" w:cs="Consolas" w:eastAsia="Consolas"/>
          <w:sz w:val="18"/>
        </w:rPr>
        <w:t>invNo</w:t>
      </w:r>
      <w:r>
        <w:t>. Automatische Korrekturbuchung in Abacus durch BPE (Lastenheft: «soll geprüft werden»).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Nachzählung und Freigabe</w:t>
            </w:r>
          </w:p>
          <w:p>
            <w:pPr>
              <w:spacing w:after="40"/>
            </w:pPr>
            <w:r>
              <w:rPr>
                <w:sz w:val="19"/>
              </w:rPr>
              <w:t>Ein Ablauf «Differenz → Nachzählung anfordern → Freigabe durch Berechtigten → Buchung» sowie das Zurückweisen von Differenzen (3.40, 3.49) ist nicht als Standard dokumentiert. Die Kontrolle einzelner Seriennummern bei der Inventur ist zu bestätigen (→ OP-02, OP-06).</w:t>
            </w:r>
          </w:p>
        </w:tc>
      </w:tr>
    </w:tbl>
    <w:p>
      <w:pPr>
        <w:spacing w:after="40"/>
      </w:pPr>
    </w:p>
    <w:p>
      <w:pPr>
        <w:pStyle w:val="Quelle"/>
      </w:pPr>
      <w:r>
        <w:rPr>
          <w:b/>
        </w:rPr>
        <w:t xml:space="preserve">Quelle: </w:t>
      </w:r>
      <w:r>
        <w:rPr>
          <w:sz w:val="17"/>
        </w:rPr>
        <w:t>Lastenheft 3796/0001, Kap. 2.2.16; BH 2.7 Kap. 6.3.3, 6.3.5; IM 2.8 Kap. 8, 10.1</w:t>
      </w:r>
    </w:p>
    <w:p>
      <w:pPr>
        <w:pStyle w:val="Heading2"/>
      </w:pPr>
      <w:r>
        <w:t>7.10 Fehlmengen und Bestandsabweichungen</w:t>
      </w:r>
    </w:p>
    <w:p>
      <w:r>
        <w:t xml:space="preserve">Der Mitarbeitende meldet am Scanner eine Fehlmenge (Mengenanpassung bzw. </w:t>
      </w:r>
      <w:r>
        <w:rPr>
          <w:b/>
        </w:rPr>
        <w:t>F3 Fehlmenge</w:t>
      </w:r>
      <w:r>
        <w:t>). Gewünscht ist danach ein definierter Kontrollprozess mit Nachzählung, bevor eine Korrektur (z. B. auf Bestand null) durch einen berechtigten Benutzer gebucht wird. Ein automatisch ausgelöster Kontroll-Inventurbedarf ist nicht dokumentiert; als Zwischenlösung kann eine spontane Inventur bzw. ein Inventurbedarf manuell angelegt werden. Korrekturen sind über Bestandsklassifizierung und Rechte auf berechtigte Benutzer einschränkbar (→ OP-06).</w:t>
      </w:r>
    </w:p>
    <w:p>
      <w:pPr>
        <w:pStyle w:val="Quelle"/>
      </w:pPr>
      <w:r>
        <w:rPr>
          <w:b/>
        </w:rPr>
        <w:t xml:space="preserve">Quelle: </w:t>
      </w:r>
      <w:r>
        <w:rPr>
          <w:sz w:val="17"/>
        </w:rPr>
        <w:t>Lastenheft 3796/0001, Kap. 2.2.12; AM 2.8 Kap. 3.6.1.9</w:t>
      </w:r>
    </w:p>
    <w:p>
      <w:pPr>
        <w:pStyle w:val="Heading2"/>
      </w:pPr>
      <w:r>
        <w:t>7.11 Mobile Etikettierung</w:t>
      </w:r>
    </w:p>
    <w:p>
      <w:r>
        <w:t>Nach einer bestätigten Entnahme soll ein mitgeführter Drucker eine Etikette drucken: Artikelnummer, Bezeichnung, Menge, ggf. Charge und SN, Auftrags-/Referenz, QR-Code. WAMAS-Standard: Dokumentdruck über Dokumenttypkonfiguration (</w:t>
      </w:r>
      <w:r>
        <w:rPr>
          <w:b/>
        </w:rPr>
        <w:t>RM001</w:t>
      </w:r>
      <w:r>
        <w:t>) und Druckerauswahl per Barcode. Die Druckauslösung direkt aus dem Mobil-Kommissionierdialog ist nicht beschrieben und voraussichtlich eine Projektanpassung. Offen: Druckermodell, Etikettengrösse, Druckersprache, QR-Inhalt (→ OP-09, OP-03).</w:t>
      </w:r>
    </w:p>
    <w:p>
      <w:pPr>
        <w:pStyle w:val="Quelle"/>
      </w:pPr>
      <w:r>
        <w:rPr>
          <w:b/>
        </w:rPr>
        <w:t xml:space="preserve">Quelle: </w:t>
      </w:r>
      <w:r>
        <w:rPr>
          <w:sz w:val="17"/>
        </w:rPr>
        <w:t>Lastenheft 3796/0001, Kap. 2.2.10; AM 2.8 Kap. 3.8.1.4 (Drucker pflegen, Druckerauswahl per Barcode)</w:t>
      </w:r>
    </w:p>
    <w:p>
      <w:pPr>
        <w:pStyle w:val="Heading1"/>
      </w:pPr>
      <w:r>
        <w:t>8 Schnittstelle Abacus – WAMAS</w:t>
      </w:r>
    </w:p>
    <w:p>
      <w:pPr>
        <w:pStyle w:val="Heading2"/>
      </w:pPr>
      <w:r>
        <w:t>8.1 Grundsatz</w:t>
      </w:r>
    </w:p>
    <w:p>
      <w:r>
        <w:t>Die bestehende XML-/BPE-basierte BSB-Schnittstelle bleibt für den produktiven Auftrags- und Rückmeldeprozess (Ein-/Auslagerung, Kommissionierung) unverändert und wird um die manuellen Bereiche erweitert. REST wird nur für neue, vom Auftragsfluss unabhängige Prozesse geprüft (Kap. 8.4).</w:t>
      </w:r>
    </w:p>
    <w:p>
      <w:pPr>
        <w:pStyle w:val="Quelle"/>
      </w:pPr>
      <w:r>
        <w:rPr>
          <w:b/>
        </w:rPr>
        <w:t xml:space="preserve">Quelle: </w:t>
      </w:r>
      <w:r>
        <w:rPr>
          <w:sz w:val="17"/>
        </w:rPr>
        <w:t>Lastenheft 3796/0001, Kap. 2.2.18</w:t>
      </w:r>
    </w:p>
    <w:p>
      <w:pPr>
        <w:pStyle w:val="Heading2"/>
      </w:pPr>
      <w:r>
        <w:t>8.2 Nachrichtenfluss (WAMAS-Standardsatzarten)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1247"/>
        <w:gridCol w:w="2835"/>
        <w:gridCol w:w="3175"/>
      </w:tblGrid>
      <w:tr>
        <w:trPr>
          <w:tblHeader w:val="true"/>
        </w:trPr>
        <w:tc>
          <w:tcPr>
            <w:tcW w:type="dxa" w:w="2268"/>
            <w:shd w:val="clear" w:color="auto" w:fill="FEEE19"/>
          </w:tcPr>
          <w:p>
            <w:pPr>
              <w:spacing w:after="0"/>
            </w:pPr>
            <w:r>
              <w:rPr>
                <w:b/>
                <w:sz w:val="16"/>
              </w:rPr>
              <w:t>Vorgang</w:t>
            </w:r>
          </w:p>
        </w:tc>
        <w:tc>
          <w:tcPr>
            <w:tcW w:type="dxa" w:w="1247"/>
            <w:shd w:val="clear" w:color="auto" w:fill="FEEE19"/>
          </w:tcPr>
          <w:p>
            <w:pPr>
              <w:spacing w:after="0"/>
            </w:pPr>
            <w:r>
              <w:rPr>
                <w:b/>
                <w:sz w:val="16"/>
              </w:rPr>
              <w:t>Richtung</w:t>
            </w:r>
          </w:p>
        </w:tc>
        <w:tc>
          <w:tcPr>
            <w:tcW w:type="dxa" w:w="2835"/>
            <w:shd w:val="clear" w:color="auto" w:fill="FEEE19"/>
          </w:tcPr>
          <w:p>
            <w:pPr>
              <w:spacing w:after="0"/>
            </w:pPr>
            <w:r>
              <w:rPr>
                <w:b/>
                <w:sz w:val="16"/>
              </w:rPr>
              <w:t>Satzarten (IM 2.8)</w:t>
            </w:r>
          </w:p>
        </w:tc>
        <w:tc>
          <w:tcPr>
            <w:tcW w:type="dxa" w:w="3175"/>
            <w:shd w:val="clear" w:color="auto" w:fill="FEEE19"/>
          </w:tcPr>
          <w:p>
            <w:pPr>
              <w:spacing w:after="0"/>
            </w:pPr>
            <w:r>
              <w:rPr>
                <w:b/>
                <w:sz w:val="16"/>
              </w:rPr>
              <w:t>Bemerkung</w:t>
            </w:r>
          </w:p>
        </w:tc>
      </w:tr>
      <w:tr>
        <w:tc>
          <w:tcPr>
            <w:tcW w:type="dxa" w:w="2268"/>
          </w:tcPr>
          <w:p>
            <w:pPr>
              <w:spacing w:after="0" w:line="252" w:lineRule="auto"/>
            </w:pPr>
            <w:r>
              <w:rPr>
                <w:sz w:val="16"/>
              </w:rPr>
              <w:t>Artikelstamm</w:t>
            </w:r>
          </w:p>
        </w:tc>
        <w:tc>
          <w:tcPr>
            <w:tcW w:type="dxa" w:w="1247"/>
          </w:tcPr>
          <w:p>
            <w:pPr>
              <w:spacing w:after="0" w:line="252" w:lineRule="auto"/>
            </w:pPr>
            <w:r>
              <w:rPr>
                <w:sz w:val="16"/>
              </w:rPr>
              <w:t>Abacus → WAMAS</w:t>
            </w:r>
          </w:p>
        </w:tc>
        <w:tc>
          <w:tcPr>
            <w:tcW w:type="dxa" w:w="2835"/>
          </w:tcPr>
          <w:p>
            <w:pPr>
              <w:spacing w:after="0" w:line="252" w:lineRule="auto"/>
            </w:pPr>
            <w:r>
              <w:rPr>
                <w:rFonts w:ascii="Consolas" w:hAnsi="Consolas" w:cs="Consolas" w:eastAsia="Consolas"/>
                <w:sz w:val="14"/>
              </w:rPr>
              <w:t>WLSITEM001</w:t>
            </w:r>
            <w:r>
              <w:rPr>
                <w:sz w:val="16"/>
              </w:rPr>
              <w:t xml:space="preserve">, </w:t>
            </w:r>
            <w:r>
              <w:rPr>
                <w:rFonts w:ascii="Consolas" w:hAnsi="Consolas" w:cs="Consolas" w:eastAsia="Consolas"/>
                <w:sz w:val="14"/>
              </w:rPr>
              <w:t>WLSITEMDESC001</w:t>
            </w:r>
            <w:r>
              <w:rPr>
                <w:sz w:val="16"/>
              </w:rPr>
              <w:t xml:space="preserve">, </w:t>
            </w:r>
            <w:r>
              <w:rPr>
                <w:rFonts w:ascii="Consolas" w:hAnsi="Consolas" w:cs="Consolas" w:eastAsia="Consolas"/>
                <w:sz w:val="14"/>
              </w:rPr>
              <w:t>WLSITEMALIAS001</w:t>
            </w:r>
            <w:r>
              <w:rPr>
                <w:sz w:val="16"/>
              </w:rPr>
              <w:t xml:space="preserve">, </w:t>
            </w:r>
            <w:r>
              <w:rPr>
                <w:rFonts w:ascii="Consolas" w:hAnsi="Consolas" w:cs="Consolas" w:eastAsia="Consolas"/>
                <w:sz w:val="14"/>
              </w:rPr>
              <w:t>WLSPKV001</w:t>
            </w:r>
          </w:p>
        </w:tc>
        <w:tc>
          <w:tcPr>
            <w:tcW w:type="dxa" w:w="3175"/>
          </w:tcPr>
          <w:p>
            <w:pPr>
              <w:spacing w:after="0" w:line="252" w:lineRule="auto"/>
            </w:pPr>
            <w:r>
              <w:rPr>
                <w:sz w:val="16"/>
              </w:rPr>
              <w:t>Kennzeichen «Externer Artikel» (</w:t>
            </w:r>
            <w:r>
              <w:rPr>
                <w:rFonts w:ascii="Consolas" w:hAnsi="Consolas" w:cs="Consolas" w:eastAsia="Consolas"/>
                <w:sz w:val="14"/>
              </w:rPr>
              <w:t>externalItem</w:t>
            </w:r>
            <w:r>
              <w:rPr>
                <w:sz w:val="16"/>
              </w:rPr>
              <w:t>), Alias für Barcode/QR</w:t>
            </w:r>
          </w:p>
        </w:tc>
      </w:tr>
      <w:tr>
        <w:tc>
          <w:tcPr>
            <w:tcW w:type="dxa" w:w="2268"/>
          </w:tcPr>
          <w:p>
            <w:pPr>
              <w:spacing w:after="0" w:line="252" w:lineRule="auto"/>
            </w:pPr>
            <w:r>
              <w:rPr>
                <w:sz w:val="16"/>
              </w:rPr>
              <w:t>Einlagerbedarf (WE, Umbuchung nach WAM)</w:t>
            </w:r>
          </w:p>
        </w:tc>
        <w:tc>
          <w:tcPr>
            <w:tcW w:type="dxa" w:w="1247"/>
          </w:tcPr>
          <w:p>
            <w:pPr>
              <w:spacing w:after="0" w:line="252" w:lineRule="auto"/>
            </w:pPr>
            <w:r>
              <w:rPr>
                <w:sz w:val="16"/>
              </w:rPr>
              <w:t>Abacus → WAMAS</w:t>
            </w:r>
          </w:p>
        </w:tc>
        <w:tc>
          <w:tcPr>
            <w:tcW w:type="dxa" w:w="2835"/>
          </w:tcPr>
          <w:p>
            <w:pPr>
              <w:spacing w:after="0" w:line="252" w:lineRule="auto"/>
            </w:pPr>
            <w:r>
              <w:rPr>
                <w:rFonts w:ascii="Consolas" w:hAnsi="Consolas" w:cs="Consolas" w:eastAsia="Consolas"/>
                <w:sz w:val="14"/>
              </w:rPr>
              <w:t>WLSSD003</w:t>
            </w:r>
            <w:r>
              <w:rPr>
                <w:sz w:val="16"/>
              </w:rPr>
              <w:t xml:space="preserve">, </w:t>
            </w:r>
            <w:r>
              <w:rPr>
                <w:rFonts w:ascii="Consolas" w:hAnsi="Consolas" w:cs="Consolas" w:eastAsia="Consolas"/>
                <w:sz w:val="14"/>
              </w:rPr>
              <w:t>WLSSDL002</w:t>
            </w:r>
          </w:p>
        </w:tc>
        <w:tc>
          <w:tcPr>
            <w:tcW w:type="dxa" w:w="3175"/>
          </w:tcPr>
          <w:p>
            <w:pPr>
              <w:spacing w:after="0" w:line="252" w:lineRule="auto"/>
            </w:pPr>
            <w:r>
              <w:rPr>
                <w:sz w:val="16"/>
              </w:rPr>
              <w:t>Zone, Charge, ABIA (</w:t>
            </w:r>
            <w:r>
              <w:rPr>
                <w:rFonts w:ascii="Consolas" w:hAnsi="Consolas" w:cs="Consolas" w:eastAsia="Consolas"/>
                <w:sz w:val="14"/>
              </w:rPr>
              <w:t>csia1</w:t>
            </w:r>
            <w:r>
              <w:rPr>
                <w:sz w:val="16"/>
              </w:rPr>
              <w:t>–</w:t>
            </w:r>
            <w:r>
              <w:rPr>
                <w:rFonts w:ascii="Consolas" w:hAnsi="Consolas" w:cs="Consolas" w:eastAsia="Consolas"/>
                <w:sz w:val="14"/>
              </w:rPr>
              <w:t>csia20</w:t>
            </w:r>
            <w:r>
              <w:rPr>
                <w:sz w:val="16"/>
              </w:rPr>
              <w:t>)</w:t>
            </w:r>
          </w:p>
        </w:tc>
      </w:tr>
      <w:tr>
        <w:tc>
          <w:tcPr>
            <w:tcW w:type="dxa" w:w="2268"/>
          </w:tcPr>
          <w:p>
            <w:pPr>
              <w:spacing w:after="0" w:line="252" w:lineRule="auto"/>
            </w:pPr>
            <w:r>
              <w:rPr>
                <w:sz w:val="16"/>
              </w:rPr>
              <w:t>Rückmeldung Einlagerung</w:t>
            </w:r>
          </w:p>
        </w:tc>
        <w:tc>
          <w:tcPr>
            <w:tcW w:type="dxa" w:w="1247"/>
          </w:tcPr>
          <w:p>
            <w:pPr>
              <w:spacing w:after="0" w:line="252" w:lineRule="auto"/>
            </w:pPr>
            <w:r>
              <w:rPr>
                <w:sz w:val="16"/>
              </w:rPr>
              <w:t>WAMAS → Abacus</w:t>
            </w:r>
          </w:p>
        </w:tc>
        <w:tc>
          <w:tcPr>
            <w:tcW w:type="dxa" w:w="2835"/>
          </w:tcPr>
          <w:p>
            <w:pPr>
              <w:spacing w:after="0" w:line="252" w:lineRule="auto"/>
            </w:pPr>
            <w:r>
              <w:rPr>
                <w:rFonts w:ascii="Consolas" w:hAnsi="Consolas" w:cs="Consolas" w:eastAsia="Consolas"/>
                <w:sz w:val="14"/>
              </w:rPr>
              <w:t>WLSSDACK003</w:t>
            </w:r>
            <w:r>
              <w:rPr>
                <w:sz w:val="16"/>
              </w:rPr>
              <w:t xml:space="preserve">, </w:t>
            </w:r>
            <w:r>
              <w:rPr>
                <w:rFonts w:ascii="Consolas" w:hAnsi="Consolas" w:cs="Consolas" w:eastAsia="Consolas"/>
                <w:sz w:val="14"/>
              </w:rPr>
              <w:t>WLSSDLACK001</w:t>
            </w:r>
          </w:p>
        </w:tc>
        <w:tc>
          <w:tcPr>
            <w:tcW w:type="dxa" w:w="3175"/>
          </w:tcPr>
          <w:p>
            <w:pPr>
              <w:spacing w:after="0" w:line="252" w:lineRule="auto"/>
            </w:pPr>
            <w:r>
              <w:rPr>
                <w:sz w:val="16"/>
              </w:rPr>
              <w:t>je Bedarf/Zeile</w:t>
            </w:r>
          </w:p>
        </w:tc>
      </w:tr>
      <w:tr>
        <w:tc>
          <w:tcPr>
            <w:tcW w:type="dxa" w:w="2268"/>
          </w:tcPr>
          <w:p>
            <w:pPr>
              <w:spacing w:after="0" w:line="252" w:lineRule="auto"/>
            </w:pPr>
            <w:r>
              <w:rPr>
                <w:sz w:val="16"/>
              </w:rPr>
              <w:t>Kommissionierbedarf (Produktion, WA, Nachrüstung)</w:t>
            </w:r>
          </w:p>
        </w:tc>
        <w:tc>
          <w:tcPr>
            <w:tcW w:type="dxa" w:w="1247"/>
          </w:tcPr>
          <w:p>
            <w:pPr>
              <w:spacing w:after="0" w:line="252" w:lineRule="auto"/>
            </w:pPr>
            <w:r>
              <w:rPr>
                <w:sz w:val="16"/>
              </w:rPr>
              <w:t>Abacus → WAMAS</w:t>
            </w:r>
          </w:p>
        </w:tc>
        <w:tc>
          <w:tcPr>
            <w:tcW w:type="dxa" w:w="2835"/>
          </w:tcPr>
          <w:p>
            <w:pPr>
              <w:spacing w:after="0" w:line="252" w:lineRule="auto"/>
            </w:pPr>
            <w:r>
              <w:rPr>
                <w:rFonts w:ascii="Consolas" w:hAnsi="Consolas" w:cs="Consolas" w:eastAsia="Consolas"/>
                <w:sz w:val="14"/>
              </w:rPr>
              <w:t>WLSPD003</w:t>
            </w:r>
            <w:r>
              <w:rPr>
                <w:sz w:val="16"/>
              </w:rPr>
              <w:t xml:space="preserve">, </w:t>
            </w:r>
            <w:r>
              <w:rPr>
                <w:rFonts w:ascii="Consolas" w:hAnsi="Consolas" w:cs="Consolas" w:eastAsia="Consolas"/>
                <w:sz w:val="14"/>
              </w:rPr>
              <w:t>WLSPDL002</w:t>
            </w:r>
          </w:p>
        </w:tc>
        <w:tc>
          <w:tcPr>
            <w:tcW w:type="dxa" w:w="3175"/>
          </w:tcPr>
          <w:p>
            <w:pPr>
              <w:spacing w:after="0" w:line="252" w:lineRule="auto"/>
            </w:pPr>
            <w:r>
              <w:rPr>
                <w:rFonts w:ascii="Consolas" w:hAnsi="Consolas" w:cs="Consolas" w:eastAsia="Consolas"/>
                <w:sz w:val="14"/>
              </w:rPr>
              <w:t>stockRating</w:t>
            </w:r>
            <w:r>
              <w:rPr>
                <w:sz w:val="16"/>
              </w:rPr>
              <w:t xml:space="preserve"> für Bestandsklassifizierung</w:t>
            </w:r>
          </w:p>
        </w:tc>
      </w:tr>
      <w:tr>
        <w:tc>
          <w:tcPr>
            <w:tcW w:type="dxa" w:w="2268"/>
          </w:tcPr>
          <w:p>
            <w:pPr>
              <w:spacing w:after="0" w:line="252" w:lineRule="auto"/>
            </w:pPr>
            <w:r>
              <w:rPr>
                <w:sz w:val="16"/>
              </w:rPr>
              <w:t>Rückmeldung Kommissionierung</w:t>
            </w:r>
          </w:p>
        </w:tc>
        <w:tc>
          <w:tcPr>
            <w:tcW w:type="dxa" w:w="1247"/>
          </w:tcPr>
          <w:p>
            <w:pPr>
              <w:spacing w:after="0" w:line="252" w:lineRule="auto"/>
            </w:pPr>
            <w:r>
              <w:rPr>
                <w:sz w:val="16"/>
              </w:rPr>
              <w:t>WAMAS → Abacus</w:t>
            </w:r>
          </w:p>
        </w:tc>
        <w:tc>
          <w:tcPr>
            <w:tcW w:type="dxa" w:w="2835"/>
          </w:tcPr>
          <w:p>
            <w:pPr>
              <w:spacing w:after="0" w:line="252" w:lineRule="auto"/>
            </w:pPr>
            <w:r>
              <w:rPr>
                <w:rFonts w:ascii="Consolas" w:hAnsi="Consolas" w:cs="Consolas" w:eastAsia="Consolas"/>
                <w:sz w:val="14"/>
              </w:rPr>
              <w:t>WLSPDACK003</w:t>
            </w:r>
            <w:r>
              <w:rPr>
                <w:sz w:val="16"/>
              </w:rPr>
              <w:t xml:space="preserve">, </w:t>
            </w:r>
            <w:r>
              <w:rPr>
                <w:rFonts w:ascii="Consolas" w:hAnsi="Consolas" w:cs="Consolas" w:eastAsia="Consolas"/>
                <w:sz w:val="14"/>
              </w:rPr>
              <w:t>WLSPDLACK001</w:t>
            </w:r>
          </w:p>
        </w:tc>
        <w:tc>
          <w:tcPr>
            <w:tcW w:type="dxa" w:w="3175"/>
          </w:tcPr>
          <w:p>
            <w:pPr>
              <w:spacing w:after="0" w:line="252" w:lineRule="auto"/>
            </w:pPr>
            <w:r>
              <w:rPr>
                <w:sz w:val="16"/>
              </w:rPr>
              <w:t>Charge/ABIA je Entnahme</w:t>
            </w:r>
          </w:p>
        </w:tc>
      </w:tr>
      <w:tr>
        <w:tc>
          <w:tcPr>
            <w:tcW w:type="dxa" w:w="2268"/>
          </w:tcPr>
          <w:p>
            <w:pPr>
              <w:spacing w:after="0" w:line="252" w:lineRule="auto"/>
            </w:pPr>
            <w:r>
              <w:rPr>
                <w:sz w:val="16"/>
              </w:rPr>
              <w:t>Inventurbedarf</w:t>
            </w:r>
          </w:p>
        </w:tc>
        <w:tc>
          <w:tcPr>
            <w:tcW w:type="dxa" w:w="1247"/>
          </w:tcPr>
          <w:p>
            <w:pPr>
              <w:spacing w:after="0" w:line="252" w:lineRule="auto"/>
            </w:pPr>
            <w:r>
              <w:rPr>
                <w:sz w:val="16"/>
              </w:rPr>
              <w:t>Abacus → WAMAS</w:t>
            </w:r>
          </w:p>
        </w:tc>
        <w:tc>
          <w:tcPr>
            <w:tcW w:type="dxa" w:w="2835"/>
          </w:tcPr>
          <w:p>
            <w:pPr>
              <w:spacing w:after="0" w:line="252" w:lineRule="auto"/>
            </w:pPr>
            <w:r>
              <w:rPr>
                <w:rFonts w:ascii="Consolas" w:hAnsi="Consolas" w:cs="Consolas" w:eastAsia="Consolas"/>
                <w:sz w:val="14"/>
              </w:rPr>
              <w:t>WLSINVD002</w:t>
            </w:r>
            <w:r>
              <w:rPr>
                <w:sz w:val="16"/>
              </w:rPr>
              <w:t xml:space="preserve">, </w:t>
            </w:r>
            <w:r>
              <w:rPr>
                <w:rFonts w:ascii="Consolas" w:hAnsi="Consolas" w:cs="Consolas" w:eastAsia="Consolas"/>
                <w:sz w:val="14"/>
              </w:rPr>
              <w:t>WLSINVDL003</w:t>
            </w:r>
          </w:p>
        </w:tc>
        <w:tc>
          <w:tcPr>
            <w:tcW w:type="dxa" w:w="3175"/>
          </w:tcPr>
          <w:p>
            <w:pPr>
              <w:spacing w:after="0" w:line="252" w:lineRule="auto"/>
            </w:pPr>
          </w:p>
        </w:tc>
      </w:tr>
      <w:tr>
        <w:tc>
          <w:tcPr>
            <w:tcW w:type="dxa" w:w="2268"/>
          </w:tcPr>
          <w:p>
            <w:pPr>
              <w:spacing w:after="0" w:line="252" w:lineRule="auto"/>
            </w:pPr>
            <w:r>
              <w:rPr>
                <w:sz w:val="16"/>
              </w:rPr>
              <w:t>Rückmeldung Inventur</w:t>
            </w:r>
          </w:p>
        </w:tc>
        <w:tc>
          <w:tcPr>
            <w:tcW w:type="dxa" w:w="1247"/>
          </w:tcPr>
          <w:p>
            <w:pPr>
              <w:spacing w:after="0" w:line="252" w:lineRule="auto"/>
            </w:pPr>
            <w:r>
              <w:rPr>
                <w:sz w:val="16"/>
              </w:rPr>
              <w:t>WAMAS → Abacus</w:t>
            </w:r>
          </w:p>
        </w:tc>
        <w:tc>
          <w:tcPr>
            <w:tcW w:type="dxa" w:w="2835"/>
          </w:tcPr>
          <w:p>
            <w:pPr>
              <w:spacing w:after="0" w:line="252" w:lineRule="auto"/>
            </w:pPr>
            <w:r>
              <w:rPr>
                <w:rFonts w:ascii="Consolas" w:hAnsi="Consolas" w:cs="Consolas" w:eastAsia="Consolas"/>
                <w:sz w:val="14"/>
              </w:rPr>
              <w:t>WLSINVDACK002</w:t>
            </w:r>
            <w:r>
              <w:rPr>
                <w:sz w:val="16"/>
              </w:rPr>
              <w:t xml:space="preserve">, </w:t>
            </w:r>
            <w:r>
              <w:rPr>
                <w:rFonts w:ascii="Consolas" w:hAnsi="Consolas" w:cs="Consolas" w:eastAsia="Consolas"/>
                <w:sz w:val="14"/>
              </w:rPr>
              <w:t>WLSINVDLACK003</w:t>
            </w:r>
          </w:p>
        </w:tc>
        <w:tc>
          <w:tcPr>
            <w:tcW w:type="dxa" w:w="3175"/>
          </w:tcPr>
          <w:p>
            <w:pPr>
              <w:spacing w:after="0" w:line="252" w:lineRule="auto"/>
            </w:pPr>
          </w:p>
        </w:tc>
      </w:tr>
      <w:tr>
        <w:tc>
          <w:tcPr>
            <w:tcW w:type="dxa" w:w="2268"/>
          </w:tcPr>
          <w:p>
            <w:pPr>
              <w:spacing w:after="0" w:line="252" w:lineRule="auto"/>
            </w:pPr>
            <w:r>
              <w:rPr>
                <w:sz w:val="16"/>
              </w:rPr>
              <w:t>Bestandskorrektur</w:t>
            </w:r>
          </w:p>
        </w:tc>
        <w:tc>
          <w:tcPr>
            <w:tcW w:type="dxa" w:w="1247"/>
          </w:tcPr>
          <w:p>
            <w:pPr>
              <w:spacing w:after="0" w:line="252" w:lineRule="auto"/>
            </w:pPr>
            <w:r>
              <w:rPr>
                <w:sz w:val="16"/>
              </w:rPr>
              <w:t>WAMAS → Abacus</w:t>
            </w:r>
          </w:p>
        </w:tc>
        <w:tc>
          <w:tcPr>
            <w:tcW w:type="dxa" w:w="2835"/>
          </w:tcPr>
          <w:p>
            <w:pPr>
              <w:spacing w:after="0" w:line="252" w:lineRule="auto"/>
            </w:pPr>
            <w:r>
              <w:rPr>
                <w:rFonts w:ascii="Consolas" w:hAnsi="Consolas" w:cs="Consolas" w:eastAsia="Consolas"/>
                <w:sz w:val="14"/>
              </w:rPr>
              <w:t>WLSSTOCKADJ002</w:t>
            </w:r>
          </w:p>
        </w:tc>
        <w:tc>
          <w:tcPr>
            <w:tcW w:type="dxa" w:w="3175"/>
          </w:tcPr>
          <w:p>
            <w:pPr>
              <w:spacing w:after="0" w:line="252" w:lineRule="auto"/>
            </w:pPr>
            <w:r>
              <w:rPr>
                <w:rFonts w:ascii="Consolas" w:hAnsi="Consolas" w:cs="Consolas" w:eastAsia="Consolas"/>
                <w:sz w:val="14"/>
              </w:rPr>
              <w:t>reasonAdjustment</w:t>
            </w:r>
            <w:r>
              <w:rPr>
                <w:sz w:val="16"/>
              </w:rPr>
              <w:t xml:space="preserve">, </w:t>
            </w:r>
            <w:r>
              <w:rPr>
                <w:rFonts w:ascii="Consolas" w:hAnsi="Consolas" w:cs="Consolas" w:eastAsia="Consolas"/>
                <w:sz w:val="14"/>
              </w:rPr>
              <w:t>postingKey</w:t>
            </w:r>
            <w:r>
              <w:rPr>
                <w:sz w:val="16"/>
              </w:rPr>
              <w:t xml:space="preserve">, </w:t>
            </w:r>
            <w:r>
              <w:rPr>
                <w:rFonts w:ascii="Consolas" w:hAnsi="Consolas" w:cs="Consolas" w:eastAsia="Consolas"/>
                <w:sz w:val="14"/>
              </w:rPr>
              <w:t>invNo</w:t>
            </w:r>
            <w:r>
              <w:rPr>
                <w:sz w:val="16"/>
              </w:rPr>
              <w:t xml:space="preserve">, </w:t>
            </w:r>
            <w:r>
              <w:rPr>
                <w:rFonts w:ascii="Consolas" w:hAnsi="Consolas" w:cs="Consolas" w:eastAsia="Consolas"/>
                <w:sz w:val="14"/>
              </w:rPr>
              <w:t>stoLoc</w:t>
            </w:r>
          </w:p>
        </w:tc>
      </w:tr>
      <w:tr>
        <w:tc>
          <w:tcPr>
            <w:tcW w:type="dxa" w:w="2268"/>
          </w:tcPr>
          <w:p>
            <w:pPr>
              <w:spacing w:after="0" w:line="252" w:lineRule="auto"/>
            </w:pPr>
            <w:r>
              <w:rPr>
                <w:sz w:val="16"/>
              </w:rPr>
              <w:t>Bestandsbericht</w:t>
            </w:r>
          </w:p>
        </w:tc>
        <w:tc>
          <w:tcPr>
            <w:tcW w:type="dxa" w:w="1247"/>
          </w:tcPr>
          <w:p>
            <w:pPr>
              <w:spacing w:after="0" w:line="252" w:lineRule="auto"/>
            </w:pPr>
            <w:r>
              <w:rPr>
                <w:sz w:val="16"/>
              </w:rPr>
              <w:t>Abacus → WAMAS → Abacus</w:t>
            </w:r>
          </w:p>
        </w:tc>
        <w:tc>
          <w:tcPr>
            <w:tcW w:type="dxa" w:w="2835"/>
          </w:tcPr>
          <w:p>
            <w:pPr>
              <w:spacing w:after="0" w:line="252" w:lineRule="auto"/>
            </w:pPr>
            <w:r>
              <w:rPr>
                <w:rFonts w:ascii="Consolas" w:hAnsi="Consolas" w:cs="Consolas" w:eastAsia="Consolas"/>
                <w:sz w:val="14"/>
              </w:rPr>
              <w:t>WLSSTOCKREQ002</w:t>
            </w:r>
            <w:r>
              <w:rPr>
                <w:sz w:val="16"/>
              </w:rPr>
              <w:t xml:space="preserve"> → </w:t>
            </w:r>
            <w:r>
              <w:rPr>
                <w:rFonts w:ascii="Consolas" w:hAnsi="Consolas" w:cs="Consolas" w:eastAsia="Consolas"/>
                <w:sz w:val="14"/>
              </w:rPr>
              <w:t>WLSSTOCKBEGIN001</w:t>
            </w:r>
            <w:r>
              <w:rPr>
                <w:sz w:val="16"/>
              </w:rPr>
              <w:t xml:space="preserve">, </w:t>
            </w:r>
            <w:r>
              <w:rPr>
                <w:rFonts w:ascii="Consolas" w:hAnsi="Consolas" w:cs="Consolas" w:eastAsia="Consolas"/>
                <w:sz w:val="14"/>
              </w:rPr>
              <w:t>WLSSTOCKACK002</w:t>
            </w:r>
            <w:r>
              <w:rPr>
                <w:sz w:val="16"/>
              </w:rPr>
              <w:t xml:space="preserve">, </w:t>
            </w:r>
            <w:r>
              <w:rPr>
                <w:rFonts w:ascii="Consolas" w:hAnsi="Consolas" w:cs="Consolas" w:eastAsia="Consolas"/>
                <w:sz w:val="14"/>
              </w:rPr>
              <w:t>WLSSTOCKEND001</w:t>
            </w:r>
          </w:p>
        </w:tc>
        <w:tc>
          <w:tcPr>
            <w:tcW w:type="dxa" w:w="3175"/>
          </w:tcPr>
          <w:p>
            <w:pPr>
              <w:spacing w:after="0" w:line="252" w:lineRule="auto"/>
            </w:pPr>
            <w:r>
              <w:rPr>
                <w:sz w:val="16"/>
              </w:rPr>
              <w:t>Grundlage Bestandsabgleich</w:t>
            </w:r>
          </w:p>
        </w:tc>
      </w:tr>
      <w:tr>
        <w:tc>
          <w:tcPr>
            <w:tcW w:type="dxa" w:w="2268"/>
          </w:tcPr>
          <w:p>
            <w:pPr>
              <w:spacing w:after="0" w:line="252" w:lineRule="auto"/>
            </w:pPr>
            <w:r>
              <w:rPr>
                <w:sz w:val="16"/>
              </w:rPr>
              <w:t>Bestandsimport (Migration)</w:t>
            </w:r>
          </w:p>
        </w:tc>
        <w:tc>
          <w:tcPr>
            <w:tcW w:type="dxa" w:w="1247"/>
          </w:tcPr>
          <w:p>
            <w:pPr>
              <w:spacing w:after="0" w:line="252" w:lineRule="auto"/>
            </w:pPr>
            <w:r>
              <w:rPr>
                <w:sz w:val="16"/>
              </w:rPr>
              <w:t>Abacus/Datei → WAMAS</w:t>
            </w:r>
          </w:p>
        </w:tc>
        <w:tc>
          <w:tcPr>
            <w:tcW w:type="dxa" w:w="2835"/>
          </w:tcPr>
          <w:p>
            <w:pPr>
              <w:spacing w:after="0" w:line="252" w:lineRule="auto"/>
            </w:pPr>
            <w:r>
              <w:rPr>
                <w:rFonts w:ascii="Consolas" w:hAnsi="Consolas" w:cs="Consolas" w:eastAsia="Consolas"/>
                <w:sz w:val="14"/>
              </w:rPr>
              <w:t>WLSSTOCKIMPORT001</w:t>
            </w:r>
          </w:p>
        </w:tc>
        <w:tc>
          <w:tcPr>
            <w:tcW w:type="dxa" w:w="3175"/>
          </w:tcPr>
          <w:p>
            <w:pPr>
              <w:spacing w:after="0" w:line="252" w:lineRule="auto"/>
            </w:pPr>
            <w:r>
              <w:rPr>
                <w:rFonts w:ascii="Consolas" w:hAnsi="Consolas" w:cs="Consolas" w:eastAsia="Consolas"/>
                <w:sz w:val="14"/>
              </w:rPr>
              <w:t>whLoc</w:t>
            </w:r>
            <w:r>
              <w:rPr>
                <w:sz w:val="16"/>
              </w:rPr>
              <w:t xml:space="preserve">, </w:t>
            </w:r>
            <w:r>
              <w:rPr>
                <w:rFonts w:ascii="Consolas" w:hAnsi="Consolas" w:cs="Consolas" w:eastAsia="Consolas"/>
                <w:sz w:val="14"/>
              </w:rPr>
              <w:t>stoLocId</w:t>
            </w:r>
          </w:p>
        </w:tc>
      </w:tr>
    </w:tbl>
    <w:p>
      <w:pPr>
        <w:pStyle w:val="BeschriftungSSI"/>
      </w:pPr>
      <w:r>
        <w:t>Tab. 8: Satzarten laut Interface Manual WLS–ERP 2.8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Ist-Stand der BSB-Schnittstelle</w:t>
            </w:r>
          </w:p>
          <w:p>
            <w:pPr>
              <w:spacing w:after="40"/>
            </w:pPr>
            <w:r>
              <w:rPr>
                <w:sz w:val="19"/>
              </w:rPr>
              <w:t>Welche Satzarten und Versionen die heutige BSB-/BPE-Lösung für Logimat verwendet, liegt nicht vor. Vor der Detailspezifikation ist eine Bestandsaufnahme mit bsb nötig (→ OP-11).</w:t>
            </w:r>
          </w:p>
        </w:tc>
      </w:tr>
    </w:tbl>
    <w:p>
      <w:pPr>
        <w:spacing w:after="40"/>
      </w:pPr>
    </w:p>
    <w:p>
      <w:pPr>
        <w:pStyle w:val="Quelle"/>
      </w:pPr>
      <w:r>
        <w:rPr>
          <w:b/>
        </w:rPr>
        <w:t xml:space="preserve">Quelle: </w:t>
      </w:r>
      <w:r>
        <w:rPr>
          <w:sz w:val="17"/>
        </w:rPr>
        <w:t>IM 2.8 Kap. 5–11</w:t>
      </w:r>
    </w:p>
    <w:p>
      <w:pPr>
        <w:pStyle w:val="Heading2"/>
      </w:pPr>
      <w:r>
        <w:t>8.3 Erweiterung der BPE-Prozesse (Lastenheft 4.12)</w:t>
      </w:r>
    </w:p>
    <w:p>
      <w:pPr>
        <w:pStyle w:val="ListBullet"/>
      </w:pPr>
      <w:r>
        <w:t>Routing von Einlager- und Kommissionierpositionen nach Logimat bzw. manueller Zone.</w:t>
      </w:r>
    </w:p>
    <w:p>
      <w:pPr>
        <w:pStyle w:val="ListBullet"/>
      </w:pPr>
      <w:r>
        <w:t>Neue Auslöser: Umbuchung WEP/REP/Aussenlager → WAM, Nachrüstung, Verbrauch/Kostenstelle, Inventur aus WAMAS.</w:t>
      </w:r>
    </w:p>
    <w:p>
      <w:pPr>
        <w:pStyle w:val="ListBullet"/>
      </w:pPr>
      <w:r>
        <w:t>Mapping der Lagerorte WAM, WAM-Sperrlager, WAM-SER, WAM-GE auf die gewählte WAMAS-Variante (Kap. 5.4).</w:t>
      </w:r>
    </w:p>
    <w:p>
      <w:pPr>
        <w:pStyle w:val="ListBullet"/>
      </w:pPr>
      <w:r>
        <w:t>Verarbeitung von Bestandskorrekturen und Inventurdifferenzen in Abacus.</w:t>
      </w:r>
    </w:p>
    <w:p>
      <w:pPr>
        <w:pStyle w:val="Heading2"/>
      </w:pPr>
      <w:r>
        <w:t>8.4 Prüfung REST</w:t>
      </w:r>
    </w:p>
    <w:p>
      <w:r>
        <w:t xml:space="preserve">WAMAS unterstützt neben Datei-, Socket-, Tabellen- und JMS-Anbindung eine REST-Schnittstelle (laut Lastenheft Version 2 und 3, JSON-Endpunkte </w:t>
      </w:r>
      <w:r>
        <w:rPr>
          <w:rFonts w:ascii="Consolas" w:hAnsi="Consolas" w:cs="Consolas" w:eastAsia="Consolas"/>
          <w:sz w:val="18"/>
        </w:rPr>
        <w:t>/health</w:t>
      </w:r>
      <w:r>
        <w:t xml:space="preserve"> und </w:t>
      </w:r>
      <w:r>
        <w:rPr>
          <w:rFonts w:ascii="Consolas" w:hAnsi="Consolas" w:cs="Consolas" w:eastAsia="Consolas"/>
          <w:sz w:val="18"/>
        </w:rPr>
        <w:t>/messages</w:t>
      </w:r>
      <w:r>
        <w:t xml:space="preserve">); im Administratorhandbuch ist ein </w:t>
      </w:r>
      <w:r>
        <w:rPr>
          <w:b/>
        </w:rPr>
        <w:t>REST-Empfänger</w:t>
      </w:r>
      <w:r>
        <w:t xml:space="preserve"> als Systempartner-Typ beschrieben. Abacus bietet eine REST-API mit Service-User und OAuth. Vorschlag: REST nur für den täglichen Bestandsabgleich (Kap. 8.5) prüfen. Ob Abacus-REST die benötigten Datenobjekte (Bestand je Artikel/Charge/Lagerort) liefert und ob eine projektspezifische WAMAS-REST-Ressource nötig ist, ist mit bsb und SSI SCHÄFER zu klären (→ OP-12).</w:t>
      </w:r>
    </w:p>
    <w:p>
      <w:pPr>
        <w:pStyle w:val="Quelle"/>
      </w:pPr>
      <w:r>
        <w:rPr>
          <w:b/>
        </w:rPr>
        <w:t xml:space="preserve">Quelle: </w:t>
      </w:r>
      <w:r>
        <w:rPr>
          <w:sz w:val="17"/>
        </w:rPr>
        <w:t>Lastenheft 3796/0001, Kap. 2.2.18 «Prüfung REST-basierte Realisierung»; AH 2.7 Kap. 3.5.1.2.3; IM 2.8 Kap. 2.1.1.5</w:t>
      </w:r>
    </w:p>
    <w:p>
      <w:pPr>
        <w:pStyle w:val="Heading2"/>
      </w:pPr>
      <w:r>
        <w:t>8.5 Täglicher Bestandsabgleich</w:t>
      </w:r>
    </w:p>
    <w:p>
      <w:r>
        <w:t>Anforderung: automatisierter, mindestens täglicher Abgleich; Artikel in Abacus, aber nicht in WAMAS (und umgekehrt) sowie Mengendifferenzen je Artikel und Charge; Protokoll (z. B. Excel) an eine Empfängergruppe; technische Dokumentation. Im Lastenheft als Wunsch (Nr. 4.15) eingestuft, im Text aber als «soll eingerichtet werden» beschrieben (→ OP-21).</w:t>
      </w:r>
    </w:p>
    <w:p>
      <w:r>
        <w:t>Vorschlag:</w:t>
      </w:r>
    </w:p>
    <w:p>
      <w:pPr>
        <w:tabs>
          <w:tab w:pos="425" w:val="left"/>
        </w:tabs>
        <w:spacing w:after="60"/>
        <w:ind w:left="425" w:hanging="425"/>
      </w:pPr>
      <w:r>
        <w:rPr>
          <w:b/>
        </w:rPr>
        <w:t>1.</w:t>
        <w:tab/>
      </w:r>
      <w:r>
        <w:t xml:space="preserve">Zeitgesteuert sendet BPE eine Bestandsanfrage </w:t>
      </w:r>
      <w:r>
        <w:rPr>
          <w:rFonts w:ascii="Consolas" w:hAnsi="Consolas" w:cs="Consolas" w:eastAsia="Consolas"/>
          <w:sz w:val="18"/>
        </w:rPr>
        <w:t>WLSSTOCKREQ002</w:t>
      </w:r>
      <w:r>
        <w:t xml:space="preserve"> (alle Artikel oder gefiltert, gruppiert z. B. nach Charge und Zone) an WAMAS.</w:t>
      </w:r>
    </w:p>
    <w:p>
      <w:pPr>
        <w:tabs>
          <w:tab w:pos="425" w:val="left"/>
        </w:tabs>
        <w:spacing w:after="60"/>
        <w:ind w:left="425" w:hanging="425"/>
      </w:pPr>
      <w:r>
        <w:rPr>
          <w:b/>
        </w:rPr>
        <w:t>2.</w:t>
        <w:tab/>
      </w:r>
      <w:r>
        <w:t xml:space="preserve">WAMAS antwortet mit </w:t>
      </w:r>
      <w:r>
        <w:rPr>
          <w:rFonts w:ascii="Consolas" w:hAnsi="Consolas" w:cs="Consolas" w:eastAsia="Consolas"/>
          <w:sz w:val="18"/>
        </w:rPr>
        <w:t>WLSSTOCKBEGIN001</w:t>
      </w:r>
      <w:r>
        <w:t xml:space="preserve">, </w:t>
      </w:r>
      <w:r>
        <w:rPr>
          <w:rFonts w:ascii="Consolas" w:hAnsi="Consolas" w:cs="Consolas" w:eastAsia="Consolas"/>
          <w:sz w:val="18"/>
        </w:rPr>
        <w:t>WLSSTOCKACK002</w:t>
      </w:r>
      <w:r>
        <w:t xml:space="preserve"> je Bestandsposition und </w:t>
      </w:r>
      <w:r>
        <w:rPr>
          <w:rFonts w:ascii="Consolas" w:hAnsi="Consolas" w:cs="Consolas" w:eastAsia="Consolas"/>
          <w:sz w:val="18"/>
        </w:rPr>
        <w:t>WLSSTOCKEND001</w:t>
      </w:r>
      <w:r>
        <w:t>.</w:t>
      </w:r>
    </w:p>
    <w:p>
      <w:pPr>
        <w:tabs>
          <w:tab w:pos="425" w:val="left"/>
        </w:tabs>
        <w:spacing w:after="60"/>
        <w:ind w:left="425" w:hanging="425"/>
      </w:pPr>
      <w:r>
        <w:rPr>
          <w:b/>
        </w:rPr>
        <w:t>3.</w:t>
        <w:tab/>
      </w:r>
      <w:r>
        <w:t>BPE liest den Abacus-Bestand des Lagerorts WAM (AbaConnect oder REST), vergleicht je Artikel/Charge und erzeugt das Excel-Protokoll; Versand per E-Mail an die definierte Gruppe.</w:t>
      </w:r>
    </w:p>
    <w:p>
      <w:r>
        <w:t xml:space="preserve">Offen (→ OP-12): Datenquelle Abacus, Zeitpunkt, Empfänger, Vergleich auf Seriennummernebene, Umgang mit Beständen in Bewegung. </w:t>
      </w:r>
      <w:r>
        <w:rPr>
          <w:rFonts w:ascii="Consolas" w:hAnsi="Consolas" w:cs="Consolas" w:eastAsia="Consolas"/>
          <w:sz w:val="18"/>
        </w:rPr>
        <w:t>WLSSTOCKACK002</w:t>
      </w:r>
      <w:r>
        <w:t xml:space="preserve"> enthält laut Feldliste Zone und LE, aber kein Lagerplatzfeld; ein platzgenauer Abgleich ist so nicht vorgesehen und für Abacus auch nicht nötig.</w:t>
      </w:r>
    </w:p>
    <w:p>
      <w:pPr>
        <w:pStyle w:val="Quelle"/>
      </w:pPr>
      <w:r>
        <w:rPr>
          <w:b/>
        </w:rPr>
        <w:t xml:space="preserve">Quelle: </w:t>
      </w:r>
      <w:r>
        <w:rPr>
          <w:sz w:val="17"/>
        </w:rPr>
        <w:t>Lastenheft 3796/0001, Kap. 2.2.18 «Lagerbestandsabgleich»; IM 2.8 Kap. 9.1, 9.2</w:t>
      </w:r>
    </w:p>
    <w:p>
      <w:pPr>
        <w:pStyle w:val="Heading2"/>
      </w:pPr>
      <w:r>
        <w:t>8.6 Fehlerhandling</w:t>
      </w:r>
    </w:p>
    <w:p>
      <w:pPr>
        <w:pStyle w:val="ListBullet"/>
      </w:pPr>
      <w:r>
        <w:t xml:space="preserve">WAMAS-Standard: Fehlerhafte eingehende Nachrichten (Konverter- oder Importfehler) werden als Fehler-SPM gespeichert und in </w:t>
      </w:r>
      <w:r>
        <w:rPr>
          <w:b/>
        </w:rPr>
        <w:t>DI002</w:t>
      </w:r>
      <w:r>
        <w:t xml:space="preserve"> angezeigt; das Fehlerprotokoll (</w:t>
      </w:r>
      <w:r>
        <w:rPr>
          <w:b/>
        </w:rPr>
        <w:t>DI003</w:t>
      </w:r>
      <w:r>
        <w:t xml:space="preserve">) zeigt die auslösende Komponente, bei Bearbeitung Benutzer und Datum, und nimmt Kommentare auf. Fehler-SPMs können im </w:t>
      </w:r>
      <w:r>
        <w:rPr>
          <w:b/>
        </w:rPr>
        <w:t>DI005 SPM Dateneditor</w:t>
      </w:r>
      <w:r>
        <w:t xml:space="preserve"> korrigiert, </w:t>
      </w:r>
      <w:r>
        <w:rPr>
          <w:b/>
        </w:rPr>
        <w:t>wiederholt</w:t>
      </w:r>
      <w:r>
        <w:t xml:space="preserve"> oder </w:t>
      </w:r>
      <w:r>
        <w:rPr>
          <w:b/>
        </w:rPr>
        <w:t>storniert</w:t>
      </w:r>
      <w:r>
        <w:t xml:space="preserve"> werden; auch ausgehende Nachrichten sind bearbeitbar.</w:t>
      </w:r>
    </w:p>
    <w:p>
      <w:pPr>
        <w:pStyle w:val="ListBullet"/>
      </w:pPr>
      <w:r>
        <w:t>Archivierung abgerufener Nachrichtendateien mit Aufbewahrungsdauer (Dateischnittstelle); inSPM-Quittierung an den Systempartner konfigurierbar (Nie, Immer, Fehler).</w:t>
      </w:r>
    </w:p>
    <w:p>
      <w:pPr>
        <w:pStyle w:val="ListBullet"/>
      </w:pPr>
      <w:r>
        <w:t>Erweiterung (Lastenheft 4.13, 4.14): Fehlerklassifizierung technisch/fachlich, E-Mail/Alert, Continue-on-Failure je Satzart, Dokumentation von Fehler und Behebung. Eine E-Mail-Notifikation ist für WAMAS nicht dokumentiert; Vorschlag Umsetzung in BPE (bsb).</w:t>
      </w:r>
    </w:p>
    <w:p>
      <w:pPr>
        <w:pStyle w:val="ListBullet"/>
      </w:pPr>
      <w:r>
        <w:t>Nicht übermittelte Buchungen (4.8): Erkennung und kontrollierte Wiederholung auf beiden Seiten festzulegen (→ OP-13).</w:t>
      </w:r>
    </w:p>
    <w:p>
      <w:pPr>
        <w:pStyle w:val="Quelle"/>
      </w:pPr>
      <w:r>
        <w:rPr>
          <w:b/>
        </w:rPr>
        <w:t xml:space="preserve">Quelle: </w:t>
      </w:r>
      <w:r>
        <w:rPr>
          <w:sz w:val="17"/>
        </w:rPr>
        <w:t>Lastenheft 3796/0001, Kap. 2.2.18 «Erweitertes Fehlerhandling»; AH 2.7 Kap. 3.5.1.2.1, 3.5.1.4, 3.5.5</w:t>
      </w:r>
    </w:p>
    <w:p>
      <w:pPr>
        <w:pStyle w:val="Heading1"/>
      </w:pPr>
      <w:r>
        <w:t>9 Benutzer, Rollen und Berechtigungen</w:t>
      </w:r>
    </w:p>
    <w:p>
      <w:pPr>
        <w:pStyle w:val="Heading2"/>
      </w:pPr>
      <w:r>
        <w:t>9.1 Mechanismen in WAMAS</w:t>
      </w:r>
    </w:p>
    <w:p>
      <w:pPr>
        <w:pStyle w:val="ListBullet"/>
      </w:pPr>
      <w:r>
        <w:t>Benutzer und Logins zentral (</w:t>
      </w:r>
      <w:r>
        <w:rPr>
          <w:b/>
        </w:rPr>
        <w:t>UM001</w:t>
      </w:r>
      <w:r>
        <w:t xml:space="preserve">, </w:t>
      </w:r>
      <w:r>
        <w:rPr>
          <w:b/>
        </w:rPr>
        <w:t>UM002</w:t>
      </w:r>
      <w:r>
        <w:t xml:space="preserve">), Rollen und Applikations-Zugriffs-Profile; Registerkarte </w:t>
      </w:r>
      <w:r>
        <w:rPr>
          <w:b/>
        </w:rPr>
        <w:t>Mobiler Zugriff</w:t>
      </w:r>
      <w:r>
        <w:t xml:space="preserve"> steuert die Tätigkeiten am Mobilterminal (Standard: alles erlaubt, gezielt sperren).</w:t>
      </w:r>
    </w:p>
    <w:p>
      <w:pPr>
        <w:pStyle w:val="ListBullet"/>
      </w:pPr>
      <w:r>
        <w:t>Datenzugriffsprofil je Login: legt fest, auf welche Datensätze ein Benutzer zugreifen kann; gilt nicht für Super-User. Einschränkung auf Klient, Zone oder Lagerort ist nicht beschrieben (→ OP-18).</w:t>
      </w:r>
    </w:p>
    <w:p>
      <w:pPr>
        <w:pStyle w:val="ListBullet"/>
      </w:pPr>
      <w:r>
        <w:t>Bestandsklassifizierung mit Option «Änderungen erfordern erweiterte Berechtigungen».</w:t>
      </w:r>
    </w:p>
    <w:p>
      <w:pPr>
        <w:pStyle w:val="ListBullet"/>
      </w:pPr>
      <w:r>
        <w:t>Login-Protokoll, Benutzersitzungen, Audit-Protokoll (Änderungen an Benutzerdaten, Profilen, Logins), Sperre nach Inaktivität.</w:t>
      </w:r>
    </w:p>
    <w:p>
      <w:pPr>
        <w:pStyle w:val="Quelle"/>
      </w:pPr>
      <w:r>
        <w:rPr>
          <w:b/>
        </w:rPr>
        <w:t xml:space="preserve">Quelle: </w:t>
      </w:r>
      <w:r>
        <w:rPr>
          <w:sz w:val="17"/>
        </w:rPr>
        <w:t>AH 2.7 Kap. 3.3, 3.3.4.4, 3.3.8; AM 2.8 Kap. 3.6.1.9</w:t>
      </w:r>
    </w:p>
    <w:p>
      <w:pPr>
        <w:pStyle w:val="Heading2"/>
      </w:pPr>
      <w:r>
        <w:t>9.2 Rollenmodell (Vorschlag)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41"/>
        <w:gridCol w:w="4649"/>
        <w:gridCol w:w="2835"/>
      </w:tblGrid>
      <w:tr>
        <w:trPr>
          <w:tblHeader w:val="true"/>
        </w:trPr>
        <w:tc>
          <w:tcPr>
            <w:tcW w:type="dxa" w:w="2041"/>
            <w:shd w:val="clear" w:color="auto" w:fill="FEEE19"/>
          </w:tcPr>
          <w:p>
            <w:pPr>
              <w:spacing w:after="0"/>
            </w:pPr>
            <w:r>
              <w:rPr>
                <w:b/>
                <w:sz w:val="16"/>
              </w:rPr>
              <w:t>Rolle</w:t>
            </w:r>
          </w:p>
        </w:tc>
        <w:tc>
          <w:tcPr>
            <w:tcW w:type="dxa" w:w="4649"/>
            <w:shd w:val="clear" w:color="auto" w:fill="FEEE19"/>
          </w:tcPr>
          <w:p>
            <w:pPr>
              <w:spacing w:after="0"/>
            </w:pPr>
            <w:r>
              <w:rPr>
                <w:b/>
                <w:sz w:val="16"/>
              </w:rPr>
              <w:t>Rechte (Entwurf)</w:t>
            </w:r>
          </w:p>
        </w:tc>
        <w:tc>
          <w:tcPr>
            <w:tcW w:type="dxa" w:w="2835"/>
            <w:shd w:val="clear" w:color="auto" w:fill="FEEE19"/>
          </w:tcPr>
          <w:p>
            <w:pPr>
              <w:spacing w:after="0"/>
            </w:pPr>
            <w:r>
              <w:rPr>
                <w:b/>
                <w:sz w:val="16"/>
              </w:rPr>
              <w:t>Offen</w:t>
            </w:r>
          </w:p>
        </w:tc>
      </w:tr>
      <w:tr>
        <w:tc>
          <w:tcPr>
            <w:tcW w:type="dxa" w:w="2041"/>
          </w:tcPr>
          <w:p>
            <w:pPr>
              <w:spacing w:after="0" w:line="252" w:lineRule="auto"/>
            </w:pPr>
            <w:r>
              <w:rPr>
                <w:sz w:val="16"/>
              </w:rPr>
              <w:t>Lager-Mitarbeitende LOG</w:t>
            </w:r>
          </w:p>
        </w:tc>
        <w:tc>
          <w:tcPr>
            <w:tcW w:type="dxa" w:w="4649"/>
          </w:tcPr>
          <w:p>
            <w:pPr>
              <w:spacing w:after="0" w:line="252" w:lineRule="auto"/>
            </w:pPr>
            <w:r>
              <w:rPr>
                <w:sz w:val="16"/>
              </w:rPr>
              <w:t>Einlagerung, Umlagerung, Kommissionierung, WA, Inventur zählen, Fehlmenge melden, Etikett drucken</w:t>
            </w:r>
          </w:p>
        </w:tc>
        <w:tc>
          <w:tcPr>
            <w:tcW w:type="dxa" w:w="2835"/>
          </w:tcPr>
          <w:p>
            <w:pPr>
              <w:spacing w:after="0" w:line="252" w:lineRule="auto"/>
            </w:pPr>
            <w:r>
              <w:rPr>
                <w:sz w:val="16"/>
              </w:rPr>
              <w:t>Rechte auf Lagerort WAM-Sperrlager: keine</w:t>
            </w:r>
          </w:p>
        </w:tc>
      </w:tr>
      <w:tr>
        <w:tc>
          <w:tcPr>
            <w:tcW w:type="dxa" w:w="2041"/>
          </w:tcPr>
          <w:p>
            <w:pPr>
              <w:spacing w:after="0" w:line="252" w:lineRule="auto"/>
            </w:pPr>
            <w:r>
              <w:rPr>
                <w:sz w:val="16"/>
              </w:rPr>
              <w:t>Key-User / Stv. Leiter LOG</w:t>
            </w:r>
          </w:p>
        </w:tc>
        <w:tc>
          <w:tcPr>
            <w:tcW w:type="dxa" w:w="4649"/>
          </w:tcPr>
          <w:p>
            <w:pPr>
              <w:spacing w:after="0" w:line="252" w:lineRule="auto"/>
            </w:pPr>
            <w:r>
              <w:rPr>
                <w:sz w:val="16"/>
              </w:rPr>
              <w:t>wie oben, zusätzlich Bedarfe verwalten, Nachzählung anfordern, Korrekturen bis Grenzwert</w:t>
            </w:r>
          </w:p>
        </w:tc>
        <w:tc>
          <w:tcPr>
            <w:tcW w:type="dxa" w:w="2835"/>
          </w:tcPr>
          <w:p>
            <w:pPr>
              <w:spacing w:after="0" w:line="252" w:lineRule="auto"/>
            </w:pPr>
            <w:r>
              <w:rPr>
                <w:sz w:val="16"/>
              </w:rPr>
              <w:t>Grenzwert/Vier-Augen-Prinzip</w:t>
            </w:r>
          </w:p>
        </w:tc>
      </w:tr>
      <w:tr>
        <w:tc>
          <w:tcPr>
            <w:tcW w:type="dxa" w:w="2041"/>
          </w:tcPr>
          <w:p>
            <w:pPr>
              <w:spacing w:after="0" w:line="252" w:lineRule="auto"/>
            </w:pPr>
            <w:r>
              <w:rPr>
                <w:sz w:val="16"/>
              </w:rPr>
              <w:t>Leiter Logistik</w:t>
            </w:r>
          </w:p>
        </w:tc>
        <w:tc>
          <w:tcPr>
            <w:tcW w:type="dxa" w:w="4649"/>
          </w:tcPr>
          <w:p>
            <w:pPr>
              <w:spacing w:after="0" w:line="252" w:lineRule="auto"/>
            </w:pPr>
            <w:r>
              <w:rPr>
                <w:sz w:val="16"/>
              </w:rPr>
              <w:t>Korrekturen freigeben, Sperrlager, Ausbuchung auf Kostenstelle, Auswertungen</w:t>
            </w:r>
          </w:p>
        </w:tc>
        <w:tc>
          <w:tcPr>
            <w:tcW w:type="dxa" w:w="2835"/>
          </w:tcPr>
          <w:p>
            <w:pPr>
              <w:spacing w:after="0" w:line="252" w:lineRule="auto"/>
            </w:pPr>
          </w:p>
        </w:tc>
      </w:tr>
      <w:tr>
        <w:tc>
          <w:tcPr>
            <w:tcW w:type="dxa" w:w="2041"/>
          </w:tcPr>
          <w:p>
            <w:pPr>
              <w:spacing w:after="0" w:line="252" w:lineRule="auto"/>
            </w:pPr>
            <w:r>
              <w:rPr>
                <w:sz w:val="16"/>
              </w:rPr>
              <w:t>Qualität (QS/QM)</w:t>
            </w:r>
          </w:p>
        </w:tc>
        <w:tc>
          <w:tcPr>
            <w:tcW w:type="dxa" w:w="4649"/>
          </w:tcPr>
          <w:p>
            <w:pPr>
              <w:spacing w:after="0" w:line="252" w:lineRule="auto"/>
            </w:pPr>
            <w:r>
              <w:rPr>
                <w:sz w:val="16"/>
              </w:rPr>
              <w:t>Sperren/Freigeben (WAM-Sperrlager), Auswertungen, Audit-Nachweise</w:t>
            </w:r>
          </w:p>
        </w:tc>
        <w:tc>
          <w:tcPr>
            <w:tcW w:type="dxa" w:w="2835"/>
          </w:tcPr>
          <w:p>
            <w:pPr>
              <w:spacing w:after="0" w:line="252" w:lineRule="auto"/>
            </w:pPr>
            <w:r>
              <w:rPr>
                <w:sz w:val="16"/>
              </w:rPr>
              <w:t>Signaturpflicht (→ OP-07)</w:t>
            </w:r>
          </w:p>
        </w:tc>
      </w:tr>
      <w:tr>
        <w:tc>
          <w:tcPr>
            <w:tcW w:type="dxa" w:w="2041"/>
          </w:tcPr>
          <w:p>
            <w:pPr>
              <w:spacing w:after="0" w:line="252" w:lineRule="auto"/>
            </w:pPr>
            <w:r>
              <w:rPr>
                <w:sz w:val="16"/>
              </w:rPr>
              <w:t>PPS, EK</w:t>
            </w:r>
          </w:p>
        </w:tc>
        <w:tc>
          <w:tcPr>
            <w:tcW w:type="dxa" w:w="4649"/>
          </w:tcPr>
          <w:p>
            <w:pPr>
              <w:spacing w:after="0" w:line="252" w:lineRule="auto"/>
            </w:pPr>
            <w:r>
              <w:rPr>
                <w:sz w:val="16"/>
              </w:rPr>
              <w:t>lesend (Bestände, Kennzahlen)</w:t>
            </w:r>
          </w:p>
        </w:tc>
        <w:tc>
          <w:tcPr>
            <w:tcW w:type="dxa" w:w="2835"/>
          </w:tcPr>
          <w:p>
            <w:pPr>
              <w:spacing w:after="0" w:line="252" w:lineRule="auto"/>
            </w:pPr>
          </w:p>
        </w:tc>
      </w:tr>
      <w:tr>
        <w:tc>
          <w:tcPr>
            <w:tcW w:type="dxa" w:w="2041"/>
          </w:tcPr>
          <w:p>
            <w:pPr>
              <w:spacing w:after="0" w:line="252" w:lineRule="auto"/>
            </w:pPr>
            <w:r>
              <w:rPr>
                <w:sz w:val="16"/>
              </w:rPr>
              <w:t>Admin ERP/IT, SSI-Support</w:t>
            </w:r>
          </w:p>
        </w:tc>
        <w:tc>
          <w:tcPr>
            <w:tcW w:type="dxa" w:w="4649"/>
          </w:tcPr>
          <w:p>
            <w:pPr>
              <w:spacing w:after="0" w:line="252" w:lineRule="auto"/>
            </w:pPr>
            <w:r>
              <w:rPr>
                <w:sz w:val="16"/>
              </w:rPr>
              <w:t>Stammdaten, Konfiguration, Benutzerverwaltung</w:t>
            </w:r>
          </w:p>
        </w:tc>
        <w:tc>
          <w:tcPr>
            <w:tcW w:type="dxa" w:w="2835"/>
          </w:tcPr>
          <w:p>
            <w:pPr>
              <w:spacing w:after="0" w:line="252" w:lineRule="auto"/>
            </w:pPr>
            <w:r>
              <w:rPr>
                <w:sz w:val="16"/>
              </w:rPr>
              <w:t>Super-User nur eingeschränkt vergeben</w:t>
            </w:r>
          </w:p>
        </w:tc>
      </w:tr>
    </w:tbl>
    <w:p>
      <w:pPr>
        <w:pStyle w:val="BeschriftungSSI"/>
      </w:pPr>
      <w:r>
        <w:t>Tab. 9: Rollen und Rechte (Vorschlag, im Berechtigungskonzept mit Brütsch festzulegen)</w:t>
      </w:r>
    </w:p>
    <w:p>
      <w:pPr>
        <w:pStyle w:val="Quelle"/>
      </w:pPr>
      <w:r>
        <w:rPr>
          <w:b/>
        </w:rPr>
        <w:t xml:space="preserve">Quelle: </w:t>
      </w:r>
      <w:r>
        <w:rPr>
          <w:sz w:val="17"/>
        </w:rPr>
        <w:t>Lastenheft 3796/0001, Kap. 2.1, 2.2.2, 2.2.6, 2.2.12, Nr. 1.3, 1.8, 4.5</w:t>
      </w:r>
    </w:p>
    <w:p>
      <w:pPr>
        <w:pStyle w:val="Heading1"/>
      </w:pPr>
      <w:r>
        <w:t>10 Kennzahlen und Auswertungen</w:t>
      </w:r>
    </w:p>
    <w:p>
      <w:r>
        <w:t>Das Lastenheft nennt 26 Kennzahlen; Auswahl, Darstellung und technische Verfügbarkeit sollen im Pflichtenheft gemeinsam festgelegt werden. WAMAS bietet Übersichtsdialoge mit Suche und Filter sowie ein Touch-Dashboard (</w:t>
      </w:r>
      <w:r>
        <w:rPr>
          <w:b/>
        </w:rPr>
        <w:t>LM006</w:t>
      </w:r>
      <w:r>
        <w:t>); ein vordefinierter Kennzahlenkatalog ist in den Handbüchern nicht beschrieben. Die Spalte «Datengrundlage» zeigt, aus welchen WAMAS-Daten eine Kennzahl ableitbar wäre; die Verfügbarkeit ist durchgehend zu bestätigen (→ OP-10).</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309"/>
        <w:gridCol w:w="3515"/>
        <w:gridCol w:w="1701"/>
      </w:tblGrid>
      <w:tr>
        <w:trPr>
          <w:tblHeader w:val="true"/>
        </w:trPr>
        <w:tc>
          <w:tcPr>
            <w:tcW w:type="dxa" w:w="4309"/>
            <w:shd w:val="clear" w:color="auto" w:fill="FEEE19"/>
          </w:tcPr>
          <w:p>
            <w:pPr>
              <w:spacing w:after="0"/>
            </w:pPr>
            <w:r>
              <w:rPr>
                <w:b/>
                <w:sz w:val="16"/>
              </w:rPr>
              <w:t>Kennzahl (Lastenheft)</w:t>
            </w:r>
          </w:p>
        </w:tc>
        <w:tc>
          <w:tcPr>
            <w:tcW w:type="dxa" w:w="3515"/>
            <w:shd w:val="clear" w:color="auto" w:fill="FEEE19"/>
          </w:tcPr>
          <w:p>
            <w:pPr>
              <w:spacing w:after="0"/>
            </w:pPr>
            <w:r>
              <w:rPr>
                <w:b/>
                <w:sz w:val="16"/>
              </w:rPr>
              <w:t>Datengrundlage in WAMAS (Annahme)</w:t>
            </w:r>
          </w:p>
        </w:tc>
        <w:tc>
          <w:tcPr>
            <w:tcW w:type="dxa" w:w="1701"/>
            <w:shd w:val="clear" w:color="auto" w:fill="FEEE19"/>
          </w:tcPr>
          <w:p>
            <w:pPr>
              <w:spacing w:after="0"/>
            </w:pPr>
            <w:r>
              <w:rPr>
                <w:b/>
                <w:sz w:val="16"/>
              </w:rPr>
              <w:t>Status</w:t>
            </w:r>
          </w:p>
        </w:tc>
      </w:tr>
      <w:tr>
        <w:tc>
          <w:tcPr>
            <w:tcW w:type="dxa" w:w="4309"/>
          </w:tcPr>
          <w:p>
            <w:pPr>
              <w:spacing w:after="0" w:line="252" w:lineRule="auto"/>
            </w:pPr>
            <w:r>
              <w:rPr>
                <w:sz w:val="16"/>
              </w:rPr>
              <w:t>Anzahl Wareneingänge, Einlagerungen</w:t>
            </w:r>
          </w:p>
        </w:tc>
        <w:tc>
          <w:tcPr>
            <w:tcW w:type="dxa" w:w="3515"/>
          </w:tcPr>
          <w:p>
            <w:pPr>
              <w:spacing w:after="0" w:line="252" w:lineRule="auto"/>
            </w:pPr>
            <w:r>
              <w:rPr>
                <w:sz w:val="16"/>
              </w:rPr>
              <w:t>Einlagerbedarfe nach Bedarfstyp und Status</w:t>
            </w:r>
          </w:p>
        </w:tc>
        <w:tc>
          <w:tcPr>
            <w:tcW w:type="dxa" w:w="1701"/>
          </w:tcPr>
          <w:p>
            <w:pPr>
              <w:spacing w:after="0" w:line="252" w:lineRule="auto"/>
            </w:pPr>
            <w:r>
              <w:rPr>
                <w:sz w:val="16"/>
              </w:rPr>
              <w:t>zu klären</w:t>
            </w:r>
          </w:p>
        </w:tc>
      </w:tr>
      <w:tr>
        <w:tc>
          <w:tcPr>
            <w:tcW w:type="dxa" w:w="4309"/>
          </w:tcPr>
          <w:p>
            <w:pPr>
              <w:spacing w:after="0" w:line="252" w:lineRule="auto"/>
            </w:pPr>
            <w:r>
              <w:rPr>
                <w:sz w:val="16"/>
              </w:rPr>
              <w:t>Anzahl Kommissionieraufträge, kommissionierte Positionen</w:t>
            </w:r>
          </w:p>
        </w:tc>
        <w:tc>
          <w:tcPr>
            <w:tcW w:type="dxa" w:w="3515"/>
          </w:tcPr>
          <w:p>
            <w:pPr>
              <w:spacing w:after="0" w:line="252" w:lineRule="auto"/>
            </w:pPr>
            <w:r>
              <w:rPr>
                <w:sz w:val="16"/>
              </w:rPr>
              <w:t>Kommissionierbedarfe/-zeilen</w:t>
            </w:r>
          </w:p>
        </w:tc>
        <w:tc>
          <w:tcPr>
            <w:tcW w:type="dxa" w:w="1701"/>
          </w:tcPr>
          <w:p>
            <w:pPr>
              <w:spacing w:after="0" w:line="252" w:lineRule="auto"/>
            </w:pPr>
            <w:r>
              <w:rPr>
                <w:sz w:val="16"/>
              </w:rPr>
              <w:t>zu klären</w:t>
            </w:r>
          </w:p>
        </w:tc>
      </w:tr>
      <w:tr>
        <w:tc>
          <w:tcPr>
            <w:tcW w:type="dxa" w:w="4309"/>
          </w:tcPr>
          <w:p>
            <w:pPr>
              <w:spacing w:after="0" w:line="252" w:lineRule="auto"/>
            </w:pPr>
            <w:r>
              <w:rPr>
                <w:sz w:val="16"/>
              </w:rPr>
              <w:t>Anzahl Lagerbewegungen, Umlagerungen</w:t>
            </w:r>
          </w:p>
        </w:tc>
        <w:tc>
          <w:tcPr>
            <w:tcW w:type="dxa" w:w="3515"/>
          </w:tcPr>
          <w:p>
            <w:pPr>
              <w:spacing w:after="0" w:line="252" w:lineRule="auto"/>
            </w:pPr>
            <w:r>
              <w:rPr>
                <w:sz w:val="16"/>
              </w:rPr>
              <w:t>Bewegungsdaten (Journal → OP-07)</w:t>
            </w:r>
          </w:p>
        </w:tc>
        <w:tc>
          <w:tcPr>
            <w:tcW w:type="dxa" w:w="1701"/>
          </w:tcPr>
          <w:p>
            <w:pPr>
              <w:spacing w:after="0" w:line="252" w:lineRule="auto"/>
            </w:pPr>
            <w:r>
              <w:rPr>
                <w:sz w:val="16"/>
              </w:rPr>
              <w:t>zu klären</w:t>
            </w:r>
          </w:p>
        </w:tc>
      </w:tr>
      <w:tr>
        <w:tc>
          <w:tcPr>
            <w:tcW w:type="dxa" w:w="4309"/>
          </w:tcPr>
          <w:p>
            <w:pPr>
              <w:spacing w:after="0" w:line="252" w:lineRule="auto"/>
            </w:pPr>
            <w:r>
              <w:rPr>
                <w:sz w:val="16"/>
              </w:rPr>
              <w:t>Durchschnittliche Kommissionierzeit, Auftragsdurchlaufzeit</w:t>
            </w:r>
          </w:p>
        </w:tc>
        <w:tc>
          <w:tcPr>
            <w:tcW w:type="dxa" w:w="3515"/>
          </w:tcPr>
          <w:p>
            <w:pPr>
              <w:spacing w:after="0" w:line="252" w:lineRule="auto"/>
            </w:pPr>
            <w:r>
              <w:rPr>
                <w:sz w:val="16"/>
              </w:rPr>
              <w:t>Zeitstempel der Bedarfsstatus</w:t>
            </w:r>
          </w:p>
        </w:tc>
        <w:tc>
          <w:tcPr>
            <w:tcW w:type="dxa" w:w="1701"/>
          </w:tcPr>
          <w:p>
            <w:pPr>
              <w:spacing w:after="0" w:line="252" w:lineRule="auto"/>
            </w:pPr>
            <w:r>
              <w:rPr>
                <w:sz w:val="16"/>
              </w:rPr>
              <w:t>zu klären</w:t>
            </w:r>
          </w:p>
        </w:tc>
      </w:tr>
      <w:tr>
        <w:tc>
          <w:tcPr>
            <w:tcW w:type="dxa" w:w="4309"/>
          </w:tcPr>
          <w:p>
            <w:pPr>
              <w:spacing w:after="0" w:line="252" w:lineRule="auto"/>
            </w:pPr>
            <w:r>
              <w:rPr>
                <w:sz w:val="16"/>
              </w:rPr>
              <w:t>Fehlmengen, Bestandsabweichungen, Inventurdifferenzen, Nachzählungen, Korrekturbuchungen</w:t>
            </w:r>
          </w:p>
        </w:tc>
        <w:tc>
          <w:tcPr>
            <w:tcW w:type="dxa" w:w="3515"/>
          </w:tcPr>
          <w:p>
            <w:pPr>
              <w:spacing w:after="0" w:line="252" w:lineRule="auto"/>
            </w:pPr>
            <w:r>
              <w:rPr>
                <w:sz w:val="16"/>
              </w:rPr>
              <w:t xml:space="preserve">Bedarfszeilen mit Fehlmenge, </w:t>
            </w:r>
            <w:r>
              <w:rPr>
                <w:rFonts w:ascii="Consolas" w:hAnsi="Consolas" w:cs="Consolas" w:eastAsia="Consolas"/>
                <w:sz w:val="14"/>
              </w:rPr>
              <w:t>WLSSTOCKADJ002</w:t>
            </w:r>
            <w:r>
              <w:rPr>
                <w:sz w:val="16"/>
              </w:rPr>
              <w:t>, Inventurbedarfe</w:t>
            </w:r>
          </w:p>
        </w:tc>
        <w:tc>
          <w:tcPr>
            <w:tcW w:type="dxa" w:w="1701"/>
          </w:tcPr>
          <w:p>
            <w:pPr>
              <w:spacing w:after="0" w:line="252" w:lineRule="auto"/>
            </w:pPr>
            <w:r>
              <w:rPr>
                <w:sz w:val="16"/>
              </w:rPr>
              <w:t>zu klären (Nachzählung → OP-06)</w:t>
            </w:r>
          </w:p>
        </w:tc>
      </w:tr>
      <w:tr>
        <w:tc>
          <w:tcPr>
            <w:tcW w:type="dxa" w:w="4309"/>
          </w:tcPr>
          <w:p>
            <w:pPr>
              <w:spacing w:after="0" w:line="252" w:lineRule="auto"/>
            </w:pPr>
            <w:r>
              <w:rPr>
                <w:sz w:val="16"/>
              </w:rPr>
              <w:t>Lagerplatzauslastung, belegte/freie Plätze</w:t>
            </w:r>
          </w:p>
        </w:tc>
        <w:tc>
          <w:tcPr>
            <w:tcW w:type="dxa" w:w="3515"/>
          </w:tcPr>
          <w:p>
            <w:pPr>
              <w:spacing w:after="0" w:line="252" w:lineRule="auto"/>
            </w:pPr>
            <w:r>
              <w:rPr>
                <w:sz w:val="16"/>
              </w:rPr>
              <w:t>Bestandsobjekte je externem Platz (</w:t>
            </w:r>
            <w:r>
              <w:rPr>
                <w:b/>
                <w:sz w:val="16"/>
              </w:rPr>
              <w:t>LM127</w:t>
            </w:r>
            <w:r>
              <w:rPr>
                <w:sz w:val="16"/>
              </w:rPr>
              <w:t xml:space="preserve">, </w:t>
            </w:r>
            <w:r>
              <w:rPr>
                <w:b/>
                <w:sz w:val="16"/>
              </w:rPr>
              <w:t>SM022</w:t>
            </w:r>
            <w:r>
              <w:rPr>
                <w:sz w:val="16"/>
              </w:rPr>
              <w:t>)</w:t>
            </w:r>
          </w:p>
        </w:tc>
        <w:tc>
          <w:tcPr>
            <w:tcW w:type="dxa" w:w="1701"/>
          </w:tcPr>
          <w:p>
            <w:pPr>
              <w:spacing w:after="0" w:line="252" w:lineRule="auto"/>
            </w:pPr>
            <w:r>
              <w:rPr>
                <w:sz w:val="16"/>
              </w:rPr>
              <w:t>zu klären</w:t>
            </w:r>
          </w:p>
        </w:tc>
      </w:tr>
      <w:tr>
        <w:tc>
          <w:tcPr>
            <w:tcW w:type="dxa" w:w="4309"/>
          </w:tcPr>
          <w:p>
            <w:pPr>
              <w:spacing w:after="0" w:line="252" w:lineRule="auto"/>
            </w:pPr>
            <w:r>
              <w:rPr>
                <w:sz w:val="16"/>
              </w:rPr>
              <w:t>Bestandsmenge je Lagerbereich</w:t>
            </w:r>
          </w:p>
        </w:tc>
        <w:tc>
          <w:tcPr>
            <w:tcW w:type="dxa" w:w="3515"/>
          </w:tcPr>
          <w:p>
            <w:pPr>
              <w:spacing w:after="0" w:line="252" w:lineRule="auto"/>
            </w:pPr>
            <w:r>
              <w:rPr>
                <w:sz w:val="16"/>
              </w:rPr>
              <w:t>Bestandsobjekte je Lagerplatzgruppe/Zone</w:t>
            </w:r>
          </w:p>
        </w:tc>
        <w:tc>
          <w:tcPr>
            <w:tcW w:type="dxa" w:w="1701"/>
          </w:tcPr>
          <w:p>
            <w:pPr>
              <w:spacing w:after="0" w:line="252" w:lineRule="auto"/>
            </w:pPr>
            <w:r>
              <w:rPr>
                <w:sz w:val="16"/>
              </w:rPr>
              <w:t>zu klären</w:t>
            </w:r>
          </w:p>
        </w:tc>
      </w:tr>
      <w:tr>
        <w:tc>
          <w:tcPr>
            <w:tcW w:type="dxa" w:w="4309"/>
          </w:tcPr>
          <w:p>
            <w:pPr>
              <w:spacing w:after="0" w:line="252" w:lineRule="auto"/>
            </w:pPr>
            <w:r>
              <w:rPr>
                <w:sz w:val="16"/>
              </w:rPr>
              <w:t>Artikel mit Bestand auf mehreren Plätzen</w:t>
            </w:r>
          </w:p>
        </w:tc>
        <w:tc>
          <w:tcPr>
            <w:tcW w:type="dxa" w:w="3515"/>
          </w:tcPr>
          <w:p>
            <w:pPr>
              <w:spacing w:after="0" w:line="252" w:lineRule="auto"/>
            </w:pPr>
            <w:r>
              <w:rPr>
                <w:sz w:val="16"/>
              </w:rPr>
              <w:t>Bestandsobjekte gruppiert nach Artikel</w:t>
            </w:r>
          </w:p>
        </w:tc>
        <w:tc>
          <w:tcPr>
            <w:tcW w:type="dxa" w:w="1701"/>
          </w:tcPr>
          <w:p>
            <w:pPr>
              <w:spacing w:after="0" w:line="252" w:lineRule="auto"/>
            </w:pPr>
            <w:r>
              <w:rPr>
                <w:sz w:val="16"/>
              </w:rPr>
              <w:t>zu klären</w:t>
            </w:r>
          </w:p>
        </w:tc>
      </w:tr>
      <w:tr>
        <w:tc>
          <w:tcPr>
            <w:tcW w:type="dxa" w:w="4309"/>
          </w:tcPr>
          <w:p>
            <w:pPr>
              <w:spacing w:after="0" w:line="252" w:lineRule="auto"/>
            </w:pPr>
            <w:r>
              <w:rPr>
                <w:sz w:val="16"/>
              </w:rPr>
              <w:t>Umschlagshäufigkeit, häufig/selten bewegte Artikel</w:t>
            </w:r>
          </w:p>
        </w:tc>
        <w:tc>
          <w:tcPr>
            <w:tcW w:type="dxa" w:w="3515"/>
          </w:tcPr>
          <w:p>
            <w:pPr>
              <w:spacing w:after="0" w:line="252" w:lineRule="auto"/>
            </w:pPr>
            <w:r>
              <w:rPr>
                <w:sz w:val="16"/>
              </w:rPr>
              <w:t>ABC-Berechnung externer Artikel (# Picks)</w:t>
            </w:r>
          </w:p>
        </w:tc>
        <w:tc>
          <w:tcPr>
            <w:tcW w:type="dxa" w:w="1701"/>
          </w:tcPr>
          <w:p>
            <w:pPr>
              <w:spacing w:after="0" w:line="252" w:lineRule="auto"/>
            </w:pPr>
            <w:r>
              <w:rPr>
                <w:sz w:val="16"/>
              </w:rPr>
              <w:t>Konfiguration, Darstellung zu klären</w:t>
            </w:r>
          </w:p>
        </w:tc>
      </w:tr>
      <w:tr>
        <w:tc>
          <w:tcPr>
            <w:tcW w:type="dxa" w:w="4309"/>
          </w:tcPr>
          <w:p>
            <w:pPr>
              <w:spacing w:after="0" w:line="252" w:lineRule="auto"/>
            </w:pPr>
            <w:r>
              <w:rPr>
                <w:sz w:val="16"/>
              </w:rPr>
              <w:t>Offene Einlager-/Kommissionieraufträge, erledigte, überfällige</w:t>
            </w:r>
          </w:p>
        </w:tc>
        <w:tc>
          <w:tcPr>
            <w:tcW w:type="dxa" w:w="3515"/>
          </w:tcPr>
          <w:p>
            <w:pPr>
              <w:spacing w:after="0" w:line="252" w:lineRule="auto"/>
            </w:pPr>
            <w:r>
              <w:rPr>
                <w:sz w:val="16"/>
              </w:rPr>
              <w:t>Bedarfsübersichten nach Status und Termin</w:t>
            </w:r>
          </w:p>
        </w:tc>
        <w:tc>
          <w:tcPr>
            <w:tcW w:type="dxa" w:w="1701"/>
          </w:tcPr>
          <w:p>
            <w:pPr>
              <w:spacing w:after="0" w:line="252" w:lineRule="auto"/>
            </w:pPr>
            <w:r>
              <w:rPr>
                <w:sz w:val="16"/>
              </w:rPr>
              <w:t>zu klären</w:t>
            </w:r>
          </w:p>
        </w:tc>
      </w:tr>
    </w:tbl>
    <w:p>
      <w:pPr>
        <w:pStyle w:val="BeschriftungSSI"/>
      </w:pPr>
      <w:r>
        <w:t>Tab. 10: Kennzahlen (Lastenheft Kap. 2.2.17)</w:t>
      </w:r>
    </w:p>
    <w:p>
      <w:r>
        <w:t>Kennzahlen dürfen für normale Anwender nicht manipulierbar sein (Nr. 3.52, Muss): Sie werden nur aus Systemdaten berechnet, Rechte auf Auswertungen über Applikations-Zugriffs-Profile.</w:t>
      </w:r>
    </w:p>
    <w:p>
      <w:pPr>
        <w:pStyle w:val="Quelle"/>
      </w:pPr>
      <w:r>
        <w:rPr>
          <w:b/>
        </w:rPr>
        <w:t xml:space="preserve">Quelle: </w:t>
      </w:r>
      <w:r>
        <w:rPr>
          <w:sz w:val="17"/>
        </w:rPr>
        <w:t>Lastenheft 3796/0001, Kap. 2.2.17, Nr. 3.51–3.58; UM 2.8 Kap. 2.1.2 (LM006 Dashboard)</w:t>
      </w:r>
    </w:p>
    <w:p>
      <w:pPr>
        <w:pStyle w:val="Heading1"/>
      </w:pPr>
      <w:r>
        <w:t>11 Regulatorik und Validierung</w:t>
      </w:r>
    </w:p>
    <w:p>
      <w:pPr>
        <w:pStyle w:val="Heading2"/>
      </w:pPr>
      <w:r>
        <w:t>11.1 Anforderungen aus dem Lastenheft</w:t>
      </w:r>
    </w:p>
    <w:p>
      <w:r>
        <w:t xml:space="preserve">Einzuhalten sind ISO 13485:2016, ISO 9001:2015, QMSR (FDA), MDR 2017/745 und MepV/MedDO (Schweiz). Daraus: eindeutige Identifikation und Rückverfolgbarkeit (Los/Charge/SN, Mengen, Lieferzeitpunkte, ggf. UDI) über mindestens </w:t>
      </w:r>
      <w:r>
        <w:rPr>
          <w:b/>
        </w:rPr>
        <w:t>20 Jahre</w:t>
      </w:r>
      <w:r>
        <w:t xml:space="preserve"> ab Bezug/Lieferung mit kurzfristiger Auskunftsfähigkeit; Einhaltung spezieller Lagerbedingungen inkl. FIFO/FEFO und Überwachung produktspezifischer Parameter (z. B. Temperatur); Kennzeichnung des Produktstatus, Sperrzustände, Berechtigungsstufen und lückenlose Statushistorie; risikobasierte Validierung nach </w:t>
      </w:r>
      <w:r>
        <w:rPr>
          <w:b/>
        </w:rPr>
        <w:t>GAMP 5</w:t>
      </w:r>
      <w:r>
        <w:t xml:space="preserve"> mit elektronischen Aufzeichnungen, Audit Trails und elektronischen Signaturen nach </w:t>
      </w:r>
      <w:r>
        <w:rPr>
          <w:b/>
        </w:rPr>
        <w:t>21 CFR Part 11</w:t>
      </w:r>
      <w:r>
        <w:t>, einschliesslich Scanner und Drucker.</w:t>
      </w:r>
    </w:p>
    <w:p>
      <w:pPr>
        <w:pStyle w:val="Quelle"/>
      </w:pPr>
      <w:r>
        <w:rPr>
          <w:b/>
        </w:rPr>
        <w:t xml:space="preserve">Quelle: </w:t>
      </w:r>
      <w:r>
        <w:rPr>
          <w:sz w:val="17"/>
        </w:rPr>
        <w:t>Lastenheft 3796/0001, Kap. 3.1.1–3.1.4</w:t>
      </w:r>
    </w:p>
    <w:p>
      <w:pPr>
        <w:pStyle w:val="Heading2"/>
      </w:pPr>
      <w:r>
        <w:t>11.2 Rückverfolgbarkeit über 20 Jahre</w:t>
      </w:r>
    </w:p>
    <w:p>
      <w:pPr>
        <w:pStyle w:val="ListBullet"/>
      </w:pPr>
      <w:r>
        <w:t>WAMAS führt Charge und SN (ABIA) je Bestandsobjekt und meldet sie in den Rückmeldungen an Abacus.</w:t>
      </w:r>
    </w:p>
    <w:p>
      <w:pPr>
        <w:pStyle w:val="ListBullet"/>
      </w:pPr>
      <w:r>
        <w:t>WAMAS archiviert Prozessbelege nach einer je Klient einstellbaren Aufbewahrungsdauer; archivierte Nachrichtendateien werden nach Ablauf der Aufbewahrungsdauer gelöscht. Ob und wie Daten über 20 Jahre in WAMAS abfragbar bleiben, ist nicht beschrieben.</w:t>
      </w:r>
    </w:p>
    <w:p>
      <w:pPr>
        <w:pStyle w:val="ListBullet"/>
      </w:pPr>
      <w:r>
        <w:t>Vorschlag zur Klärung: Langzeitnachweis über Abacus (führendes System für ERP-relevante Bewegungen inkl. Charge/SN) plus definierter Export bzw. Archiv der WAMAS-Platzhistorie; Entscheid durch QM (→ OP-07).</w:t>
      </w:r>
    </w:p>
    <w:p>
      <w:pPr>
        <w:pStyle w:val="Quelle"/>
      </w:pPr>
      <w:r>
        <w:rPr>
          <w:b/>
        </w:rPr>
        <w:t xml:space="preserve">Quelle: </w:t>
      </w:r>
      <w:r>
        <w:rPr>
          <w:sz w:val="17"/>
        </w:rPr>
        <w:t>AH 2.7 Kap. 3.5.1.2.1, 3.6.1.1 (Aufbewahrungsdauern)</w:t>
      </w:r>
    </w:p>
    <w:p>
      <w:pPr>
        <w:pStyle w:val="Heading2"/>
      </w:pPr>
      <w:r>
        <w:t>11.3 21 CFR Part 11 – Gap-Analyse (Entwurf)</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08"/>
        <w:gridCol w:w="3742"/>
        <w:gridCol w:w="3175"/>
      </w:tblGrid>
      <w:tr>
        <w:trPr>
          <w:tblHeader w:val="true"/>
        </w:trPr>
        <w:tc>
          <w:tcPr>
            <w:tcW w:type="dxa" w:w="2608"/>
            <w:shd w:val="clear" w:color="auto" w:fill="FEEE19"/>
          </w:tcPr>
          <w:p>
            <w:pPr>
              <w:spacing w:after="0"/>
            </w:pPr>
            <w:r>
              <w:rPr>
                <w:b/>
                <w:sz w:val="16"/>
              </w:rPr>
              <w:t>Anforderung</w:t>
            </w:r>
          </w:p>
        </w:tc>
        <w:tc>
          <w:tcPr>
            <w:tcW w:type="dxa" w:w="3742"/>
            <w:shd w:val="clear" w:color="auto" w:fill="FEEE19"/>
          </w:tcPr>
          <w:p>
            <w:pPr>
              <w:spacing w:after="0"/>
            </w:pPr>
            <w:r>
              <w:rPr>
                <w:b/>
                <w:sz w:val="16"/>
              </w:rPr>
              <w:t>Belegt in WAMAS-Handbüchern</w:t>
            </w:r>
          </w:p>
        </w:tc>
        <w:tc>
          <w:tcPr>
            <w:tcW w:type="dxa" w:w="3175"/>
            <w:shd w:val="clear" w:color="auto" w:fill="FEEE19"/>
          </w:tcPr>
          <w:p>
            <w:pPr>
              <w:spacing w:after="0"/>
            </w:pPr>
            <w:r>
              <w:rPr>
                <w:b/>
                <w:sz w:val="16"/>
              </w:rPr>
              <w:t>Lücke / zu klären</w:t>
            </w:r>
          </w:p>
        </w:tc>
      </w:tr>
      <w:tr>
        <w:tc>
          <w:tcPr>
            <w:tcW w:type="dxa" w:w="2608"/>
          </w:tcPr>
          <w:p>
            <w:pPr>
              <w:spacing w:after="0" w:line="252" w:lineRule="auto"/>
            </w:pPr>
            <w:r>
              <w:rPr>
                <w:sz w:val="16"/>
              </w:rPr>
              <w:t>Eindeutige Benutzerkennung, Zugriffskontrolle</w:t>
            </w:r>
          </w:p>
        </w:tc>
        <w:tc>
          <w:tcPr>
            <w:tcW w:type="dxa" w:w="3742"/>
          </w:tcPr>
          <w:p>
            <w:pPr>
              <w:spacing w:after="0" w:line="252" w:lineRule="auto"/>
            </w:pPr>
            <w:r>
              <w:rPr>
                <w:sz w:val="16"/>
              </w:rPr>
              <w:t>Benutzer, Logins, Rollen, Profile; Login-Protokoll; Inaktivitätssperre</w:t>
            </w:r>
          </w:p>
        </w:tc>
        <w:tc>
          <w:tcPr>
            <w:tcW w:type="dxa" w:w="3175"/>
          </w:tcPr>
          <w:p>
            <w:pPr>
              <w:spacing w:after="0" w:line="252" w:lineRule="auto"/>
            </w:pPr>
            <w:r>
              <w:rPr>
                <w:sz w:val="16"/>
              </w:rPr>
              <w:t>Passwortregeln, Verzeichnisdienst</w:t>
            </w:r>
          </w:p>
        </w:tc>
      </w:tr>
      <w:tr>
        <w:tc>
          <w:tcPr>
            <w:tcW w:type="dxa" w:w="2608"/>
          </w:tcPr>
          <w:p>
            <w:pPr>
              <w:spacing w:after="0" w:line="252" w:lineRule="auto"/>
            </w:pPr>
            <w:r>
              <w:rPr>
                <w:sz w:val="16"/>
              </w:rPr>
              <w:t>Audit Trail für Bewegungen und Korrekturen (wer, wann, was, alt/neu, Grund)</w:t>
            </w:r>
          </w:p>
        </w:tc>
        <w:tc>
          <w:tcPr>
            <w:tcW w:type="dxa" w:w="3742"/>
          </w:tcPr>
          <w:p>
            <w:pPr>
              <w:spacing w:after="0" w:line="252" w:lineRule="auto"/>
            </w:pPr>
            <w:r>
              <w:rPr>
                <w:sz w:val="16"/>
              </w:rPr>
              <w:t xml:space="preserve">Audit-Protokoll nur für Benutzerdaten; Korrekturgrund in </w:t>
            </w:r>
            <w:r>
              <w:rPr>
                <w:rFonts w:ascii="Consolas" w:hAnsi="Consolas" w:cs="Consolas" w:eastAsia="Consolas"/>
                <w:sz w:val="14"/>
              </w:rPr>
              <w:t>WLSSTOCKADJ002</w:t>
            </w:r>
          </w:p>
        </w:tc>
        <w:tc>
          <w:tcPr>
            <w:tcW w:type="dxa" w:w="3175"/>
          </w:tcPr>
          <w:p>
            <w:pPr>
              <w:spacing w:after="0" w:line="252" w:lineRule="auto"/>
            </w:pPr>
            <w:r>
              <w:rPr>
                <w:sz w:val="16"/>
              </w:rPr>
              <w:t>Bewegungs-/Statushistorie je Bestandsobjekt (→ OP-07)</w:t>
            </w:r>
          </w:p>
        </w:tc>
      </w:tr>
      <w:tr>
        <w:tc>
          <w:tcPr>
            <w:tcW w:type="dxa" w:w="2608"/>
          </w:tcPr>
          <w:p>
            <w:pPr>
              <w:spacing w:after="0" w:line="252" w:lineRule="auto"/>
            </w:pPr>
            <w:r>
              <w:rPr>
                <w:sz w:val="16"/>
              </w:rPr>
              <w:t>Elektronische Signatur (z. B. Freigabe Sperrbestand, Bestandskorrektur)</w:t>
            </w:r>
          </w:p>
        </w:tc>
        <w:tc>
          <w:tcPr>
            <w:tcW w:type="dxa" w:w="3742"/>
          </w:tcPr>
          <w:p>
            <w:pPr>
              <w:spacing w:after="0" w:line="252" w:lineRule="auto"/>
            </w:pPr>
            <w:r>
              <w:rPr>
                <w:sz w:val="16"/>
              </w:rPr>
              <w:t>nicht beschrieben</w:t>
            </w:r>
          </w:p>
        </w:tc>
        <w:tc>
          <w:tcPr>
            <w:tcW w:type="dxa" w:w="3175"/>
          </w:tcPr>
          <w:p>
            <w:pPr>
              <w:spacing w:after="0" w:line="252" w:lineRule="auto"/>
            </w:pPr>
            <w:r>
              <w:rPr>
                <w:sz w:val="16"/>
              </w:rPr>
              <w:t>Bedarf und Umsetzung (→ OP-07)</w:t>
            </w:r>
          </w:p>
        </w:tc>
      </w:tr>
      <w:tr>
        <w:tc>
          <w:tcPr>
            <w:tcW w:type="dxa" w:w="2608"/>
          </w:tcPr>
          <w:p>
            <w:pPr>
              <w:spacing w:after="0" w:line="252" w:lineRule="auto"/>
            </w:pPr>
            <w:r>
              <w:rPr>
                <w:sz w:val="16"/>
              </w:rPr>
              <w:t>Aufbewahrung und Lesbarkeit der Aufzeichnungen</w:t>
            </w:r>
          </w:p>
        </w:tc>
        <w:tc>
          <w:tcPr>
            <w:tcW w:type="dxa" w:w="3742"/>
          </w:tcPr>
          <w:p>
            <w:pPr>
              <w:spacing w:after="0" w:line="252" w:lineRule="auto"/>
            </w:pPr>
            <w:r>
              <w:rPr>
                <w:sz w:val="16"/>
              </w:rPr>
              <w:t>Archivierung nach Aufbewahrungsdauer</w:t>
            </w:r>
          </w:p>
        </w:tc>
        <w:tc>
          <w:tcPr>
            <w:tcW w:type="dxa" w:w="3175"/>
          </w:tcPr>
          <w:p>
            <w:pPr>
              <w:spacing w:after="0" w:line="252" w:lineRule="auto"/>
            </w:pPr>
            <w:r>
              <w:rPr>
                <w:sz w:val="16"/>
              </w:rPr>
              <w:t>20 Jahre, Exportformat</w:t>
            </w:r>
          </w:p>
        </w:tc>
      </w:tr>
      <w:tr>
        <w:tc>
          <w:tcPr>
            <w:tcW w:type="dxa" w:w="2608"/>
          </w:tcPr>
          <w:p>
            <w:pPr>
              <w:spacing w:after="0" w:line="252" w:lineRule="auto"/>
            </w:pPr>
            <w:r>
              <w:rPr>
                <w:sz w:val="16"/>
              </w:rPr>
              <w:t>Zeitstempel</w:t>
            </w:r>
          </w:p>
        </w:tc>
        <w:tc>
          <w:tcPr>
            <w:tcW w:type="dxa" w:w="3742"/>
          </w:tcPr>
          <w:p>
            <w:pPr>
              <w:spacing w:after="0" w:line="252" w:lineRule="auto"/>
            </w:pPr>
            <w:r>
              <w:rPr>
                <w:sz w:val="16"/>
              </w:rPr>
              <w:t>Zeitzone je Klient pflegbar</w:t>
            </w:r>
          </w:p>
        </w:tc>
        <w:tc>
          <w:tcPr>
            <w:tcW w:type="dxa" w:w="3175"/>
          </w:tcPr>
          <w:p>
            <w:pPr>
              <w:spacing w:after="0" w:line="252" w:lineRule="auto"/>
            </w:pPr>
            <w:r>
              <w:rPr>
                <w:sz w:val="16"/>
              </w:rPr>
              <w:t>Zeitsynchronisation Server/Geräte</w:t>
            </w:r>
          </w:p>
        </w:tc>
      </w:tr>
    </w:tbl>
    <w:p>
      <w:pPr>
        <w:pStyle w:val="BeschriftungSSI"/>
      </w:pPr>
      <w:r>
        <w:t>Tab. 11: Gap-Analyse 21 CFR Part 11 (Erstbewertung)</w:t>
      </w:r>
    </w:p>
    <w:p>
      <w:pPr>
        <w:pStyle w:val="Heading2"/>
      </w:pPr>
      <w:r>
        <w:t>11.4 Validierungsvorgehen GAMP 5 (Vorschlag)</w:t>
      </w:r>
    </w:p>
    <w:p>
      <w:pPr>
        <w:pStyle w:val="ListBullet"/>
      </w:pPr>
      <w:r>
        <w:t>Einstufung: konfiguriertes Standardprodukt mit projektspezifischen Erweiterungen (WAMAS-Anpassungen, BPE); Kategorien durch QM festzulegen.</w:t>
      </w:r>
    </w:p>
    <w:p>
      <w:pPr>
        <w:pStyle w:val="ListBullet"/>
      </w:pPr>
      <w:r>
        <w:t>Dokumente: Validierungsplan, Lastenheft (URS), dieses Pflichtenheft (FS), Konfigurationsspezifikation (Zone, Plätze, Strategien, Rechte, Parameter), Risikoanalyse, Testspezifikationen IQ/OQ/PQ inkl. Scanner/Drucker, Traceability-Matrix Lastenheft → Pflichtenheft → Test (Basis: Kap. 3), Validierungsbericht.</w:t>
      </w:r>
    </w:p>
    <w:p>
      <w:pPr>
        <w:pStyle w:val="ListBullet"/>
      </w:pPr>
      <w:r>
        <w:t>Leistungsumfang SSI SCHÄFER bei der Validierung ist zu vereinbaren.</w:t>
      </w:r>
    </w:p>
    <w:p>
      <w:pPr>
        <w:pStyle w:val="Heading2"/>
      </w:pPr>
      <w:r>
        <w:t>11.5 Lagerbedingungen, FIFO/FEFO, Status</w:t>
      </w:r>
    </w:p>
    <w:p>
      <w:pPr>
        <w:pStyle w:val="ListBullet"/>
      </w:pPr>
      <w:r>
        <w:t>FIFO/LIFO über Zeitzugriffsmodus, MHD-Regeln (FEFO-Baustein) über Bestandsauswahlmodus am Kommissionierbedarfstyp (Konfiguration).</w:t>
      </w:r>
    </w:p>
    <w:p>
      <w:pPr>
        <w:pStyle w:val="ListBullet"/>
      </w:pPr>
      <w:r>
        <w:t>Sperrung abgelaufener Ware und Überwachung von Temperatur bzw. Umgebungsparametern (Bereich U: Kühlschrank, Akku, Gefahrenschrank, Chemie) sind als WAMAS-Funktion nicht dokumentiert; Temperatureinheiten existieren nur als Mengeneinheiten (→ OP-14).</w:t>
      </w:r>
    </w:p>
    <w:p>
      <w:pPr>
        <w:pStyle w:val="Quelle"/>
      </w:pPr>
      <w:r>
        <w:rPr>
          <w:b/>
        </w:rPr>
        <w:t xml:space="preserve">Quelle: </w:t>
      </w:r>
      <w:r>
        <w:rPr>
          <w:sz w:val="17"/>
        </w:rPr>
        <w:t>Lastenheft 3796/0001, Kap. 3.1.2, 3.1.3; AH 2.7 Kap. 3.2.4 (Einheiten), 3.6.1.10; How-to «Lager-Strategien» Kap. 6.2–6.4</w:t>
      </w:r>
    </w:p>
    <w:p>
      <w:pPr>
        <w:pStyle w:val="Heading1"/>
      </w:pPr>
      <w:r>
        <w:t>12 Hardware, Betrieb und Einführung</w:t>
      </w:r>
    </w:p>
    <w:p>
      <w:pPr>
        <w:pStyle w:val="Heading2"/>
      </w:pPr>
      <w:r>
        <w:t>12.1 Hardware und Infrastruktur</w:t>
      </w:r>
    </w:p>
    <w:p>
      <w:pPr>
        <w:pStyle w:val="ListBullet"/>
      </w:pPr>
      <w:r>
        <w:t>Mobile Scanner mit 2D-Imager für die Brütsch-QR-Codes; Modell, Anzahl, Betriebssystem offen (→ OP-03, OP-19).</w:t>
      </w:r>
    </w:p>
    <w:p>
      <w:pPr>
        <w:pStyle w:val="ListBullet"/>
      </w:pPr>
      <w:r>
        <w:t>Mobile Etikettendrucker; Modell, Etikettenformat, Anzahl offen (→ OP-09).</w:t>
      </w:r>
    </w:p>
    <w:p>
      <w:pPr>
        <w:pStyle w:val="ListBullet"/>
      </w:pPr>
      <w:r>
        <w:t>Lagerplatzetiketten für 425 Plätze (Format → Prüfpunkt 7).</w:t>
      </w:r>
    </w:p>
    <w:p>
      <w:pPr>
        <w:pStyle w:val="ListBullet"/>
      </w:pPr>
      <w:r>
        <w:t>WLAN-Abdeckung im Hauptlager, Server-/Datenbankkapazität, Verzeichnisdienst (→ OP-19).</w:t>
      </w:r>
    </w:p>
    <w:p>
      <w:pPr>
        <w:pStyle w:val="Heading2"/>
      </w:pPr>
      <w:r>
        <w:t>12.2 Stammdaten und Migration</w:t>
      </w:r>
    </w:p>
    <w:p>
      <w:pPr>
        <w:pStyle w:val="ListBullet"/>
      </w:pPr>
      <w:r>
        <w:t>Artikelstamm: Kennzeichen manuell/Logimat, Chargen-/SN-Pflicht, Abmessungen, Alias/QR (→ OP-01, OP-03, OP-20).</w:t>
      </w:r>
    </w:p>
    <w:p>
      <w:pPr>
        <w:pStyle w:val="ListBullet"/>
      </w:pPr>
      <w:r>
        <w:t>Lagerplätze aus der Lagerstruktur-Excel (Import oder Generator, Kap. 6.3).</w:t>
      </w:r>
    </w:p>
    <w:p>
      <w:pPr>
        <w:pStyle w:val="ListBullet"/>
      </w:pPr>
      <w:r>
        <w:t>Erstbestand: Ersterfassung je Platz mit dem Scanner (spontane Inventur) oder Bestandsimport; Abstimmung gegen Abacus-Bestand WAM.</w:t>
      </w:r>
    </w:p>
    <w:p>
      <w:pPr>
        <w:pStyle w:val="Heading2"/>
      </w:pPr>
      <w:r>
        <w:t>12.3 Einführung (Vorschlag)</w:t>
      </w:r>
    </w:p>
    <w:p>
      <w:pPr>
        <w:tabs>
          <w:tab w:pos="425" w:val="left"/>
        </w:tabs>
        <w:spacing w:after="60"/>
        <w:ind w:left="425" w:hanging="425"/>
      </w:pPr>
      <w:r>
        <w:rPr>
          <w:b/>
        </w:rPr>
        <w:t>1.</w:t>
        <w:tab/>
      </w:r>
      <w:r>
        <w:rPr>
          <w:b/>
        </w:rPr>
        <w:t>Phase 0 – Klärung:</w:t>
      </w:r>
      <w:r>
        <w:t xml:space="preserve"> Workshops zu OP-01 bis OP-21, Entscheid Lagerorte/Codierung, Pflichtenheft V 1.0.</w:t>
      </w:r>
    </w:p>
    <w:p>
      <w:pPr>
        <w:tabs>
          <w:tab w:pos="425" w:val="left"/>
        </w:tabs>
        <w:spacing w:after="60"/>
        <w:ind w:left="425" w:hanging="425"/>
      </w:pPr>
      <w:r>
        <w:rPr>
          <w:b/>
        </w:rPr>
        <w:t>2.</w:t>
        <w:tab/>
      </w:r>
      <w:r>
        <w:rPr>
          <w:b/>
        </w:rPr>
        <w:t>Phase 1 – Basis:</w:t>
      </w:r>
      <w:r>
        <w:t xml:space="preserve"> Testsystem, Zone und Plätze, Etiketten, Rechte, BPE-Erweiterung Einlagerung/Kommissionierung.</w:t>
      </w:r>
    </w:p>
    <w:p>
      <w:pPr>
        <w:tabs>
          <w:tab w:pos="425" w:val="left"/>
        </w:tabs>
        <w:spacing w:after="60"/>
        <w:ind w:left="425" w:hanging="425"/>
      </w:pPr>
      <w:r>
        <w:rPr>
          <w:b/>
        </w:rPr>
        <w:t>3.</w:t>
        <w:tab/>
      </w:r>
      <w:r>
        <w:rPr>
          <w:b/>
        </w:rPr>
        <w:t>Phase 2 – Einführung je Bereich:</w:t>
      </w:r>
      <w:r>
        <w:t xml:space="preserve"> Platzetikettierung, Ersterfassung, Go-Live Einlagerung, Umlagerung, Kommissionierung, WA, Inventur; Bereich für Bereich im laufenden Betrieb.</w:t>
      </w:r>
    </w:p>
    <w:p>
      <w:pPr>
        <w:tabs>
          <w:tab w:pos="425" w:val="left"/>
        </w:tabs>
        <w:spacing w:after="60"/>
        <w:ind w:left="425" w:hanging="425"/>
      </w:pPr>
      <w:r>
        <w:rPr>
          <w:b/>
        </w:rPr>
        <w:t>4.</w:t>
        <w:tab/>
      </w:r>
      <w:r>
        <w:rPr>
          <w:b/>
        </w:rPr>
        <w:t>Phase 3 – Optionen:</w:t>
      </w:r>
      <w:r>
        <w:t xml:space="preserve"> WAM-Sperrlager, WAM-SER/GE, Multi-Order, mobile Etikettierung, Bestandsabgleich, Kennzahlen, Fehler-Notifikation (je nach Entscheid auch früher).</w:t>
      </w:r>
    </w:p>
    <w:p>
      <w:r>
        <w:t>Die Phasen sind Vorschläge; das Lastenheft enthält keine Phasenaufteilung (→ OP-16).</w:t>
      </w:r>
    </w:p>
    <w:p>
      <w:pPr>
        <w:pStyle w:val="Heading1"/>
      </w:pPr>
      <w:r>
        <w:t>13 Risiken und Stolperfallen</w:t>
      </w:r>
    </w:p>
    <w:p>
      <w:pPr>
        <w:pStyle w:val="ListBullet"/>
      </w:pPr>
      <w:r>
        <w:rPr>
          <w:b/>
        </w:rPr>
        <w:t>Externer Artikel:</w:t>
      </w:r>
      <w:r>
        <w:t xml:space="preserve"> Ein extern markierter Artikel ist nicht am Touch-Client verarbeitbar. Artikel mit Bestand im Logimat und im Hauptlager können damit blockieren (OP-01).</w:t>
      </w:r>
    </w:p>
    <w:p>
      <w:pPr>
        <w:pStyle w:val="ListBullet"/>
      </w:pPr>
      <w:r>
        <w:rPr>
          <w:b/>
        </w:rPr>
        <w:t>Grosser Artikel:</w:t>
      </w:r>
      <w:r>
        <w:t xml:space="preserve"> Als «Grosser Artikel» markierte Artikel können nicht auf externe Plätze.</w:t>
      </w:r>
    </w:p>
    <w:p>
      <w:pPr>
        <w:pStyle w:val="ListBullet"/>
      </w:pPr>
      <w:r>
        <w:rPr>
          <w:b/>
        </w:rPr>
        <w:t>Seriennummern am Mobilterminal:</w:t>
      </w:r>
      <w:r>
        <w:t xml:space="preserve"> Viele Muss-Anforderungen (3.17, 3.20, 3.29, 3.30, 3.47) hängen an der SN-Erfassung am Mobilterminal, die nicht dokumentiert ist (OP-02).</w:t>
      </w:r>
    </w:p>
    <w:p>
      <w:pPr>
        <w:pStyle w:val="ListBullet"/>
      </w:pPr>
      <w:r>
        <w:rPr>
          <w:b/>
        </w:rPr>
        <w:t>Platzcodierung:</w:t>
      </w:r>
      <w:r>
        <w:t xml:space="preserve"> Generator-Muster weicht von den bestehenden Codes ab; nachträgliches Umbenennen nach Etikettierung ist teuer (OP-04).</w:t>
      </w:r>
    </w:p>
    <w:p>
      <w:pPr>
        <w:pStyle w:val="ListBullet"/>
      </w:pPr>
      <w:r>
        <w:rPr>
          <w:b/>
        </w:rPr>
        <w:t>Automatisch angelegte Lagerplatztypzuordnungen</w:t>
      </w:r>
      <w:r>
        <w:t xml:space="preserve"> (LM132) ohne Mengengrenze nach der ersten Einlagerung kontrollieren.</w:t>
      </w:r>
    </w:p>
    <w:p>
      <w:pPr>
        <w:pStyle w:val="ListBullet"/>
      </w:pPr>
      <w:r>
        <w:rPr>
          <w:b/>
        </w:rPr>
        <w:t>Reihenfolge leer = zuletzt:</w:t>
      </w:r>
      <w:r>
        <w:t xml:space="preserve"> Plätze ohne Einlager-/Kommissionierreihenfolge werden zuletzt berücksichtigt.</w:t>
      </w:r>
    </w:p>
    <w:p>
      <w:pPr>
        <w:pStyle w:val="ListBullet"/>
      </w:pPr>
      <w:r>
        <w:rPr>
          <w:b/>
        </w:rPr>
        <w:t>Mobile Inventur:</w:t>
      </w:r>
      <w:r>
        <w:t xml:space="preserve"> nicht bearbeitete Zeilen nur am Touch-Client abschliessbar.</w:t>
      </w:r>
    </w:p>
    <w:p>
      <w:pPr>
        <w:pStyle w:val="ListBullet"/>
      </w:pPr>
      <w:r>
        <w:rPr>
          <w:b/>
        </w:rPr>
        <w:t>Fehler-SPM nur mit Status «Neu» bearbeitbar;</w:t>
      </w:r>
      <w:r>
        <w:t xml:space="preserve"> Nachrichten über 1 MB nur im externen Editor.</w:t>
      </w:r>
    </w:p>
    <w:p>
      <w:pPr>
        <w:pStyle w:val="ListBullet"/>
      </w:pPr>
      <w:r>
        <w:rPr>
          <w:b/>
        </w:rPr>
        <w:t>Lastenheft-Inkonsistenzen:</w:t>
      </w:r>
      <w:r>
        <w:t xml:space="preserve"> 2.2 vs. 2.7/2.8, WAM-Sperrlager vs. WAM-REP, 4.15 als Wunsch, 3.34 (Muss) abhängig von 3.33 (Wunsch) (OP-21).</w:t>
      </w:r>
    </w:p>
    <w:p>
      <w:pPr>
        <w:pStyle w:val="Quelle"/>
      </w:pPr>
      <w:r>
        <w:rPr>
          <w:b/>
        </w:rPr>
        <w:t xml:space="preserve">Quelle: </w:t>
      </w:r>
      <w:r>
        <w:rPr>
          <w:sz w:val="17"/>
        </w:rPr>
        <w:t>AH 2.7 Kap. 3.1.14.1, 3.1.15, 3.6.3.7; BH 2.7 Kap. 6.3.3</w:t>
      </w:r>
    </w:p>
    <w:p>
      <w:pPr>
        <w:pStyle w:val="Heading1"/>
      </w:pPr>
      <w:r>
        <w:t>14 Praxisbeispiele</w:t>
      </w:r>
    </w:p>
    <w:p>
      <w:r>
        <w:t>Die Beispiele sind konstruiert und zeigen den Soll-Ablauf; Artikel- und Auftragsdaten sind fiktiv, Lagerplätze stammen aus der Lagerstruktur.</w:t>
      </w:r>
    </w:p>
    <w:p>
      <w:pPr>
        <w:pStyle w:val="Heading2"/>
      </w:pPr>
      <w:r>
        <w:t>14.1 Einlagerung von 20 seriennummernpflichtigen Teilen</w:t>
      </w:r>
    </w:p>
    <w:p>
      <w:r>
        <w:t>Ausgangslage (Beispiel aus Lastenheft Kap. 2.2.3): 20 Stück eines Artikels mit 20 unterschiedlichen Seriennummern werden nach der WE-Buchung in Abacus eingelagert.</w:t>
      </w:r>
    </w:p>
    <w:p>
      <w:pPr>
        <w:tabs>
          <w:tab w:pos="425" w:val="left"/>
        </w:tabs>
        <w:spacing w:after="60"/>
        <w:ind w:left="425" w:hanging="425"/>
      </w:pPr>
      <w:r>
        <w:rPr>
          <w:b/>
        </w:rPr>
        <w:t>1.</w:t>
        <w:tab/>
      </w:r>
      <w:r>
        <w:t>Abacus bucht den WE; BPE sendet einen Einlagerbedarf (Zone manuell) mit 20 Stück und den Seriennummern als ABIA.</w:t>
      </w:r>
    </w:p>
    <w:p>
      <w:pPr>
        <w:tabs>
          <w:tab w:pos="425" w:val="left"/>
        </w:tabs>
        <w:spacing w:after="60"/>
        <w:ind w:left="425" w:hanging="425"/>
      </w:pPr>
      <w:r>
        <w:rPr>
          <w:b/>
        </w:rPr>
        <w:t>2.</w:t>
        <w:tab/>
      </w:r>
      <w:r>
        <w:t>Mitarbeitende scannt am Mobilterminal den QR-Code einer Packung (→ OP-03).</w:t>
      </w:r>
    </w:p>
    <w:p>
      <w:pPr>
        <w:tabs>
          <w:tab w:pos="425" w:val="left"/>
        </w:tabs>
        <w:spacing w:after="60"/>
        <w:ind w:left="425" w:hanging="425"/>
      </w:pPr>
      <w:r>
        <w:rPr>
          <w:b/>
        </w:rPr>
        <w:t>3.</w:t>
        <w:tab/>
      </w:r>
      <w:r>
        <w:t xml:space="preserve">WAMAS schlägt einen Platz vor, z. B. </w:t>
      </w:r>
      <w:r>
        <w:rPr>
          <w:rFonts w:ascii="Consolas" w:hAnsi="Consolas" w:cs="Consolas" w:eastAsia="Consolas"/>
          <w:sz w:val="18"/>
        </w:rPr>
        <w:t>R-03-04</w:t>
      </w:r>
      <w:r>
        <w:t xml:space="preserve"> (Fachboden gegenüber Logimat, Höhe 30 cm).</w:t>
      </w:r>
    </w:p>
    <w:p>
      <w:pPr>
        <w:tabs>
          <w:tab w:pos="425" w:val="left"/>
        </w:tabs>
        <w:spacing w:after="60"/>
        <w:ind w:left="425" w:hanging="425"/>
      </w:pPr>
      <w:r>
        <w:rPr>
          <w:b/>
        </w:rPr>
        <w:t>4.</w:t>
        <w:tab/>
      </w:r>
      <w:r>
        <w:t>Platz scannen, Menge 20 bestätigen; die 20 SN werden dem Platz zugeordnet (Erfassung je SN → OP-02).</w:t>
      </w:r>
    </w:p>
    <w:p>
      <w:pPr>
        <w:tabs>
          <w:tab w:pos="425" w:val="left"/>
        </w:tabs>
        <w:spacing w:after="60"/>
        <w:ind w:left="425" w:hanging="425"/>
      </w:pPr>
      <w:r>
        <w:rPr>
          <w:b/>
        </w:rPr>
        <w:t>5.</w:t>
        <w:tab/>
      </w:r>
      <w:r>
        <w:t xml:space="preserve">In </w:t>
      </w:r>
      <w:r>
        <w:rPr>
          <w:b/>
        </w:rPr>
        <w:t>SM022</w:t>
      </w:r>
      <w:r>
        <w:t xml:space="preserve"> sind auf </w:t>
      </w:r>
      <w:r>
        <w:rPr>
          <w:rFonts w:ascii="Consolas" w:hAnsi="Consolas" w:cs="Consolas" w:eastAsia="Consolas"/>
          <w:sz w:val="18"/>
        </w:rPr>
        <w:t>R-03-04</w:t>
      </w:r>
      <w:r>
        <w:t xml:space="preserve"> alle 20 SN sichtbar; Abacus erhält die Rückmeldung, Lagerort bleibt WAM.</w:t>
      </w:r>
    </w:p>
    <w:p>
      <w:pPr>
        <w:pStyle w:val="Heading2"/>
      </w:pPr>
      <w:r>
        <w:t>14.2 Nachrüstung mit Positionen aus Logimat und Palettenregal</w:t>
      </w:r>
    </w:p>
    <w:p>
      <w:pPr>
        <w:tabs>
          <w:tab w:pos="425" w:val="left"/>
        </w:tabs>
        <w:spacing w:after="60"/>
        <w:ind w:left="425" w:hanging="425"/>
      </w:pPr>
      <w:r>
        <w:rPr>
          <w:b/>
        </w:rPr>
        <w:t>1.</w:t>
        <w:tab/>
      </w:r>
      <w:r>
        <w:t>Abacus startet einen Nachrüstungsauftrag mit zwei Positionen.</w:t>
      </w:r>
    </w:p>
    <w:p>
      <w:pPr>
        <w:tabs>
          <w:tab w:pos="425" w:val="left"/>
        </w:tabs>
        <w:spacing w:after="60"/>
        <w:ind w:left="425" w:hanging="425"/>
      </w:pPr>
      <w:r>
        <w:rPr>
          <w:b/>
        </w:rPr>
        <w:t>2.</w:t>
        <w:tab/>
      </w:r>
      <w:r>
        <w:t xml:space="preserve">Position 1 liegt im Logimat und wird am Touch-Client kommissioniert; Position 2 liegt auf </w:t>
      </w:r>
      <w:r>
        <w:rPr>
          <w:rFonts w:ascii="Consolas" w:hAnsi="Consolas" w:cs="Consolas" w:eastAsia="Consolas"/>
          <w:sz w:val="18"/>
        </w:rPr>
        <w:t>A-02-01</w:t>
      </w:r>
      <w:r>
        <w:t xml:space="preserve"> (Palettenregal, Höhe 100 cm) und erscheint am Mobilterminal (Aufteilung → OP-01, OP-11).</w:t>
      </w:r>
    </w:p>
    <w:p>
      <w:pPr>
        <w:tabs>
          <w:tab w:pos="425" w:val="left"/>
        </w:tabs>
        <w:spacing w:after="60"/>
        <w:ind w:left="425" w:hanging="425"/>
      </w:pPr>
      <w:r>
        <w:rPr>
          <w:b/>
        </w:rPr>
        <w:t>3.</w:t>
        <w:tab/>
      </w:r>
      <w:r>
        <w:t xml:space="preserve">Am Mobilterminal: Bedarf aktivieren, zu </w:t>
      </w:r>
      <w:r>
        <w:rPr>
          <w:rFonts w:ascii="Consolas" w:hAnsi="Consolas" w:cs="Consolas" w:eastAsia="Consolas"/>
          <w:sz w:val="18"/>
        </w:rPr>
        <w:t>A-02-01</w:t>
      </w:r>
      <w:r>
        <w:t xml:space="preserve"> laufen, Artikel scannen, Menge und Charge bestätigen, Zielplatz scannen.</w:t>
      </w:r>
    </w:p>
    <w:p>
      <w:pPr>
        <w:tabs>
          <w:tab w:pos="425" w:val="left"/>
        </w:tabs>
        <w:spacing w:after="60"/>
        <w:ind w:left="425" w:hanging="425"/>
      </w:pPr>
      <w:r>
        <w:rPr>
          <w:b/>
        </w:rPr>
        <w:t>4.</w:t>
        <w:tab/>
      </w:r>
      <w:r>
        <w:t>Optional Etikette am mobilen Drucker (→ OP-09).</w:t>
      </w:r>
    </w:p>
    <w:p>
      <w:pPr>
        <w:tabs>
          <w:tab w:pos="425" w:val="left"/>
        </w:tabs>
        <w:spacing w:after="60"/>
        <w:ind w:left="425" w:hanging="425"/>
      </w:pPr>
      <w:r>
        <w:rPr>
          <w:b/>
        </w:rPr>
        <w:t>5.</w:t>
        <w:tab/>
      </w:r>
      <w:r>
        <w:t>Beide Positionen werden an Abacus zurückgemeldet.</w:t>
      </w:r>
    </w:p>
    <w:p>
      <w:pPr>
        <w:pStyle w:val="Heading1"/>
      </w:pPr>
      <w:r>
        <w:t>15 Offene Punkte</w:t>
      </w:r>
    </w:p>
    <w:p>
      <w:r>
        <w:t>Alle Punkte haben den Status «offen». Verantwortlich ist ein Vorschlag; Termine werden im ersten Workshop vereinbart.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1701"/>
        <w:gridCol w:w="4309"/>
        <w:gridCol w:w="1304"/>
        <w:gridCol w:w="850"/>
        <w:gridCol w:w="623"/>
      </w:tblGrid>
      <w:tr>
        <w:trPr>
          <w:tblHeader w:val="true"/>
        </w:trPr>
        <w:tc>
          <w:tcPr>
            <w:tcW w:type="dxa" w:w="737"/>
            <w:shd w:val="clear" w:color="auto" w:fill="FEEE19"/>
          </w:tcPr>
          <w:p>
            <w:pPr>
              <w:spacing w:after="0"/>
            </w:pPr>
            <w:r>
              <w:rPr>
                <w:b/>
                <w:sz w:val="15"/>
              </w:rPr>
              <w:t>Nr.</w:t>
            </w:r>
          </w:p>
        </w:tc>
        <w:tc>
          <w:tcPr>
            <w:tcW w:type="dxa" w:w="1701"/>
            <w:shd w:val="clear" w:color="auto" w:fill="FEEE19"/>
          </w:tcPr>
          <w:p>
            <w:pPr>
              <w:spacing w:after="0"/>
            </w:pPr>
            <w:r>
              <w:rPr>
                <w:b/>
                <w:sz w:val="15"/>
              </w:rPr>
              <w:t>Thema</w:t>
            </w:r>
          </w:p>
        </w:tc>
        <w:tc>
          <w:tcPr>
            <w:tcW w:type="dxa" w:w="4309"/>
            <w:shd w:val="clear" w:color="auto" w:fill="FEEE19"/>
          </w:tcPr>
          <w:p>
            <w:pPr>
              <w:spacing w:after="0"/>
            </w:pPr>
            <w:r>
              <w:rPr>
                <w:b/>
                <w:sz w:val="15"/>
              </w:rPr>
              <w:t>Frage / Gap</w:t>
            </w:r>
          </w:p>
        </w:tc>
        <w:tc>
          <w:tcPr>
            <w:tcW w:type="dxa" w:w="1304"/>
            <w:shd w:val="clear" w:color="auto" w:fill="FEEE19"/>
          </w:tcPr>
          <w:p>
            <w:pPr>
              <w:spacing w:after="0"/>
            </w:pPr>
            <w:r>
              <w:rPr>
                <w:b/>
                <w:sz w:val="15"/>
              </w:rPr>
              <w:t>Bezug (Lastenheft)</w:t>
            </w:r>
          </w:p>
        </w:tc>
        <w:tc>
          <w:tcPr>
            <w:tcW w:type="dxa" w:w="850"/>
            <w:shd w:val="clear" w:color="auto" w:fill="FEEE19"/>
          </w:tcPr>
          <w:p>
            <w:pPr>
              <w:spacing w:after="0"/>
            </w:pPr>
            <w:r>
              <w:rPr>
                <w:b/>
                <w:sz w:val="15"/>
              </w:rPr>
              <w:t>Verantw.</w:t>
            </w:r>
          </w:p>
        </w:tc>
        <w:tc>
          <w:tcPr>
            <w:tcW w:type="dxa" w:w="624"/>
            <w:shd w:val="clear" w:color="auto" w:fill="FEEE19"/>
          </w:tcPr>
          <w:p>
            <w:pPr>
              <w:spacing w:after="0"/>
            </w:pPr>
            <w:r>
              <w:rPr>
                <w:b/>
                <w:sz w:val="15"/>
              </w:rPr>
              <w:t>Prio</w:t>
            </w:r>
          </w:p>
        </w:tc>
      </w:tr>
      <w:tr>
        <w:tc>
          <w:tcPr>
            <w:tcW w:type="dxa" w:w="737"/>
          </w:tcPr>
          <w:p>
            <w:pPr>
              <w:spacing w:after="0" w:line="252" w:lineRule="auto"/>
            </w:pPr>
            <w:r>
              <w:rPr>
                <w:sz w:val="15"/>
              </w:rPr>
              <w:t>OP-01</w:t>
            </w:r>
          </w:p>
        </w:tc>
        <w:tc>
          <w:tcPr>
            <w:tcW w:type="dxa" w:w="1701"/>
          </w:tcPr>
          <w:p>
            <w:pPr>
              <w:spacing w:after="0" w:line="252" w:lineRule="auto"/>
            </w:pPr>
            <w:r>
              <w:rPr>
                <w:sz w:val="15"/>
              </w:rPr>
              <w:t>Externer Artikel / Mischlagerung</w:t>
            </w:r>
          </w:p>
        </w:tc>
        <w:tc>
          <w:tcPr>
            <w:tcW w:type="dxa" w:w="4309"/>
          </w:tcPr>
          <w:p>
            <w:pPr>
              <w:spacing w:after="0" w:line="252" w:lineRule="auto"/>
            </w:pPr>
            <w:r>
              <w:rPr>
                <w:sz w:val="15"/>
              </w:rPr>
              <w:t>Wie werden Artikel geführt, die im Logimat und auf manuellen Plätzen liegen? Ein «Externer Artikel» ist laut Handbuch nicht am Touch-Client verarbeitbar. Wer entscheidet beim WE und bei der Kommissionierung über Logimat oder manuell?</w:t>
            </w:r>
          </w:p>
        </w:tc>
        <w:tc>
          <w:tcPr>
            <w:tcW w:type="dxa" w:w="1304"/>
          </w:tcPr>
          <w:p>
            <w:pPr>
              <w:spacing w:after="0" w:line="252" w:lineRule="auto"/>
            </w:pPr>
            <w:r>
              <w:rPr>
                <w:sz w:val="15"/>
              </w:rPr>
              <w:t>2.1, 3.15, 3.23</w:t>
            </w:r>
          </w:p>
        </w:tc>
        <w:tc>
          <w:tcPr>
            <w:tcW w:type="dxa" w:w="850"/>
          </w:tcPr>
          <w:p>
            <w:pPr>
              <w:spacing w:after="0" w:line="252" w:lineRule="auto"/>
            </w:pPr>
            <w:r>
              <w:rPr>
                <w:sz w:val="15"/>
              </w:rPr>
              <w:t>SSI (PM), bsb</w:t>
            </w:r>
          </w:p>
        </w:tc>
        <w:tc>
          <w:tcPr>
            <w:tcW w:type="dxa" w:w="624"/>
          </w:tcPr>
          <w:p>
            <w:pPr>
              <w:spacing w:after="0" w:line="252" w:lineRule="auto"/>
            </w:pPr>
            <w:r>
              <w:rPr>
                <w:sz w:val="15"/>
              </w:rPr>
              <w:t>hoch</w:t>
            </w:r>
          </w:p>
        </w:tc>
      </w:tr>
      <w:tr>
        <w:tc>
          <w:tcPr>
            <w:tcW w:type="dxa" w:w="737"/>
          </w:tcPr>
          <w:p>
            <w:pPr>
              <w:spacing w:after="0" w:line="252" w:lineRule="auto"/>
            </w:pPr>
            <w:r>
              <w:rPr>
                <w:sz w:val="15"/>
              </w:rPr>
              <w:t>OP-02</w:t>
            </w:r>
          </w:p>
        </w:tc>
        <w:tc>
          <w:tcPr>
            <w:tcW w:type="dxa" w:w="1701"/>
          </w:tcPr>
          <w:p>
            <w:pPr>
              <w:spacing w:after="0" w:line="252" w:lineRule="auto"/>
            </w:pPr>
            <w:r>
              <w:rPr>
                <w:sz w:val="15"/>
              </w:rPr>
              <w:t>Seriennummern und Chargen am Mobilterminal</w:t>
            </w:r>
          </w:p>
        </w:tc>
        <w:tc>
          <w:tcPr>
            <w:tcW w:type="dxa" w:w="4309"/>
          </w:tcPr>
          <w:p>
            <w:pPr>
              <w:spacing w:after="0" w:line="252" w:lineRule="auto"/>
            </w:pPr>
            <w:r>
              <w:rPr>
                <w:sz w:val="15"/>
              </w:rPr>
              <w:t>Erfassung je SN beim Einlagern, SN-Auswahlliste bei Kommissionierung und Umlagerung, SN-Kontrolle bei Inventur, abweichende Charge, Lagerplatzscan als Pflichtschritt. Standard oder Projektanpassung?</w:t>
            </w:r>
          </w:p>
        </w:tc>
        <w:tc>
          <w:tcPr>
            <w:tcW w:type="dxa" w:w="1304"/>
          </w:tcPr>
          <w:p>
            <w:pPr>
              <w:spacing w:after="0" w:line="252" w:lineRule="auto"/>
            </w:pPr>
            <w:r>
              <w:rPr>
                <w:sz w:val="15"/>
              </w:rPr>
              <w:t>1.7, 3.17–3.20, 3.26, 3.28–3.30, 3.47</w:t>
            </w:r>
          </w:p>
        </w:tc>
        <w:tc>
          <w:tcPr>
            <w:tcW w:type="dxa" w:w="850"/>
          </w:tcPr>
          <w:p>
            <w:pPr>
              <w:spacing w:after="0" w:line="252" w:lineRule="auto"/>
            </w:pPr>
            <w:r>
              <w:rPr>
                <w:sz w:val="15"/>
              </w:rPr>
              <w:t>SSI</w:t>
            </w:r>
          </w:p>
        </w:tc>
        <w:tc>
          <w:tcPr>
            <w:tcW w:type="dxa" w:w="624"/>
          </w:tcPr>
          <w:p>
            <w:pPr>
              <w:spacing w:after="0" w:line="252" w:lineRule="auto"/>
            </w:pPr>
            <w:r>
              <w:rPr>
                <w:sz w:val="15"/>
              </w:rPr>
              <w:t>hoch</w:t>
            </w:r>
          </w:p>
        </w:tc>
      </w:tr>
      <w:tr>
        <w:tc>
          <w:tcPr>
            <w:tcW w:type="dxa" w:w="737"/>
          </w:tcPr>
          <w:p>
            <w:pPr>
              <w:spacing w:after="0" w:line="252" w:lineRule="auto"/>
            </w:pPr>
            <w:r>
              <w:rPr>
                <w:sz w:val="15"/>
              </w:rPr>
              <w:t>OP-03</w:t>
            </w:r>
          </w:p>
        </w:tc>
        <w:tc>
          <w:tcPr>
            <w:tcW w:type="dxa" w:w="1701"/>
          </w:tcPr>
          <w:p>
            <w:pPr>
              <w:spacing w:after="0" w:line="252" w:lineRule="auto"/>
            </w:pPr>
            <w:r>
              <w:rPr>
                <w:sz w:val="15"/>
              </w:rPr>
              <w:t>QR-Code-Format und Scanner</w:t>
            </w:r>
          </w:p>
        </w:tc>
        <w:tc>
          <w:tcPr>
            <w:tcW w:type="dxa" w:w="4309"/>
          </w:tcPr>
          <w:p>
            <w:pPr>
              <w:spacing w:after="0" w:line="252" w:lineRule="auto"/>
            </w:pPr>
            <w:r>
              <w:rPr>
                <w:sz w:val="15"/>
              </w:rPr>
              <w:t>Muster-QR-Codes und Datenstruktur (Artikel, Charge, SN, Trennzeichen) liefern; Parser in WAMAS; Scannermodell</w:t>
            </w:r>
          </w:p>
        </w:tc>
        <w:tc>
          <w:tcPr>
            <w:tcW w:type="dxa" w:w="1304"/>
          </w:tcPr>
          <w:p>
            <w:pPr>
              <w:spacing w:after="0" w:line="252" w:lineRule="auto"/>
            </w:pPr>
            <w:r>
              <w:rPr>
                <w:sz w:val="15"/>
              </w:rPr>
              <w:t>3.8–3.10, 3.37</w:t>
            </w:r>
          </w:p>
        </w:tc>
        <w:tc>
          <w:tcPr>
            <w:tcW w:type="dxa" w:w="850"/>
          </w:tcPr>
          <w:p>
            <w:pPr>
              <w:spacing w:after="0" w:line="252" w:lineRule="auto"/>
            </w:pPr>
            <w:r>
              <w:rPr>
                <w:sz w:val="15"/>
              </w:rPr>
              <w:t>Brütsch, SSI</w:t>
            </w:r>
          </w:p>
        </w:tc>
        <w:tc>
          <w:tcPr>
            <w:tcW w:type="dxa" w:w="624"/>
          </w:tcPr>
          <w:p>
            <w:pPr>
              <w:spacing w:after="0" w:line="252" w:lineRule="auto"/>
            </w:pPr>
            <w:r>
              <w:rPr>
                <w:sz w:val="15"/>
              </w:rPr>
              <w:t>hoch</w:t>
            </w:r>
          </w:p>
        </w:tc>
      </w:tr>
      <w:tr>
        <w:tc>
          <w:tcPr>
            <w:tcW w:type="dxa" w:w="737"/>
          </w:tcPr>
          <w:p>
            <w:pPr>
              <w:spacing w:after="0" w:line="252" w:lineRule="auto"/>
            </w:pPr>
            <w:r>
              <w:rPr>
                <w:sz w:val="15"/>
              </w:rPr>
              <w:t>OP-04</w:t>
            </w:r>
          </w:p>
        </w:tc>
        <w:tc>
          <w:tcPr>
            <w:tcW w:type="dxa" w:w="1701"/>
          </w:tcPr>
          <w:p>
            <w:pPr>
              <w:spacing w:after="0" w:line="252" w:lineRule="auto"/>
            </w:pPr>
            <w:r>
              <w:rPr>
                <w:sz w:val="15"/>
              </w:rPr>
              <w:t>Lagerplatzcodierung und Anlage</w:t>
            </w:r>
          </w:p>
        </w:tc>
        <w:tc>
          <w:tcPr>
            <w:tcW w:type="dxa" w:w="4309"/>
          </w:tcPr>
          <w:p>
            <w:pPr>
              <w:spacing w:after="0" w:line="252" w:lineRule="auto"/>
            </w:pPr>
            <w:r>
              <w:rPr>
                <w:sz w:val="15"/>
              </w:rPr>
              <w:t>Generator-Muster vs. bestehende Codes; Import mit eigener Kennung (CSV-Format nicht dokumentiert); unregelmässige Bereiche C, F, R, U, V, W; Mischbelegung Fachboden</w:t>
            </w:r>
          </w:p>
        </w:tc>
        <w:tc>
          <w:tcPr>
            <w:tcW w:type="dxa" w:w="1304"/>
          </w:tcPr>
          <w:p>
            <w:pPr>
              <w:spacing w:after="0" w:line="252" w:lineRule="auto"/>
            </w:pPr>
            <w:r>
              <w:rPr>
                <w:sz w:val="15"/>
              </w:rPr>
              <w:t>Prüfpunkte 1, 2, 4, 7; 3.1</w:t>
            </w:r>
          </w:p>
        </w:tc>
        <w:tc>
          <w:tcPr>
            <w:tcW w:type="dxa" w:w="850"/>
          </w:tcPr>
          <w:p>
            <w:pPr>
              <w:spacing w:after="0" w:line="252" w:lineRule="auto"/>
            </w:pPr>
            <w:r>
              <w:rPr>
                <w:sz w:val="15"/>
              </w:rPr>
              <w:t>SSI</w:t>
            </w:r>
          </w:p>
        </w:tc>
        <w:tc>
          <w:tcPr>
            <w:tcW w:type="dxa" w:w="624"/>
          </w:tcPr>
          <w:p>
            <w:pPr>
              <w:spacing w:after="0" w:line="252" w:lineRule="auto"/>
            </w:pPr>
            <w:r>
              <w:rPr>
                <w:sz w:val="15"/>
              </w:rPr>
              <w:t>hoch</w:t>
            </w:r>
          </w:p>
        </w:tc>
      </w:tr>
      <w:tr>
        <w:tc>
          <w:tcPr>
            <w:tcW w:type="dxa" w:w="737"/>
          </w:tcPr>
          <w:p>
            <w:pPr>
              <w:spacing w:after="0" w:line="252" w:lineRule="auto"/>
            </w:pPr>
            <w:r>
              <w:rPr>
                <w:sz w:val="15"/>
              </w:rPr>
              <w:t>OP-05</w:t>
            </w:r>
          </w:p>
        </w:tc>
        <w:tc>
          <w:tcPr>
            <w:tcW w:type="dxa" w:w="1701"/>
          </w:tcPr>
          <w:p>
            <w:pPr>
              <w:spacing w:after="0" w:line="252" w:lineRule="auto"/>
            </w:pPr>
            <w:r>
              <w:rPr>
                <w:sz w:val="15"/>
              </w:rPr>
              <w:t>Lagerort-Modell</w:t>
            </w:r>
          </w:p>
        </w:tc>
        <w:tc>
          <w:tcPr>
            <w:tcW w:type="dxa" w:w="4309"/>
          </w:tcPr>
          <w:p>
            <w:pPr>
              <w:spacing w:after="0" w:line="252" w:lineRule="auto"/>
            </w:pPr>
            <w:r>
              <w:rPr>
                <w:sz w:val="15"/>
              </w:rPr>
              <w:t>Variante für WAM-Sperrlager, WAM-SER, WAM-GE (Tab. 5); Mapping Abacus-Lagerorte; PPS-Verfügbarkeit; Bezeichnung WAM-Sperrlager vs. WAM-REP; relevante CAPAs</w:t>
            </w:r>
          </w:p>
        </w:tc>
        <w:tc>
          <w:tcPr>
            <w:tcW w:type="dxa" w:w="1304"/>
          </w:tcPr>
          <w:p>
            <w:pPr>
              <w:spacing w:after="0" w:line="252" w:lineRule="auto"/>
            </w:pPr>
            <w:r>
              <w:rPr>
                <w:sz w:val="15"/>
              </w:rPr>
              <w:t>1.5, 1.6, 2.2, 2.7–2.9</w:t>
            </w:r>
          </w:p>
        </w:tc>
        <w:tc>
          <w:tcPr>
            <w:tcW w:type="dxa" w:w="850"/>
          </w:tcPr>
          <w:p>
            <w:pPr>
              <w:spacing w:after="0" w:line="252" w:lineRule="auto"/>
            </w:pPr>
            <w:r>
              <w:rPr>
                <w:sz w:val="15"/>
              </w:rPr>
              <w:t>Brütsch (LOG, QS, PPS, ERP), SSI, bsb</w:t>
            </w:r>
          </w:p>
        </w:tc>
        <w:tc>
          <w:tcPr>
            <w:tcW w:type="dxa" w:w="624"/>
          </w:tcPr>
          <w:p>
            <w:pPr>
              <w:spacing w:after="0" w:line="252" w:lineRule="auto"/>
            </w:pPr>
            <w:r>
              <w:rPr>
                <w:sz w:val="15"/>
              </w:rPr>
              <w:t>hoch</w:t>
            </w:r>
          </w:p>
        </w:tc>
      </w:tr>
      <w:tr>
        <w:tc>
          <w:tcPr>
            <w:tcW w:type="dxa" w:w="737"/>
          </w:tcPr>
          <w:p>
            <w:pPr>
              <w:spacing w:after="0" w:line="252" w:lineRule="auto"/>
            </w:pPr>
            <w:r>
              <w:rPr>
                <w:sz w:val="15"/>
              </w:rPr>
              <w:t>OP-06</w:t>
            </w:r>
          </w:p>
        </w:tc>
        <w:tc>
          <w:tcPr>
            <w:tcW w:type="dxa" w:w="1701"/>
          </w:tcPr>
          <w:p>
            <w:pPr>
              <w:spacing w:after="0" w:line="252" w:lineRule="auto"/>
            </w:pPr>
            <w:r>
              <w:rPr>
                <w:sz w:val="15"/>
              </w:rPr>
              <w:t>Nachzählung und Freigabe</w:t>
            </w:r>
          </w:p>
        </w:tc>
        <w:tc>
          <w:tcPr>
            <w:tcW w:type="dxa" w:w="4309"/>
          </w:tcPr>
          <w:p>
            <w:pPr>
              <w:spacing w:after="0" w:line="252" w:lineRule="auto"/>
            </w:pPr>
            <w:r>
              <w:rPr>
                <w:sz w:val="15"/>
              </w:rPr>
              <w:t>Workflow Fehlmenge → Kontrolle → Nachzählung → Freigabe → Korrektur; Ablehnen von Differenzen</w:t>
            </w:r>
          </w:p>
        </w:tc>
        <w:tc>
          <w:tcPr>
            <w:tcW w:type="dxa" w:w="1304"/>
          </w:tcPr>
          <w:p>
            <w:pPr>
              <w:spacing w:after="0" w:line="252" w:lineRule="auto"/>
            </w:pPr>
            <w:r>
              <w:rPr>
                <w:sz w:val="15"/>
              </w:rPr>
              <w:t>1.4, 3.38–3.40, 3.49, 3.50</w:t>
            </w:r>
          </w:p>
        </w:tc>
        <w:tc>
          <w:tcPr>
            <w:tcW w:type="dxa" w:w="850"/>
          </w:tcPr>
          <w:p>
            <w:pPr>
              <w:spacing w:after="0" w:line="252" w:lineRule="auto"/>
            </w:pPr>
            <w:r>
              <w:rPr>
                <w:sz w:val="15"/>
              </w:rPr>
              <w:t>SSI</w:t>
            </w:r>
          </w:p>
        </w:tc>
        <w:tc>
          <w:tcPr>
            <w:tcW w:type="dxa" w:w="624"/>
          </w:tcPr>
          <w:p>
            <w:pPr>
              <w:spacing w:after="0" w:line="252" w:lineRule="auto"/>
            </w:pPr>
            <w:r>
              <w:rPr>
                <w:sz w:val="15"/>
              </w:rPr>
              <w:t>hoch</w:t>
            </w:r>
          </w:p>
        </w:tc>
      </w:tr>
      <w:tr>
        <w:tc>
          <w:tcPr>
            <w:tcW w:type="dxa" w:w="737"/>
          </w:tcPr>
          <w:p>
            <w:pPr>
              <w:spacing w:after="0" w:line="252" w:lineRule="auto"/>
            </w:pPr>
            <w:r>
              <w:rPr>
                <w:sz w:val="15"/>
              </w:rPr>
              <w:t>OP-07</w:t>
            </w:r>
          </w:p>
        </w:tc>
        <w:tc>
          <w:tcPr>
            <w:tcW w:type="dxa" w:w="1701"/>
          </w:tcPr>
          <w:p>
            <w:pPr>
              <w:spacing w:after="0" w:line="252" w:lineRule="auto"/>
            </w:pPr>
            <w:r>
              <w:rPr>
                <w:sz w:val="15"/>
              </w:rPr>
              <w:t>Audit Trail, Part 11, 20 Jahre</w:t>
            </w:r>
          </w:p>
        </w:tc>
        <w:tc>
          <w:tcPr>
            <w:tcW w:type="dxa" w:w="4309"/>
          </w:tcPr>
          <w:p>
            <w:pPr>
              <w:spacing w:after="0" w:line="252" w:lineRule="auto"/>
            </w:pPr>
            <w:r>
              <w:rPr>
                <w:sz w:val="15"/>
              </w:rPr>
              <w:t>Bewegungs- und Statushistorie je Bestandsobjekt, elektronische Signatur, Aufbewahrung 20 Jahre, Systemgrenze für den Langzeitnachweis</w:t>
            </w:r>
          </w:p>
        </w:tc>
        <w:tc>
          <w:tcPr>
            <w:tcW w:type="dxa" w:w="1304"/>
          </w:tcPr>
          <w:p>
            <w:pPr>
              <w:spacing w:after="0" w:line="252" w:lineRule="auto"/>
            </w:pPr>
            <w:r>
              <w:rPr>
                <w:sz w:val="15"/>
              </w:rPr>
              <w:t>1.1, 1.2, 1.6, 1.9, 3.41; LH 3.1</w:t>
            </w:r>
          </w:p>
        </w:tc>
        <w:tc>
          <w:tcPr>
            <w:tcW w:type="dxa" w:w="850"/>
          </w:tcPr>
          <w:p>
            <w:pPr>
              <w:spacing w:after="0" w:line="252" w:lineRule="auto"/>
            </w:pPr>
            <w:r>
              <w:rPr>
                <w:sz w:val="15"/>
              </w:rPr>
              <w:t>Brütsch (QM), SSI</w:t>
            </w:r>
          </w:p>
        </w:tc>
        <w:tc>
          <w:tcPr>
            <w:tcW w:type="dxa" w:w="624"/>
          </w:tcPr>
          <w:p>
            <w:pPr>
              <w:spacing w:after="0" w:line="252" w:lineRule="auto"/>
            </w:pPr>
            <w:r>
              <w:rPr>
                <w:sz w:val="15"/>
              </w:rPr>
              <w:t>hoch</w:t>
            </w:r>
          </w:p>
        </w:tc>
      </w:tr>
      <w:tr>
        <w:tc>
          <w:tcPr>
            <w:tcW w:type="dxa" w:w="737"/>
          </w:tcPr>
          <w:p>
            <w:pPr>
              <w:spacing w:after="0" w:line="252" w:lineRule="auto"/>
            </w:pPr>
            <w:r>
              <w:rPr>
                <w:sz w:val="15"/>
              </w:rPr>
              <w:t>OP-08</w:t>
            </w:r>
          </w:p>
        </w:tc>
        <w:tc>
          <w:tcPr>
            <w:tcW w:type="dxa" w:w="1701"/>
          </w:tcPr>
          <w:p>
            <w:pPr>
              <w:spacing w:after="0" w:line="252" w:lineRule="auto"/>
            </w:pPr>
            <w:r>
              <w:rPr>
                <w:sz w:val="15"/>
              </w:rPr>
              <w:t>Multi-Order</w:t>
            </w:r>
          </w:p>
        </w:tc>
        <w:tc>
          <w:tcPr>
            <w:tcW w:type="dxa" w:w="4309"/>
          </w:tcPr>
          <w:p>
            <w:pPr>
              <w:spacing w:after="0" w:line="252" w:lineRule="auto"/>
            </w:pPr>
            <w:r>
              <w:rPr>
                <w:sz w:val="15"/>
              </w:rPr>
              <w:t>Kommissionierwagen bzw. Mehrauftragskommissionierung für externe Plätze am Mobilterminal</w:t>
            </w:r>
          </w:p>
        </w:tc>
        <w:tc>
          <w:tcPr>
            <w:tcW w:type="dxa" w:w="1304"/>
          </w:tcPr>
          <w:p>
            <w:pPr>
              <w:spacing w:after="0" w:line="252" w:lineRule="auto"/>
            </w:pPr>
            <w:r>
              <w:rPr>
                <w:sz w:val="15"/>
              </w:rPr>
              <w:t>3.33, 3.34</w:t>
            </w:r>
          </w:p>
        </w:tc>
        <w:tc>
          <w:tcPr>
            <w:tcW w:type="dxa" w:w="850"/>
          </w:tcPr>
          <w:p>
            <w:pPr>
              <w:spacing w:after="0" w:line="252" w:lineRule="auto"/>
            </w:pPr>
            <w:r>
              <w:rPr>
                <w:sz w:val="15"/>
              </w:rPr>
              <w:t>SSI (PM)</w:t>
            </w:r>
          </w:p>
        </w:tc>
        <w:tc>
          <w:tcPr>
            <w:tcW w:type="dxa" w:w="624"/>
          </w:tcPr>
          <w:p>
            <w:pPr>
              <w:spacing w:after="0" w:line="252" w:lineRule="auto"/>
            </w:pPr>
            <w:r>
              <w:rPr>
                <w:sz w:val="15"/>
              </w:rPr>
              <w:t>mittel</w:t>
            </w:r>
          </w:p>
        </w:tc>
      </w:tr>
      <w:tr>
        <w:tc>
          <w:tcPr>
            <w:tcW w:type="dxa" w:w="737"/>
          </w:tcPr>
          <w:p>
            <w:pPr>
              <w:spacing w:after="0" w:line="252" w:lineRule="auto"/>
            </w:pPr>
            <w:r>
              <w:rPr>
                <w:sz w:val="15"/>
              </w:rPr>
              <w:t>OP-09</w:t>
            </w:r>
          </w:p>
        </w:tc>
        <w:tc>
          <w:tcPr>
            <w:tcW w:type="dxa" w:w="1701"/>
          </w:tcPr>
          <w:p>
            <w:pPr>
              <w:spacing w:after="0" w:line="252" w:lineRule="auto"/>
            </w:pPr>
            <w:r>
              <w:rPr>
                <w:sz w:val="15"/>
              </w:rPr>
              <w:t>Mobile Etikettierung</w:t>
            </w:r>
          </w:p>
        </w:tc>
        <w:tc>
          <w:tcPr>
            <w:tcW w:type="dxa" w:w="4309"/>
          </w:tcPr>
          <w:p>
            <w:pPr>
              <w:spacing w:after="0" w:line="252" w:lineRule="auto"/>
            </w:pPr>
            <w:r>
              <w:rPr>
                <w:sz w:val="15"/>
              </w:rPr>
              <w:t>Druckauslösung aus der Mobil-Kommissionierung, Druckermodell, Etikettenformat, Layout, QR-Inhalt</w:t>
            </w:r>
          </w:p>
        </w:tc>
        <w:tc>
          <w:tcPr>
            <w:tcW w:type="dxa" w:w="1304"/>
          </w:tcPr>
          <w:p>
            <w:pPr>
              <w:spacing w:after="0" w:line="252" w:lineRule="auto"/>
            </w:pPr>
            <w:r>
              <w:rPr>
                <w:sz w:val="15"/>
              </w:rPr>
              <w:t>3.35–3.37, 4.3</w:t>
            </w:r>
          </w:p>
        </w:tc>
        <w:tc>
          <w:tcPr>
            <w:tcW w:type="dxa" w:w="850"/>
          </w:tcPr>
          <w:p>
            <w:pPr>
              <w:spacing w:after="0" w:line="252" w:lineRule="auto"/>
            </w:pPr>
            <w:r>
              <w:rPr>
                <w:sz w:val="15"/>
              </w:rPr>
              <w:t>SSI, Brütsch</w:t>
            </w:r>
          </w:p>
        </w:tc>
        <w:tc>
          <w:tcPr>
            <w:tcW w:type="dxa" w:w="624"/>
          </w:tcPr>
          <w:p>
            <w:pPr>
              <w:spacing w:after="0" w:line="252" w:lineRule="auto"/>
            </w:pPr>
            <w:r>
              <w:rPr>
                <w:sz w:val="15"/>
              </w:rPr>
              <w:t>mittel</w:t>
            </w:r>
          </w:p>
        </w:tc>
      </w:tr>
      <w:tr>
        <w:tc>
          <w:tcPr>
            <w:tcW w:type="dxa" w:w="737"/>
          </w:tcPr>
          <w:p>
            <w:pPr>
              <w:spacing w:after="0" w:line="252" w:lineRule="auto"/>
            </w:pPr>
            <w:r>
              <w:rPr>
                <w:sz w:val="15"/>
              </w:rPr>
              <w:t>OP-10</w:t>
            </w:r>
          </w:p>
        </w:tc>
        <w:tc>
          <w:tcPr>
            <w:tcW w:type="dxa" w:w="1701"/>
          </w:tcPr>
          <w:p>
            <w:pPr>
              <w:spacing w:after="0" w:line="252" w:lineRule="auto"/>
            </w:pPr>
            <w:r>
              <w:rPr>
                <w:sz w:val="15"/>
              </w:rPr>
              <w:t>Kennzahlen</w:t>
            </w:r>
          </w:p>
        </w:tc>
        <w:tc>
          <w:tcPr>
            <w:tcW w:type="dxa" w:w="4309"/>
          </w:tcPr>
          <w:p>
            <w:pPr>
              <w:spacing w:after="0" w:line="252" w:lineRule="auto"/>
            </w:pPr>
            <w:r>
              <w:rPr>
                <w:sz w:val="15"/>
              </w:rPr>
              <w:t>Auswahl und Darstellung der 26 Kennzahlen; Standard-Dashboard vs. Report; Umlagerungsvorschläge</w:t>
            </w:r>
          </w:p>
        </w:tc>
        <w:tc>
          <w:tcPr>
            <w:tcW w:type="dxa" w:w="1304"/>
          </w:tcPr>
          <w:p>
            <w:pPr>
              <w:spacing w:after="0" w:line="252" w:lineRule="auto"/>
            </w:pPr>
            <w:r>
              <w:rPr>
                <w:sz w:val="15"/>
              </w:rPr>
              <w:t>1.9, 3.7, 3.51–3.57</w:t>
            </w:r>
          </w:p>
        </w:tc>
        <w:tc>
          <w:tcPr>
            <w:tcW w:type="dxa" w:w="850"/>
          </w:tcPr>
          <w:p>
            <w:pPr>
              <w:spacing w:after="0" w:line="252" w:lineRule="auto"/>
            </w:pPr>
            <w:r>
              <w:rPr>
                <w:sz w:val="15"/>
              </w:rPr>
              <w:t>Brütsch, SSI</w:t>
            </w:r>
          </w:p>
        </w:tc>
        <w:tc>
          <w:tcPr>
            <w:tcW w:type="dxa" w:w="624"/>
          </w:tcPr>
          <w:p>
            <w:pPr>
              <w:spacing w:after="0" w:line="252" w:lineRule="auto"/>
            </w:pPr>
            <w:r>
              <w:rPr>
                <w:sz w:val="15"/>
              </w:rPr>
              <w:t>mittel</w:t>
            </w:r>
          </w:p>
        </w:tc>
      </w:tr>
      <w:tr>
        <w:tc>
          <w:tcPr>
            <w:tcW w:type="dxa" w:w="737"/>
          </w:tcPr>
          <w:p>
            <w:pPr>
              <w:spacing w:after="0" w:line="252" w:lineRule="auto"/>
            </w:pPr>
            <w:r>
              <w:rPr>
                <w:sz w:val="15"/>
              </w:rPr>
              <w:t>OP-11</w:t>
            </w:r>
          </w:p>
        </w:tc>
        <w:tc>
          <w:tcPr>
            <w:tcW w:type="dxa" w:w="1701"/>
          </w:tcPr>
          <w:p>
            <w:pPr>
              <w:spacing w:after="0" w:line="252" w:lineRule="auto"/>
            </w:pPr>
            <w:r>
              <w:rPr>
                <w:sz w:val="15"/>
              </w:rPr>
              <w:t>BPE-Erweiterung</w:t>
            </w:r>
          </w:p>
        </w:tc>
        <w:tc>
          <w:tcPr>
            <w:tcW w:type="dxa" w:w="4309"/>
          </w:tcPr>
          <w:p>
            <w:pPr>
              <w:spacing w:after="0" w:line="252" w:lineRule="auto"/>
            </w:pPr>
            <w:r>
              <w:rPr>
                <w:sz w:val="15"/>
              </w:rPr>
              <w:t>Bestandsaufnahme der heute genutzten Satzarten; Routing Logimat/manuell; Auslöser Umbuchung, Nachrüstung, Verbrauch, Inventur; Unterdrückung interner Umlagerungen</w:t>
            </w:r>
          </w:p>
        </w:tc>
        <w:tc>
          <w:tcPr>
            <w:tcW w:type="dxa" w:w="1304"/>
          </w:tcPr>
          <w:p>
            <w:pPr>
              <w:spacing w:after="0" w:line="252" w:lineRule="auto"/>
            </w:pPr>
            <w:r>
              <w:rPr>
                <w:sz w:val="15"/>
              </w:rPr>
              <w:t>3.14, 3.21–3.23, 3.42–3.45, 3.48, 4, 4.1, 4.12</w:t>
            </w:r>
          </w:p>
        </w:tc>
        <w:tc>
          <w:tcPr>
            <w:tcW w:type="dxa" w:w="850"/>
          </w:tcPr>
          <w:p>
            <w:pPr>
              <w:spacing w:after="0" w:line="252" w:lineRule="auto"/>
            </w:pPr>
            <w:r>
              <w:rPr>
                <w:sz w:val="15"/>
              </w:rPr>
              <w:t>bsb, SSI</w:t>
            </w:r>
          </w:p>
        </w:tc>
        <w:tc>
          <w:tcPr>
            <w:tcW w:type="dxa" w:w="624"/>
          </w:tcPr>
          <w:p>
            <w:pPr>
              <w:spacing w:after="0" w:line="252" w:lineRule="auto"/>
            </w:pPr>
            <w:r>
              <w:rPr>
                <w:sz w:val="15"/>
              </w:rPr>
              <w:t>hoch</w:t>
            </w:r>
          </w:p>
        </w:tc>
      </w:tr>
      <w:tr>
        <w:tc>
          <w:tcPr>
            <w:tcW w:type="dxa" w:w="737"/>
          </w:tcPr>
          <w:p>
            <w:pPr>
              <w:spacing w:after="0" w:line="252" w:lineRule="auto"/>
            </w:pPr>
            <w:r>
              <w:rPr>
                <w:sz w:val="15"/>
              </w:rPr>
              <w:t>OP-12</w:t>
            </w:r>
          </w:p>
        </w:tc>
        <w:tc>
          <w:tcPr>
            <w:tcW w:type="dxa" w:w="1701"/>
          </w:tcPr>
          <w:p>
            <w:pPr>
              <w:spacing w:after="0" w:line="252" w:lineRule="auto"/>
            </w:pPr>
            <w:r>
              <w:rPr>
                <w:sz w:val="15"/>
              </w:rPr>
              <w:t>Bestandsabgleich</w:t>
            </w:r>
          </w:p>
        </w:tc>
        <w:tc>
          <w:tcPr>
            <w:tcW w:type="dxa" w:w="4309"/>
          </w:tcPr>
          <w:p>
            <w:pPr>
              <w:spacing w:after="0" w:line="252" w:lineRule="auto"/>
            </w:pPr>
            <w:r>
              <w:rPr>
                <w:sz w:val="15"/>
              </w:rPr>
              <w:t xml:space="preserve">Datenquelle Abacus (REST/AbaConnect), Ablauf über </w:t>
            </w:r>
            <w:r>
              <w:rPr>
                <w:rFonts w:ascii="Consolas" w:hAnsi="Consolas" w:cs="Consolas" w:eastAsia="Consolas"/>
                <w:sz w:val="13"/>
              </w:rPr>
              <w:t>WLSSTOCKREQ002</w:t>
            </w:r>
            <w:r>
              <w:rPr>
                <w:sz w:val="15"/>
              </w:rPr>
              <w:t>, Excel-Format, Empfänger, Zeitpunkt, SN-Ebene</w:t>
            </w:r>
          </w:p>
        </w:tc>
        <w:tc>
          <w:tcPr>
            <w:tcW w:type="dxa" w:w="1304"/>
          </w:tcPr>
          <w:p>
            <w:pPr>
              <w:spacing w:after="0" w:line="252" w:lineRule="auto"/>
            </w:pPr>
            <w:r>
              <w:rPr>
                <w:sz w:val="15"/>
              </w:rPr>
              <w:t>4.15</w:t>
            </w:r>
          </w:p>
        </w:tc>
        <w:tc>
          <w:tcPr>
            <w:tcW w:type="dxa" w:w="850"/>
          </w:tcPr>
          <w:p>
            <w:pPr>
              <w:spacing w:after="0" w:line="252" w:lineRule="auto"/>
            </w:pPr>
            <w:r>
              <w:rPr>
                <w:sz w:val="15"/>
              </w:rPr>
              <w:t>bsb, SSI, ERP</w:t>
            </w:r>
          </w:p>
        </w:tc>
        <w:tc>
          <w:tcPr>
            <w:tcW w:type="dxa" w:w="624"/>
          </w:tcPr>
          <w:p>
            <w:pPr>
              <w:spacing w:after="0" w:line="252" w:lineRule="auto"/>
            </w:pPr>
            <w:r>
              <w:rPr>
                <w:sz w:val="15"/>
              </w:rPr>
              <w:t>mittel</w:t>
            </w:r>
          </w:p>
        </w:tc>
      </w:tr>
      <w:tr>
        <w:tc>
          <w:tcPr>
            <w:tcW w:type="dxa" w:w="737"/>
          </w:tcPr>
          <w:p>
            <w:pPr>
              <w:spacing w:after="0" w:line="252" w:lineRule="auto"/>
            </w:pPr>
            <w:r>
              <w:rPr>
                <w:sz w:val="15"/>
              </w:rPr>
              <w:t>OP-13</w:t>
            </w:r>
          </w:p>
        </w:tc>
        <w:tc>
          <w:tcPr>
            <w:tcW w:type="dxa" w:w="1701"/>
          </w:tcPr>
          <w:p>
            <w:pPr>
              <w:spacing w:after="0" w:line="252" w:lineRule="auto"/>
            </w:pPr>
            <w:r>
              <w:rPr>
                <w:sz w:val="15"/>
              </w:rPr>
              <w:t>Fehlerhandling</w:t>
            </w:r>
          </w:p>
        </w:tc>
        <w:tc>
          <w:tcPr>
            <w:tcW w:type="dxa" w:w="4309"/>
          </w:tcPr>
          <w:p>
            <w:pPr>
              <w:spacing w:after="0" w:line="252" w:lineRule="auto"/>
            </w:pPr>
            <w:r>
              <w:rPr>
                <w:sz w:val="15"/>
              </w:rPr>
              <w:t>Fehlerklassen, E-Mail/Alert, Continue-on-Failure je Satzart, Wiederholung, Verantwortung</w:t>
            </w:r>
          </w:p>
        </w:tc>
        <w:tc>
          <w:tcPr>
            <w:tcW w:type="dxa" w:w="1304"/>
          </w:tcPr>
          <w:p>
            <w:pPr>
              <w:spacing w:after="0" w:line="252" w:lineRule="auto"/>
            </w:pPr>
            <w:r>
              <w:rPr>
                <w:sz w:val="15"/>
              </w:rPr>
              <w:t>4.7, 4.8, 4.13, 4.14</w:t>
            </w:r>
          </w:p>
        </w:tc>
        <w:tc>
          <w:tcPr>
            <w:tcW w:type="dxa" w:w="850"/>
          </w:tcPr>
          <w:p>
            <w:pPr>
              <w:spacing w:after="0" w:line="252" w:lineRule="auto"/>
            </w:pPr>
            <w:r>
              <w:rPr>
                <w:sz w:val="15"/>
              </w:rPr>
              <w:t>bsb, SSI</w:t>
            </w:r>
          </w:p>
        </w:tc>
        <w:tc>
          <w:tcPr>
            <w:tcW w:type="dxa" w:w="624"/>
          </w:tcPr>
          <w:p>
            <w:pPr>
              <w:spacing w:after="0" w:line="252" w:lineRule="auto"/>
            </w:pPr>
            <w:r>
              <w:rPr>
                <w:sz w:val="15"/>
              </w:rPr>
              <w:t>mittel</w:t>
            </w:r>
          </w:p>
        </w:tc>
      </w:tr>
      <w:tr>
        <w:tc>
          <w:tcPr>
            <w:tcW w:type="dxa" w:w="737"/>
          </w:tcPr>
          <w:p>
            <w:pPr>
              <w:spacing w:after="0" w:line="252" w:lineRule="auto"/>
            </w:pPr>
            <w:r>
              <w:rPr>
                <w:sz w:val="15"/>
              </w:rPr>
              <w:t>OP-14</w:t>
            </w:r>
          </w:p>
        </w:tc>
        <w:tc>
          <w:tcPr>
            <w:tcW w:type="dxa" w:w="1701"/>
          </w:tcPr>
          <w:p>
            <w:pPr>
              <w:spacing w:after="0" w:line="252" w:lineRule="auto"/>
            </w:pPr>
            <w:r>
              <w:rPr>
                <w:sz w:val="15"/>
              </w:rPr>
              <w:t>Lagerbedingungen</w:t>
            </w:r>
          </w:p>
        </w:tc>
        <w:tc>
          <w:tcPr>
            <w:tcW w:type="dxa" w:w="4309"/>
          </w:tcPr>
          <w:p>
            <w:pPr>
              <w:spacing w:after="0" w:line="252" w:lineRule="auto"/>
            </w:pPr>
            <w:r>
              <w:rPr>
                <w:sz w:val="15"/>
              </w:rPr>
              <w:t>Abbildung Bereich U (Kühlschrank, Akku, Gefahrenschrank, Chemie), Temperaturüberwachung, FEFO, Sperrung abgelaufener Ware</w:t>
            </w:r>
          </w:p>
        </w:tc>
        <w:tc>
          <w:tcPr>
            <w:tcW w:type="dxa" w:w="1304"/>
          </w:tcPr>
          <w:p>
            <w:pPr>
              <w:spacing w:after="0" w:line="252" w:lineRule="auto"/>
            </w:pPr>
            <w:r>
              <w:rPr>
                <w:sz w:val="15"/>
              </w:rPr>
              <w:t>3.5; LH 3.1.2, 3.1.3</w:t>
            </w:r>
          </w:p>
        </w:tc>
        <w:tc>
          <w:tcPr>
            <w:tcW w:type="dxa" w:w="850"/>
          </w:tcPr>
          <w:p>
            <w:pPr>
              <w:spacing w:after="0" w:line="252" w:lineRule="auto"/>
            </w:pPr>
            <w:r>
              <w:rPr>
                <w:sz w:val="15"/>
              </w:rPr>
              <w:t>Brütsch (QM), SSI</w:t>
            </w:r>
          </w:p>
        </w:tc>
        <w:tc>
          <w:tcPr>
            <w:tcW w:type="dxa" w:w="624"/>
          </w:tcPr>
          <w:p>
            <w:pPr>
              <w:spacing w:after="0" w:line="252" w:lineRule="auto"/>
            </w:pPr>
            <w:r>
              <w:rPr>
                <w:sz w:val="15"/>
              </w:rPr>
              <w:t>mittel</w:t>
            </w:r>
          </w:p>
        </w:tc>
      </w:tr>
      <w:tr>
        <w:tc>
          <w:tcPr>
            <w:tcW w:type="dxa" w:w="737"/>
          </w:tcPr>
          <w:p>
            <w:pPr>
              <w:spacing w:after="0" w:line="252" w:lineRule="auto"/>
            </w:pPr>
            <w:r>
              <w:rPr>
                <w:sz w:val="15"/>
              </w:rPr>
              <w:t>OP-15</w:t>
            </w:r>
          </w:p>
        </w:tc>
        <w:tc>
          <w:tcPr>
            <w:tcW w:type="dxa" w:w="1701"/>
          </w:tcPr>
          <w:p>
            <w:pPr>
              <w:spacing w:after="0" w:line="252" w:lineRule="auto"/>
            </w:pPr>
            <w:r>
              <w:rPr>
                <w:sz w:val="15"/>
              </w:rPr>
              <w:t>Datenlücken Lagerstruktur</w:t>
            </w:r>
          </w:p>
        </w:tc>
        <w:tc>
          <w:tcPr>
            <w:tcW w:type="dxa" w:w="4309"/>
          </w:tcPr>
          <w:p>
            <w:pPr>
              <w:spacing w:after="0" w:line="252" w:lineRule="auto"/>
            </w:pPr>
            <w:r>
              <w:rPr>
                <w:sz w:val="15"/>
              </w:rPr>
              <w:t>Höhe M-03-03 und N-03-03; Schubladenplätze; Kapazität je Palettenplatz, Tiefe/Breite; Rolle von Bereich W; Bodenkennzeichnung P</w:t>
            </w:r>
          </w:p>
        </w:tc>
        <w:tc>
          <w:tcPr>
            <w:tcW w:type="dxa" w:w="1304"/>
          </w:tcPr>
          <w:p>
            <w:pPr>
              <w:spacing w:after="0" w:line="252" w:lineRule="auto"/>
            </w:pPr>
            <w:r>
              <w:rPr>
                <w:sz w:val="15"/>
              </w:rPr>
              <w:t>Prüfpunkte 3, 6</w:t>
            </w:r>
          </w:p>
        </w:tc>
        <w:tc>
          <w:tcPr>
            <w:tcW w:type="dxa" w:w="850"/>
          </w:tcPr>
          <w:p>
            <w:pPr>
              <w:spacing w:after="0" w:line="252" w:lineRule="auto"/>
            </w:pPr>
            <w:r>
              <w:rPr>
                <w:sz w:val="15"/>
              </w:rPr>
              <w:t>Brütsch (LOG)</w:t>
            </w:r>
          </w:p>
        </w:tc>
        <w:tc>
          <w:tcPr>
            <w:tcW w:type="dxa" w:w="624"/>
          </w:tcPr>
          <w:p>
            <w:pPr>
              <w:spacing w:after="0" w:line="252" w:lineRule="auto"/>
            </w:pPr>
            <w:r>
              <w:rPr>
                <w:sz w:val="15"/>
              </w:rPr>
              <w:t>mittel</w:t>
            </w:r>
          </w:p>
        </w:tc>
      </w:tr>
      <w:tr>
        <w:tc>
          <w:tcPr>
            <w:tcW w:type="dxa" w:w="737"/>
          </w:tcPr>
          <w:p>
            <w:pPr>
              <w:spacing w:after="0" w:line="252" w:lineRule="auto"/>
            </w:pPr>
            <w:r>
              <w:rPr>
                <w:sz w:val="15"/>
              </w:rPr>
              <w:t>OP-16</w:t>
            </w:r>
          </w:p>
        </w:tc>
        <w:tc>
          <w:tcPr>
            <w:tcW w:type="dxa" w:w="1701"/>
          </w:tcPr>
          <w:p>
            <w:pPr>
              <w:spacing w:after="0" w:line="252" w:lineRule="auto"/>
            </w:pPr>
            <w:r>
              <w:rPr>
                <w:sz w:val="15"/>
              </w:rPr>
              <w:t>Phasen und Einführung</w:t>
            </w:r>
          </w:p>
        </w:tc>
        <w:tc>
          <w:tcPr>
            <w:tcW w:type="dxa" w:w="4309"/>
          </w:tcPr>
          <w:p>
            <w:pPr>
              <w:spacing w:after="0" w:line="252" w:lineRule="auto"/>
            </w:pPr>
            <w:r>
              <w:rPr>
                <w:sz w:val="15"/>
              </w:rPr>
              <w:t>Phasenplan (Lastenheft Kap. 4 leer), Migration der HL-Bestände, Ersterfassung, Schulung</w:t>
            </w:r>
          </w:p>
        </w:tc>
        <w:tc>
          <w:tcPr>
            <w:tcW w:type="dxa" w:w="1304"/>
          </w:tcPr>
          <w:p>
            <w:pPr>
              <w:spacing w:after="0" w:line="252" w:lineRule="auto"/>
            </w:pPr>
            <w:r>
              <w:rPr>
                <w:sz w:val="15"/>
              </w:rPr>
              <w:t>2.3, 2.4, 2.10</w:t>
            </w:r>
          </w:p>
        </w:tc>
        <w:tc>
          <w:tcPr>
            <w:tcW w:type="dxa" w:w="850"/>
          </w:tcPr>
          <w:p>
            <w:pPr>
              <w:spacing w:after="0" w:line="252" w:lineRule="auto"/>
            </w:pPr>
            <w:r>
              <w:rPr>
                <w:sz w:val="15"/>
              </w:rPr>
              <w:t>Brütsch, SSI</w:t>
            </w:r>
          </w:p>
        </w:tc>
        <w:tc>
          <w:tcPr>
            <w:tcW w:type="dxa" w:w="624"/>
          </w:tcPr>
          <w:p>
            <w:pPr>
              <w:spacing w:after="0" w:line="252" w:lineRule="auto"/>
            </w:pPr>
            <w:r>
              <w:rPr>
                <w:sz w:val="15"/>
              </w:rPr>
              <w:t>mittel</w:t>
            </w:r>
          </w:p>
        </w:tc>
      </w:tr>
      <w:tr>
        <w:tc>
          <w:tcPr>
            <w:tcW w:type="dxa" w:w="737"/>
          </w:tcPr>
          <w:p>
            <w:pPr>
              <w:spacing w:after="0" w:line="252" w:lineRule="auto"/>
            </w:pPr>
            <w:r>
              <w:rPr>
                <w:sz w:val="15"/>
              </w:rPr>
              <w:t>OP-17</w:t>
            </w:r>
          </w:p>
        </w:tc>
        <w:tc>
          <w:tcPr>
            <w:tcW w:type="dxa" w:w="1701"/>
          </w:tcPr>
          <w:p>
            <w:pPr>
              <w:spacing w:after="0" w:line="252" w:lineRule="auto"/>
            </w:pPr>
            <w:r>
              <w:rPr>
                <w:sz w:val="15"/>
              </w:rPr>
              <w:t>Teilmengen beim Einlagern</w:t>
            </w:r>
          </w:p>
        </w:tc>
        <w:tc>
          <w:tcPr>
            <w:tcW w:type="dxa" w:w="4309"/>
          </w:tcPr>
          <w:p>
            <w:pPr>
              <w:spacing w:after="0" w:line="252" w:lineRule="auto"/>
            </w:pPr>
            <w:r>
              <w:rPr>
                <w:sz w:val="15"/>
              </w:rPr>
              <w:t>Aufteilung einer Einlagerzeile auf mehrere Plätze am Mobilterminal; freie Platzwahl ausserhalb des Vorschlags</w:t>
            </w:r>
          </w:p>
        </w:tc>
        <w:tc>
          <w:tcPr>
            <w:tcW w:type="dxa" w:w="1304"/>
          </w:tcPr>
          <w:p>
            <w:pPr>
              <w:spacing w:after="0" w:line="252" w:lineRule="auto"/>
            </w:pPr>
            <w:r>
              <w:rPr>
                <w:sz w:val="15"/>
              </w:rPr>
              <w:t>3.3, 3.6</w:t>
            </w:r>
          </w:p>
        </w:tc>
        <w:tc>
          <w:tcPr>
            <w:tcW w:type="dxa" w:w="850"/>
          </w:tcPr>
          <w:p>
            <w:pPr>
              <w:spacing w:after="0" w:line="252" w:lineRule="auto"/>
            </w:pPr>
            <w:r>
              <w:rPr>
                <w:sz w:val="15"/>
              </w:rPr>
              <w:t>SSI</w:t>
            </w:r>
          </w:p>
        </w:tc>
        <w:tc>
          <w:tcPr>
            <w:tcW w:type="dxa" w:w="624"/>
          </w:tcPr>
          <w:p>
            <w:pPr>
              <w:spacing w:after="0" w:line="252" w:lineRule="auto"/>
            </w:pPr>
            <w:r>
              <w:rPr>
                <w:sz w:val="15"/>
              </w:rPr>
              <w:t>mittel</w:t>
            </w:r>
          </w:p>
        </w:tc>
      </w:tr>
      <w:tr>
        <w:tc>
          <w:tcPr>
            <w:tcW w:type="dxa" w:w="737"/>
          </w:tcPr>
          <w:p>
            <w:pPr>
              <w:spacing w:after="0" w:line="252" w:lineRule="auto"/>
            </w:pPr>
            <w:r>
              <w:rPr>
                <w:sz w:val="15"/>
              </w:rPr>
              <w:t>OP-18</w:t>
            </w:r>
          </w:p>
        </w:tc>
        <w:tc>
          <w:tcPr>
            <w:tcW w:type="dxa" w:w="1701"/>
          </w:tcPr>
          <w:p>
            <w:pPr>
              <w:spacing w:after="0" w:line="252" w:lineRule="auto"/>
            </w:pPr>
            <w:r>
              <w:rPr>
                <w:sz w:val="15"/>
              </w:rPr>
              <w:t>Berechtigungen auf Datenebene</w:t>
            </w:r>
          </w:p>
        </w:tc>
        <w:tc>
          <w:tcPr>
            <w:tcW w:type="dxa" w:w="4309"/>
          </w:tcPr>
          <w:p>
            <w:pPr>
              <w:spacing w:after="0" w:line="252" w:lineRule="auto"/>
            </w:pPr>
            <w:r>
              <w:rPr>
                <w:sz w:val="15"/>
              </w:rPr>
              <w:t>Einschränkung des Datenzugriffsprofils auf Klient/Zone/Lagerort; Rechte je Mobil-Tätigkeit</w:t>
            </w:r>
          </w:p>
        </w:tc>
        <w:tc>
          <w:tcPr>
            <w:tcW w:type="dxa" w:w="1304"/>
          </w:tcPr>
          <w:p>
            <w:pPr>
              <w:spacing w:after="0" w:line="252" w:lineRule="auto"/>
            </w:pPr>
            <w:r>
              <w:rPr>
                <w:sz w:val="15"/>
              </w:rPr>
              <w:t>1.3, 2.9, 4.5</w:t>
            </w:r>
          </w:p>
        </w:tc>
        <w:tc>
          <w:tcPr>
            <w:tcW w:type="dxa" w:w="850"/>
          </w:tcPr>
          <w:p>
            <w:pPr>
              <w:spacing w:after="0" w:line="252" w:lineRule="auto"/>
            </w:pPr>
            <w:r>
              <w:rPr>
                <w:sz w:val="15"/>
              </w:rPr>
              <w:t>SSI</w:t>
            </w:r>
          </w:p>
        </w:tc>
        <w:tc>
          <w:tcPr>
            <w:tcW w:type="dxa" w:w="624"/>
          </w:tcPr>
          <w:p>
            <w:pPr>
              <w:spacing w:after="0" w:line="252" w:lineRule="auto"/>
            </w:pPr>
            <w:r>
              <w:rPr>
                <w:sz w:val="15"/>
              </w:rPr>
              <w:t>mittel</w:t>
            </w:r>
          </w:p>
        </w:tc>
      </w:tr>
      <w:tr>
        <w:tc>
          <w:tcPr>
            <w:tcW w:type="dxa" w:w="737"/>
          </w:tcPr>
          <w:p>
            <w:pPr>
              <w:spacing w:after="0" w:line="252" w:lineRule="auto"/>
            </w:pPr>
            <w:r>
              <w:rPr>
                <w:sz w:val="15"/>
              </w:rPr>
              <w:t>OP-19</w:t>
            </w:r>
          </w:p>
        </w:tc>
        <w:tc>
          <w:tcPr>
            <w:tcW w:type="dxa" w:w="1701"/>
          </w:tcPr>
          <w:p>
            <w:pPr>
              <w:spacing w:after="0" w:line="252" w:lineRule="auto"/>
            </w:pPr>
            <w:r>
              <w:rPr>
                <w:sz w:val="15"/>
              </w:rPr>
              <w:t>IT-Infrastruktur</w:t>
            </w:r>
          </w:p>
        </w:tc>
        <w:tc>
          <w:tcPr>
            <w:tcW w:type="dxa" w:w="4309"/>
          </w:tcPr>
          <w:p>
            <w:pPr>
              <w:spacing w:after="0" w:line="252" w:lineRule="auto"/>
            </w:pPr>
            <w:r>
              <w:rPr>
                <w:sz w:val="15"/>
              </w:rPr>
              <w:t>WLAN, Mobilgeräte, Server, Verzeichnisdienst, Performance-Anforderungen</w:t>
            </w:r>
          </w:p>
        </w:tc>
        <w:tc>
          <w:tcPr>
            <w:tcW w:type="dxa" w:w="1304"/>
          </w:tcPr>
          <w:p>
            <w:pPr>
              <w:spacing w:after="0" w:line="252" w:lineRule="auto"/>
            </w:pPr>
            <w:r>
              <w:rPr>
                <w:sz w:val="15"/>
              </w:rPr>
              <w:t>4.2, 4.4, 4.6</w:t>
            </w:r>
          </w:p>
        </w:tc>
        <w:tc>
          <w:tcPr>
            <w:tcW w:type="dxa" w:w="850"/>
          </w:tcPr>
          <w:p>
            <w:pPr>
              <w:spacing w:after="0" w:line="252" w:lineRule="auto"/>
            </w:pPr>
            <w:r>
              <w:rPr>
                <w:sz w:val="15"/>
              </w:rPr>
              <w:t>Brütsch (IT), SSI</w:t>
            </w:r>
          </w:p>
        </w:tc>
        <w:tc>
          <w:tcPr>
            <w:tcW w:type="dxa" w:w="624"/>
          </w:tcPr>
          <w:p>
            <w:pPr>
              <w:spacing w:after="0" w:line="252" w:lineRule="auto"/>
            </w:pPr>
            <w:r>
              <w:rPr>
                <w:sz w:val="15"/>
              </w:rPr>
              <w:t>mittel</w:t>
            </w:r>
          </w:p>
        </w:tc>
      </w:tr>
      <w:tr>
        <w:tc>
          <w:tcPr>
            <w:tcW w:type="dxa" w:w="737"/>
          </w:tcPr>
          <w:p>
            <w:pPr>
              <w:spacing w:after="0" w:line="252" w:lineRule="auto"/>
            </w:pPr>
            <w:r>
              <w:rPr>
                <w:sz w:val="15"/>
              </w:rPr>
              <w:t>OP-20</w:t>
            </w:r>
          </w:p>
        </w:tc>
        <w:tc>
          <w:tcPr>
            <w:tcW w:type="dxa" w:w="1701"/>
          </w:tcPr>
          <w:p>
            <w:pPr>
              <w:spacing w:after="0" w:line="252" w:lineRule="auto"/>
            </w:pPr>
            <w:r>
              <w:rPr>
                <w:sz w:val="15"/>
              </w:rPr>
              <w:t>Platzfindung nach Höhe/Platzbedarf</w:t>
            </w:r>
          </w:p>
        </w:tc>
        <w:tc>
          <w:tcPr>
            <w:tcW w:type="dxa" w:w="4309"/>
          </w:tcPr>
          <w:p>
            <w:pPr>
              <w:spacing w:after="0" w:line="252" w:lineRule="auto"/>
            </w:pPr>
            <w:r>
              <w:rPr>
                <w:sz w:val="15"/>
              </w:rPr>
              <w:t>Prüft die externe Strategie die Platzhöhe? Sind Artikelabmessungen in Abacus gepflegt?</w:t>
            </w:r>
          </w:p>
        </w:tc>
        <w:tc>
          <w:tcPr>
            <w:tcW w:type="dxa" w:w="1304"/>
          </w:tcPr>
          <w:p>
            <w:pPr>
              <w:spacing w:after="0" w:line="252" w:lineRule="auto"/>
            </w:pPr>
            <w:r>
              <w:rPr>
                <w:sz w:val="15"/>
              </w:rPr>
              <w:t>3.5; Prüfpunkt 5</w:t>
            </w:r>
          </w:p>
        </w:tc>
        <w:tc>
          <w:tcPr>
            <w:tcW w:type="dxa" w:w="850"/>
          </w:tcPr>
          <w:p>
            <w:pPr>
              <w:spacing w:after="0" w:line="252" w:lineRule="auto"/>
            </w:pPr>
            <w:r>
              <w:rPr>
                <w:sz w:val="15"/>
              </w:rPr>
              <w:t>SSI, Brütsch</w:t>
            </w:r>
          </w:p>
        </w:tc>
        <w:tc>
          <w:tcPr>
            <w:tcW w:type="dxa" w:w="624"/>
          </w:tcPr>
          <w:p>
            <w:pPr>
              <w:spacing w:after="0" w:line="252" w:lineRule="auto"/>
            </w:pPr>
            <w:r>
              <w:rPr>
                <w:sz w:val="15"/>
              </w:rPr>
              <w:t>mittel</w:t>
            </w:r>
          </w:p>
        </w:tc>
      </w:tr>
      <w:tr>
        <w:tc>
          <w:tcPr>
            <w:tcW w:type="dxa" w:w="737"/>
          </w:tcPr>
          <w:p>
            <w:pPr>
              <w:spacing w:after="0" w:line="252" w:lineRule="auto"/>
            </w:pPr>
            <w:r>
              <w:rPr>
                <w:sz w:val="15"/>
              </w:rPr>
              <w:t>OP-21</w:t>
            </w:r>
          </w:p>
        </w:tc>
        <w:tc>
          <w:tcPr>
            <w:tcW w:type="dxa" w:w="1701"/>
          </w:tcPr>
          <w:p>
            <w:pPr>
              <w:spacing w:after="0" w:line="252" w:lineRule="auto"/>
            </w:pPr>
            <w:r>
              <w:rPr>
                <w:sz w:val="15"/>
              </w:rPr>
              <w:t>Inkonsistenzen im Lastenheft</w:t>
            </w:r>
          </w:p>
        </w:tc>
        <w:tc>
          <w:tcPr>
            <w:tcW w:type="dxa" w:w="4309"/>
          </w:tcPr>
          <w:p>
            <w:pPr>
              <w:spacing w:after="0" w:line="252" w:lineRule="auto"/>
            </w:pPr>
            <w:r>
              <w:rPr>
                <w:sz w:val="15"/>
              </w:rPr>
              <w:t>«1..1»; 2.2 vs. 2.7/2.8; WAM-Sperrlager vs. WAM-REP; 4.15 als Wunsch trotz «soll»; 3.34 (Muss) abhängig von 3.33 (Wunsch)</w:t>
            </w:r>
          </w:p>
        </w:tc>
        <w:tc>
          <w:tcPr>
            <w:tcW w:type="dxa" w:w="1304"/>
          </w:tcPr>
          <w:p>
            <w:pPr>
              <w:spacing w:after="0" w:line="252" w:lineRule="auto"/>
            </w:pPr>
            <w:r>
              <w:rPr>
                <w:sz w:val="15"/>
              </w:rPr>
              <w:t>1.1, 2.2, 3.34, 4.15</w:t>
            </w:r>
          </w:p>
        </w:tc>
        <w:tc>
          <w:tcPr>
            <w:tcW w:type="dxa" w:w="850"/>
          </w:tcPr>
          <w:p>
            <w:pPr>
              <w:spacing w:after="0" w:line="252" w:lineRule="auto"/>
            </w:pPr>
            <w:r>
              <w:rPr>
                <w:sz w:val="15"/>
              </w:rPr>
              <w:t>Brütsch (LOG)</w:t>
            </w:r>
          </w:p>
        </w:tc>
        <w:tc>
          <w:tcPr>
            <w:tcW w:type="dxa" w:w="624"/>
          </w:tcPr>
          <w:p>
            <w:pPr>
              <w:spacing w:after="0" w:line="252" w:lineRule="auto"/>
            </w:pPr>
            <w:r>
              <w:rPr>
                <w:sz w:val="15"/>
              </w:rPr>
              <w:t>niedrig</w:t>
            </w:r>
          </w:p>
        </w:tc>
      </w:tr>
    </w:tbl>
    <w:p>
      <w:pPr>
        <w:pStyle w:val="BeschriftungSSI"/>
      </w:pPr>
      <w:r>
        <w:t>Tab. 12: Offene Punkte</w:t>
      </w:r>
    </w:p>
    <w:p>
      <w:pPr>
        <w:pStyle w:val="Heading1"/>
      </w:pPr>
      <w:r>
        <w:t>16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34"/>
        <w:gridCol w:w="8391"/>
      </w:tblGrid>
      <w:tr>
        <w:trPr>
          <w:tblHeader w:val="true"/>
        </w:trPr>
        <w:tc>
          <w:tcPr>
            <w:tcW w:type="dxa" w:w="1134"/>
            <w:shd w:val="clear" w:color="auto" w:fill="FEEE19"/>
          </w:tcPr>
          <w:p>
            <w:pPr>
              <w:spacing w:after="0"/>
            </w:pPr>
            <w:r>
              <w:rPr>
                <w:b/>
                <w:sz w:val="17"/>
              </w:rPr>
              <w:t>Kürzel</w:t>
            </w:r>
          </w:p>
        </w:tc>
        <w:tc>
          <w:tcPr>
            <w:tcW w:type="dxa" w:w="8391"/>
            <w:shd w:val="clear" w:color="auto" w:fill="FEEE19"/>
          </w:tcPr>
          <w:p>
            <w:pPr>
              <w:spacing w:after="0"/>
            </w:pPr>
            <w:r>
              <w:rPr>
                <w:b/>
                <w:sz w:val="17"/>
              </w:rPr>
              <w:t>Dokument</w:t>
            </w:r>
          </w:p>
        </w:tc>
      </w:tr>
      <w:tr>
        <w:tc>
          <w:tcPr>
            <w:tcW w:type="dxa" w:w="1134"/>
          </w:tcPr>
          <w:p>
            <w:pPr>
              <w:spacing w:after="0" w:line="252" w:lineRule="auto"/>
            </w:pPr>
            <w:r>
              <w:rPr>
                <w:sz w:val="17"/>
              </w:rPr>
              <w:t>LH</w:t>
            </w:r>
          </w:p>
        </w:tc>
        <w:tc>
          <w:tcPr>
            <w:tcW w:type="dxa" w:w="8391"/>
          </w:tcPr>
          <w:p>
            <w:pPr>
              <w:spacing w:after="0" w:line="252" w:lineRule="auto"/>
            </w:pPr>
            <w:r>
              <w:rPr>
                <w:sz w:val="17"/>
              </w:rPr>
              <w:t>Brütsch Technology AG: 3796/0001 «Lastenheft WAMAS LVS», Vorlage 9000\2141A, 21 Seiten, Prüfungen 18.09.–01.10.2026, Kap. 2–4</w:t>
            </w:r>
          </w:p>
        </w:tc>
      </w:tr>
      <w:tr>
        <w:tc>
          <w:tcPr>
            <w:tcW w:type="dxa" w:w="1134"/>
          </w:tcPr>
          <w:p>
            <w:pPr>
              <w:spacing w:after="0" w:line="252" w:lineRule="auto"/>
            </w:pPr>
            <w:r>
              <w:rPr>
                <w:sz w:val="17"/>
              </w:rPr>
              <w:t>LS-XLS</w:t>
            </w:r>
          </w:p>
        </w:tc>
        <w:tc>
          <w:tcPr>
            <w:tcW w:type="dxa" w:w="8391"/>
          </w:tcPr>
          <w:p>
            <w:pPr>
              <w:spacing w:after="0" w:line="252" w:lineRule="auto"/>
            </w:pPr>
            <w:r>
              <w:rPr>
                <w:sz w:val="17"/>
              </w:rPr>
              <w:t>Brütsch Technology AG: Projekt 3796 – WAMAS LVS, Lagerstruktur (Excel), Blätter «00 Übersicht», «01 Lagerlayout», «02 Lagerplatzliste», «03 Prüfpunkte SSI»</w:t>
            </w:r>
          </w:p>
        </w:tc>
      </w:tr>
      <w:tr>
        <w:tc>
          <w:tcPr>
            <w:tcW w:type="dxa" w:w="1134"/>
          </w:tcPr>
          <w:p>
            <w:pPr>
              <w:spacing w:after="0" w:line="252" w:lineRule="auto"/>
            </w:pPr>
            <w:r>
              <w:rPr>
                <w:sz w:val="17"/>
              </w:rPr>
              <w:t>AH 2.7</w:t>
            </w:r>
          </w:p>
        </w:tc>
        <w:tc>
          <w:tcPr>
            <w:tcW w:type="dxa" w:w="8391"/>
          </w:tcPr>
          <w:p>
            <w:pPr>
              <w:spacing w:after="0" w:line="252" w:lineRule="auto"/>
            </w:pPr>
            <w:r>
              <w:rPr>
                <w:sz w:val="17"/>
              </w:rPr>
              <w:t>SSI SCHÄFER: WAMAS Lift &amp; Store 2.7 Administratorhandbuch (de), Kap. 3.1.10–3.1.17, 3.2.4, 3.3, 3.4.2, 3.5.1, 3.5.5, 3.6.1, 3.6.3.7, 3.6.10</w:t>
            </w:r>
          </w:p>
        </w:tc>
      </w:tr>
      <w:tr>
        <w:tc>
          <w:tcPr>
            <w:tcW w:type="dxa" w:w="1134"/>
          </w:tcPr>
          <w:p>
            <w:pPr>
              <w:spacing w:after="0" w:line="252" w:lineRule="auto"/>
            </w:pPr>
            <w:r>
              <w:rPr>
                <w:sz w:val="17"/>
              </w:rPr>
              <w:t>BH 2.7</w:t>
            </w:r>
          </w:p>
        </w:tc>
        <w:tc>
          <w:tcPr>
            <w:tcW w:type="dxa" w:w="8391"/>
          </w:tcPr>
          <w:p>
            <w:pPr>
              <w:spacing w:after="0" w:line="252" w:lineRule="auto"/>
            </w:pPr>
            <w:r>
              <w:rPr>
                <w:sz w:val="17"/>
              </w:rPr>
              <w:t>SSI SCHÄFER: WAMAS Lift &amp; Store 2.7 Benutzerhandbuch (de), Kap. 4.1, 6.3, 6.8</w:t>
            </w:r>
          </w:p>
        </w:tc>
      </w:tr>
      <w:tr>
        <w:tc>
          <w:tcPr>
            <w:tcW w:type="dxa" w:w="1134"/>
          </w:tcPr>
          <w:p>
            <w:pPr>
              <w:spacing w:after="0" w:line="252" w:lineRule="auto"/>
            </w:pPr>
            <w:r>
              <w:rPr>
                <w:sz w:val="17"/>
              </w:rPr>
              <w:t>AM 2.8</w:t>
            </w:r>
          </w:p>
        </w:tc>
        <w:tc>
          <w:tcPr>
            <w:tcW w:type="dxa" w:w="8391"/>
          </w:tcPr>
          <w:p>
            <w:pPr>
              <w:spacing w:after="0" w:line="252" w:lineRule="auto"/>
            </w:pPr>
            <w:r>
              <w:rPr>
                <w:sz w:val="17"/>
              </w:rPr>
              <w:t>SSI SCHÄFER: WAMAS Lift &amp; Store 2.8 Administrator Manual V01.0 (en), Kap. 3.1.11, 3.1.18, 3.3.8.3, 3.6.1, 3.6.1.9, 3.8.1.4</w:t>
            </w:r>
          </w:p>
        </w:tc>
      </w:tr>
      <w:tr>
        <w:tc>
          <w:tcPr>
            <w:tcW w:type="dxa" w:w="1134"/>
          </w:tcPr>
          <w:p>
            <w:pPr>
              <w:spacing w:after="0" w:line="252" w:lineRule="auto"/>
            </w:pPr>
            <w:r>
              <w:rPr>
                <w:sz w:val="17"/>
              </w:rPr>
              <w:t>UM 2.8</w:t>
            </w:r>
          </w:p>
        </w:tc>
        <w:tc>
          <w:tcPr>
            <w:tcW w:type="dxa" w:w="8391"/>
          </w:tcPr>
          <w:p>
            <w:pPr>
              <w:spacing w:after="0" w:line="252" w:lineRule="auto"/>
            </w:pPr>
            <w:r>
              <w:rPr>
                <w:sz w:val="17"/>
              </w:rPr>
              <w:t>SSI SCHÄFER: WAMAS Lift &amp; Store 2.8 User Manual V01.0 (en), Kap. 2.1.2, 5.5, 6.3, 6.4.7</w:t>
            </w:r>
          </w:p>
        </w:tc>
      </w:tr>
      <w:tr>
        <w:tc>
          <w:tcPr>
            <w:tcW w:type="dxa" w:w="1134"/>
          </w:tcPr>
          <w:p>
            <w:pPr>
              <w:spacing w:after="0" w:line="252" w:lineRule="auto"/>
            </w:pPr>
            <w:r>
              <w:rPr>
                <w:sz w:val="17"/>
              </w:rPr>
              <w:t>IM 2.8</w:t>
            </w:r>
          </w:p>
        </w:tc>
        <w:tc>
          <w:tcPr>
            <w:tcW w:type="dxa" w:w="8391"/>
          </w:tcPr>
          <w:p>
            <w:pPr>
              <w:spacing w:after="0" w:line="252" w:lineRule="auto"/>
            </w:pPr>
            <w:r>
              <w:rPr>
                <w:sz w:val="17"/>
              </w:rPr>
              <w:t>SSI SCHÄFER: Interface Manual WLS–ERP 2.8 V01.0 (en), Kap. 2.1.1.5, 5–11</w:t>
            </w:r>
          </w:p>
        </w:tc>
      </w:tr>
      <w:tr>
        <w:tc>
          <w:tcPr>
            <w:tcW w:type="dxa" w:w="1134"/>
          </w:tcPr>
          <w:p>
            <w:pPr>
              <w:spacing w:after="0" w:line="252" w:lineRule="auto"/>
            </w:pPr>
            <w:r>
              <w:rPr>
                <w:sz w:val="17"/>
              </w:rPr>
              <w:t>HT</w:t>
            </w:r>
          </w:p>
        </w:tc>
        <w:tc>
          <w:tcPr>
            <w:tcW w:type="dxa" w:w="8391"/>
          </w:tcPr>
          <w:p>
            <w:pPr>
              <w:spacing w:after="0" w:line="252" w:lineRule="auto"/>
            </w:pPr>
            <w:r>
              <w:rPr>
                <w:sz w:val="17"/>
              </w:rPr>
              <w:t>SSI SCHÄFER (intern): How-to «Externe Lagerprozesse» und «Einlager-, Auslager- und Kommissionierstrategien» (WAMAS LS 2.7, mit Abgleich 2.8)</w:t>
            </w:r>
          </w:p>
        </w:tc>
      </w:tr>
    </w:tbl>
    <w:p>
      <w:pPr>
        <w:pStyle w:val="BeschriftungSSI"/>
      </w:pPr>
      <w:r>
        <w:t>Tab. 13: Quellen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 zu den Quellen</w:t>
            </w:r>
          </w:p>
          <w:p>
            <w:pPr>
              <w:spacing w:after="40"/>
            </w:pPr>
            <w:r>
              <w:rPr>
                <w:sz w:val="19"/>
              </w:rPr>
              <w:t>Die Handbuchangaben beziehen sich auf die genannten Versionen. Dialognamen und Kapitelnummern können im ausgelieferten Release 2.8 abweichen und sind bei der Konfiguration zu verifizieren.</w:t>
            </w:r>
          </w:p>
        </w:tc>
      </w:tr>
    </w:tbl>
    <w:p>
      <w:pPr>
        <w:spacing w:after="40"/>
      </w:pP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 · Brütsch Technology AG</w:t>
          </w:r>
        </w:p>
        <w:p>
          <w:pPr>
            <w:spacing w:after="0" w:line="240" w:lineRule="auto"/>
          </w:pPr>
          <w:r>
            <w:rPr>
              <w:sz w:val="13"/>
            </w:rPr>
            <w:t>Pflichtenheft WAMAS LVS V 0.1 (Entwurf)</w:t>
          </w:r>
        </w:p>
        <w:p>
          <w:pPr>
            <w:spacing w:after="0" w:line="240" w:lineRule="auto"/>
          </w:pPr>
          <w:r>
            <w:rPr>
              <w:sz w:val="13"/>
            </w:rPr>
            <w:t>Vertraulich – nicht freigegeben</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Pflichtenheft (Entwurf)</w:t>
    </w:r>
  </w:p>
  <w:p>
    <w:pPr>
      <w:jc w:val="right"/>
      <w:pBdr>
        <w:bottom w:val="single" w:sz="4" w:space="4" w:color="000000"/>
      </w:pBdr>
    </w:pPr>
    <w:r>
      <w:rPr>
        <w:b/>
        <w:sz w:val="22"/>
      </w:rPr>
      <w:t>Pflichtenheft WAMAS LVS – Projekt 3796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Pflichtenheft WAMAS LVS</dc:title>
  <dc:subject>Projekt 3796 · Manuelle Lagerverwaltung Hauptlager mit WAMAS</dc:subject>
  <dc:creator>Marek,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de-CH</dc:language>
</cp:coreProperties>
</file>