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Administratoranleitung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Administratoranleitung WAMAS Lift &amp; Store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Stumatec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Aufgaben der Key-User im Desktop-Client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Stumatec · Schulung 26.10.2026 · SSI SCHÄFER</w:t>
            </w:r>
          </w:p>
        </w:tc>
      </w:tr>
    </w:tbl>
    <w:p>
      <w:pPr>
        <w:spacing w:before="6520"/>
      </w:pPr>
      <w:r>
        <w:rPr>
          <w:sz w:val="18"/>
        </w:rPr>
        <w:t>V 1.0  ·  26.10.2026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2"/>
        <w:tabs>
          <w:tab w:pos="9524" w:val="right" w:leader="dot"/>
        </w:tabs>
      </w:pPr>
      <w:r>
        <w:t>1.1 Zweck</w:t>
        <w:tab/>
        <w:t>3</w:t>
      </w:r>
    </w:p>
    <w:p>
      <w:pPr>
        <w:pStyle w:val="TOC2"/>
        <w:tabs>
          <w:tab w:pos="9524" w:val="right" w:leader="dot"/>
        </w:tabs>
      </w:pPr>
      <w:r>
        <w:t>1.2 Kennzeichnungen</w:t>
        <w:tab/>
        <w:t>3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3</w:t>
      </w:r>
    </w:p>
    <w:p>
      <w:pPr>
        <w:pStyle w:val="TOC1"/>
        <w:tabs>
          <w:tab w:pos="9524" w:val="right" w:leader="dot"/>
        </w:tabs>
      </w:pPr>
      <w:r>
        <w:t>2 Grundregeln für Administratoren</w:t>
        <w:tab/>
        <w:t>4</w:t>
      </w:r>
    </w:p>
    <w:p>
      <w:pPr>
        <w:pStyle w:val="TOC1"/>
        <w:tabs>
          <w:tab w:pos="9524" w:val="right" w:leader="dot"/>
        </w:tabs>
      </w:pPr>
      <w:r>
        <w:t>3 Desktop-Client: Bedienung</w:t>
        <w:tab/>
        <w:t>5</w:t>
      </w:r>
    </w:p>
    <w:p>
      <w:pPr>
        <w:pStyle w:val="TOC1"/>
        <w:tabs>
          <w:tab w:pos="9524" w:val="right" w:leader="dot"/>
        </w:tabs>
      </w:pPr>
      <w:r>
        <w:t>4 Benutzer und Rechte</w:t>
        <w:tab/>
        <w:t>6</w:t>
      </w:r>
    </w:p>
    <w:p>
      <w:pPr>
        <w:pStyle w:val="TOC2"/>
        <w:tabs>
          <w:tab w:pos="9524" w:val="right" w:leader="dot"/>
        </w:tabs>
      </w:pPr>
      <w:r>
        <w:t>4.1 Aufbau</w:t>
        <w:tab/>
        <w:t>6</w:t>
      </w:r>
    </w:p>
    <w:p>
      <w:pPr>
        <w:pStyle w:val="TOC2"/>
        <w:tabs>
          <w:tab w:pos="9524" w:val="right" w:leader="dot"/>
        </w:tabs>
      </w:pPr>
      <w:r>
        <w:t>4.2 Profile im SSI-Testsystem</w:t>
        <w:tab/>
        <w:t>6</w:t>
      </w:r>
    </w:p>
    <w:p>
      <w:pPr>
        <w:pStyle w:val="TOC2"/>
        <w:tabs>
          <w:tab w:pos="9524" w:val="right" w:leader="dot"/>
        </w:tabs>
      </w:pPr>
      <w:r>
        <w:t>4.3 Neuen Benutzer anlegen</w:t>
        <w:tab/>
        <w:t>6</w:t>
      </w:r>
    </w:p>
    <w:p>
      <w:pPr>
        <w:pStyle w:val="TOC1"/>
        <w:tabs>
          <w:tab w:pos="9524" w:val="right" w:leader="dot"/>
        </w:tabs>
      </w:pPr>
      <w:r>
        <w:t>5 Artikelstamm</w:t>
        <w:tab/>
        <w:t>8</w:t>
      </w:r>
    </w:p>
    <w:p>
      <w:pPr>
        <w:pStyle w:val="TOC2"/>
        <w:tabs>
          <w:tab w:pos="9524" w:val="right" w:leader="dot"/>
        </w:tabs>
      </w:pPr>
      <w:r>
        <w:t>5.1 Artikel suchen und ansehen</w:t>
        <w:tab/>
        <w:t>8</w:t>
      </w:r>
    </w:p>
    <w:p>
      <w:pPr>
        <w:pStyle w:val="TOC2"/>
        <w:tabs>
          <w:tab w:pos="9524" w:val="right" w:leader="dot"/>
        </w:tabs>
      </w:pPr>
      <w:r>
        <w:t>5.2 Artikel einzeln anlegen (empfohlen: vereinfacht)</w:t>
        <w:tab/>
        <w:t>8</w:t>
      </w:r>
    </w:p>
    <w:p>
      <w:pPr>
        <w:pStyle w:val="TOC2"/>
        <w:tabs>
          <w:tab w:pos="9524" w:val="right" w:leader="dot"/>
        </w:tabs>
      </w:pPr>
      <w:r>
        <w:t>5.3 Viele Artikel</w:t>
        <w:tab/>
        <w:t>8</w:t>
      </w:r>
    </w:p>
    <w:p>
      <w:pPr>
        <w:pStyle w:val="TOC1"/>
        <w:tabs>
          <w:tab w:pos="9524" w:val="right" w:leader="dot"/>
        </w:tabs>
      </w:pPr>
      <w:r>
        <w:t>6 Einheiten (Klient pflegen, MD017)</w:t>
        <w:tab/>
        <w:t>9</w:t>
      </w:r>
    </w:p>
    <w:p>
      <w:pPr>
        <w:pStyle w:val="TOC1"/>
        <w:tabs>
          <w:tab w:pos="9524" w:val="right" w:leader="dot"/>
        </w:tabs>
      </w:pPr>
      <w:r>
        <w:t>7 Warengruppen</w:t>
        <w:tab/>
        <w:t>10</w:t>
      </w:r>
    </w:p>
    <w:p>
      <w:pPr>
        <w:pStyle w:val="TOC1"/>
        <w:tabs>
          <w:tab w:pos="9524" w:val="right" w:leader="dot"/>
        </w:tabs>
      </w:pPr>
      <w:r>
        <w:t>8 Boxtypen und Tablarvorlagen</w:t>
        <w:tab/>
        <w:t>11</w:t>
      </w:r>
    </w:p>
    <w:p>
      <w:pPr>
        <w:pStyle w:val="TOC2"/>
        <w:tabs>
          <w:tab w:pos="9524" w:val="right" w:leader="dot"/>
        </w:tabs>
      </w:pPr>
      <w:r>
        <w:t>8.1 Was wo gepflegt wird</w:t>
        <w:tab/>
        <w:t>11</w:t>
      </w:r>
    </w:p>
    <w:p>
      <w:pPr>
        <w:pStyle w:val="TOC1"/>
        <w:tabs>
          <w:tab w:pos="9524" w:val="right" w:leader="dot"/>
        </w:tabs>
      </w:pPr>
      <w:r>
        <w:t>9 Import-Profile und Artikelimport (LM161 / LM163)</w:t>
        <w:tab/>
        <w:t>12</w:t>
      </w:r>
    </w:p>
    <w:p>
      <w:pPr>
        <w:pStyle w:val="TOC2"/>
        <w:tabs>
          <w:tab w:pos="9524" w:val="right" w:leader="dot"/>
        </w:tabs>
      </w:pPr>
      <w:r>
        <w:t>9.1 Überblick</w:t>
        <w:tab/>
        <w:t>12</w:t>
      </w:r>
    </w:p>
    <w:p>
      <w:pPr>
        <w:pStyle w:val="TOC2"/>
        <w:tabs>
          <w:tab w:pos="9524" w:val="right" w:leader="dot"/>
        </w:tabs>
      </w:pPr>
      <w:r>
        <w:t>9.2 Profil EXCEL_ITEM_V5</w:t>
        <w:tab/>
        <w:t>12</w:t>
      </w:r>
    </w:p>
    <w:p>
      <w:pPr>
        <w:pStyle w:val="TOC1"/>
        <w:tabs>
          <w:tab w:pos="9524" w:val="right" w:leader="dot"/>
        </w:tabs>
      </w:pPr>
      <w:r>
        <w:t>10 Zugriffsöffnung und Touch-Terminal</w:t>
        <w:tab/>
        <w:t>14</w:t>
      </w:r>
    </w:p>
    <w:p>
      <w:pPr>
        <w:pStyle w:val="TOC1"/>
        <w:tabs>
          <w:tab w:pos="9524" w:val="right" w:leader="dot"/>
        </w:tabs>
      </w:pPr>
      <w:r>
        <w:t>11 Kontrolle, Protokolle und Logs</w:t>
        <w:tab/>
        <w:t>15</w:t>
      </w:r>
    </w:p>
    <w:p>
      <w:pPr>
        <w:pStyle w:val="TOC1"/>
        <w:tabs>
          <w:tab w:pos="9524" w:val="right" w:leader="dot"/>
        </w:tabs>
      </w:pPr>
      <w:r>
        <w:t>12 Druckdokumente</w:t>
        <w:tab/>
        <w:t>16</w:t>
      </w:r>
    </w:p>
    <w:p>
      <w:pPr>
        <w:pStyle w:val="TOC1"/>
        <w:tabs>
          <w:tab w:pos="9524" w:val="right" w:leader="dot"/>
        </w:tabs>
      </w:pPr>
      <w:r>
        <w:t>13 Datensicherung und Ansprechpartner</w:t>
        <w:tab/>
        <w:t>17</w:t>
      </w:r>
    </w:p>
    <w:p>
      <w:pPr>
        <w:pStyle w:val="TOC2"/>
        <w:tabs>
          <w:tab w:pos="9524" w:val="right" w:leader="dot"/>
        </w:tabs>
      </w:pPr>
      <w:r>
        <w:t>13.1 Datensicherung</w:t>
        <w:tab/>
        <w:t>17</w:t>
      </w:r>
    </w:p>
    <w:p>
      <w:pPr>
        <w:pStyle w:val="TOC2"/>
        <w:tabs>
          <w:tab w:pos="9524" w:val="right" w:leader="dot"/>
        </w:tabs>
      </w:pPr>
      <w:r>
        <w:t>13.2 Ansprechpartner</w:t>
        <w:tab/>
        <w:t>17</w:t>
      </w:r>
    </w:p>
    <w:p>
      <w:pPr>
        <w:pStyle w:val="TOC1"/>
        <w:tabs>
          <w:tab w:pos="9524" w:val="right" w:leader="dot"/>
        </w:tabs>
      </w:pPr>
      <w:r>
        <w:t>14 Klient, Partner und Wareneigentümer</w:t>
        <w:tab/>
        <w:t>18</w:t>
      </w:r>
    </w:p>
    <w:p>
      <w:pPr>
        <w:pStyle w:val="TOC1"/>
        <w:tabs>
          <w:tab w:pos="9524" w:val="right" w:leader="dot"/>
        </w:tabs>
      </w:pPr>
      <w:r>
        <w:t>15 Stolperfallen</w:t>
        <w:tab/>
        <w:t>19</w:t>
      </w:r>
    </w:p>
    <w:p>
      <w:pPr>
        <w:pStyle w:val="TOC1"/>
        <w:tabs>
          <w:tab w:pos="9524" w:val="right" w:leader="dot"/>
        </w:tabs>
      </w:pPr>
      <w:r>
        <w:t>16 Praxisbeispiele</w:t>
        <w:tab/>
        <w:t>20</w:t>
      </w:r>
    </w:p>
    <w:p>
      <w:pPr>
        <w:pStyle w:val="TOC2"/>
        <w:tabs>
          <w:tab w:pos="9524" w:val="right" w:leader="dot"/>
        </w:tabs>
      </w:pPr>
      <w:r>
        <w:t>16.1 Neuer Bediener</w:t>
        <w:tab/>
        <w:t>20</w:t>
      </w:r>
    </w:p>
    <w:p>
      <w:pPr>
        <w:pStyle w:val="TOC2"/>
        <w:tabs>
          <w:tab w:pos="9524" w:val="right" w:leader="dot"/>
        </w:tabs>
      </w:pPr>
      <w:r>
        <w:t>16.2 Artikelimport erste Datei</w:t>
        <w:tab/>
        <w:t>20</w:t>
      </w:r>
    </w:p>
    <w:p>
      <w:pPr>
        <w:pStyle w:val="TOC1"/>
        <w:tabs>
          <w:tab w:pos="9524" w:val="right" w:leader="dot"/>
        </w:tabs>
      </w:pPr>
      <w:r>
        <w:t>17 Offene Punkte</w:t>
        <w:tab/>
        <w:t>21</w:t>
      </w:r>
    </w:p>
    <w:p>
      <w:pPr>
        <w:pStyle w:val="TOC1"/>
        <w:tabs>
          <w:tab w:pos="9524" w:val="right" w:leader="dot"/>
        </w:tabs>
      </w:pPr>
      <w:r>
        <w:t>18 Quellenverzeichnis</w:t>
        <w:tab/>
        <w:t>22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 Anleitung ist für die </w:t>
      </w:r>
      <w:r>
        <w:rPr>
          <w:b/>
        </w:rPr>
        <w:t>Key-User</w:t>
      </w:r>
      <w:r>
        <w:t xml:space="preserve"> der Stumatec. Sie beschreibt die Aufgaben im </w:t>
      </w:r>
      <w:r>
        <w:rPr>
          <w:b/>
        </w:rPr>
        <w:t>Desktop-Client</w:t>
      </w:r>
      <w:r>
        <w:t xml:space="preserve"> (Admin-Client) von WAMAS Lift &amp; Store 2.8: Benutzer, Artikelstamm, Einheiten, Boxtypen, Importe, Druck, Kontrolle und Datensicherung.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Klient und Wareneigentümer noch offen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Wie die zwei Wareneigentümer bzw. getrennten Lager der Stumatec abgebildet werden (mehrere Klienten oder ein Klient mit Wareneigentümern), ist </w:t>
            </w:r>
            <w:r>
              <w:rPr>
                <w:b/>
                <w:sz w:val="19"/>
              </w:rPr>
              <w:t>noch nicht entschieden</w:t>
            </w:r>
            <w:r>
              <w:rPr>
                <w:sz w:val="19"/>
              </w:rPr>
              <w:t xml:space="preserve"> (Dokument 12, </w:t>
            </w:r>
            <w:r>
              <w:rPr>
                <w:b/>
                <w:sz w:val="19"/>
              </w:rPr>
              <w:t>Entscheidungsgrundlage</w:t>
            </w:r>
            <w:r>
              <w:rPr>
                <w:sz w:val="19"/>
              </w:rPr>
              <w:t xml:space="preserve">). Davon hängen Klient, Mengeneinheiten, Warengruppen und Importwerte ab. Bis zum Entscheid keine neuen Klienten oder Partner anlegen. Werte, die vom Entscheid abhängen, sind mit </w:t>
            </w:r>
            <w:r>
              <w:rPr>
                <w:b/>
                <w:sz w:val="19"/>
              </w:rPr>
              <w:t>[auszufüllen]</w:t>
            </w:r>
            <w:r>
              <w:rPr>
                <w:sz w:val="19"/>
              </w:rPr>
              <w:t xml:space="preserve"> markiert.</w:t>
            </w:r>
          </w:p>
        </w:tc>
      </w:tr>
    </w:tbl>
    <w:p>
      <w:pPr>
        <w:spacing w:after="40"/>
      </w:pPr>
    </w:p>
    <w:p>
      <w:pPr>
        <w:pStyle w:val="Heading2"/>
      </w:pPr>
      <w:r>
        <w:t>1.2 Kennzeichnungen</w:t>
      </w:r>
    </w:p>
    <w:p>
      <w:pPr>
        <w:pStyle w:val="ListBullet"/>
      </w:pPr>
      <w:r>
        <w:rPr>
          <w:b/>
        </w:rPr>
        <w:t>Bildschirmname</w:t>
      </w:r>
      <w:r>
        <w:t xml:space="preserve"> (Dialognummer), z. B. </w:t>
      </w:r>
      <w:r>
        <w:rPr>
          <w:b/>
        </w:rPr>
        <w:t>Übersicht Artikel</w:t>
      </w:r>
      <w:r>
        <w:t xml:space="preserve"> (MD001).</w:t>
      </w:r>
    </w:p>
    <w:p>
      <w:pPr>
        <w:pStyle w:val="ListBullet"/>
      </w:pPr>
      <w:r>
        <w:rPr>
          <w:b/>
        </w:rPr>
        <w:t>[vor Ort prüfen]</w:t>
      </w:r>
      <w:r>
        <w:t xml:space="preserve">: im Testsystem bzw. Handbuch belegt, auf dem System der Stumatec noch zu bestätigen. </w:t>
      </w:r>
      <w:r>
        <w:rPr>
          <w:b/>
        </w:rPr>
        <w:t>[auszufüllen]</w:t>
      </w:r>
      <w:r>
        <w:t>: Stumatec-Angabe fehlt noch.</w:t>
      </w:r>
    </w:p>
    <w:p>
      <w:pPr>
        <w:pStyle w:val="ListBullet"/>
      </w:pPr>
      <w:r>
        <w:t>Graue Kästen „Vor Ort prüfen“ bzw. „In den Unterlagen nicht beschrieben“: Lücke, die bei der Einführung geklärt wird.</w:t>
      </w:r>
    </w:p>
    <w:p>
      <w:pPr>
        <w:pStyle w:val="ListBullet"/>
      </w:pPr>
      <w:r>
        <w:t>Bildschirmfotos: SSI-Testsystem srv01 (WAMAS LS 2.8). Daten und Artikel sind Testdaten.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Administratoranleitung WAMAS Lift &amp; Store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Key-User und Administratoren der Stumatec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SSI-Mustervorlage Administratoranleitung (Oktober 2026), How-to Klient pflegen 2.8 V 1.2, Druckdokumente 2.8 V 1.1, Log-Analyse-Leitfaden 2.8 V 1.0, Live-Tests SSI-Testsystem srv01 (17.–23.10.2026), Administrator Manual 2.8 (enUS)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32"/>
        <w:gridCol w:w="1247"/>
        <w:gridCol w:w="7345"/>
      </w:tblGrid>
      <w:tr>
        <w:trPr>
          <w:tblHeader w:val="true"/>
          <w:cantSplit w:val="true"/>
        </w:trPr>
        <w:tc>
          <w:tcPr>
            <w:tcW w:type="dxa" w:w="9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3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  <w:tc>
          <w:tcPr>
            <w:tcW w:type="dxa" w:w="7345"/>
          </w:tcPr>
          <w:p>
            <w:pPr>
              <w:spacing w:after="0" w:line="252" w:lineRule="auto"/>
            </w:pPr>
            <w:r>
              <w:rPr>
                <w:sz w:val="17"/>
              </w:rPr>
              <w:t>Erste Fassung für die Stumatec, abgeleitet aus der SSI-Mustervorlage Schulungsmappe WAMAS LS 2.8 (Oktober 2026); kundenspezifische Daten der Vorlage entfernt. Neu: Kapitel Klient, Partner und Wareneigentümer, Kapitel Druckdokumente und Logdateien; Einheiten und Warengruppen neutral.</w:t>
            </w:r>
          </w:p>
        </w:tc>
      </w:tr>
    </w:tbl>
    <w:p>
      <w:pPr>
        <w:pStyle w:val="BeschriftungSSI"/>
      </w:pPr>
      <w:r>
        <w:t>Tab. 1: Versionshistorie</w:t>
      </w:r>
    </w:p>
    <w:p>
      <w:pPr>
        <w:pStyle w:val="Heading1"/>
      </w:pPr>
      <w:r>
        <w:t>2 Grundregeln für Administratoren</w:t>
      </w:r>
    </w:p>
    <w:p>
      <w:pPr>
        <w:pStyle w:val="ListBullet"/>
      </w:pPr>
      <w:r>
        <w:rPr>
          <w:b/>
        </w:rPr>
        <w:t>Nur ein WAMAS-Tab</w:t>
      </w:r>
      <w:r>
        <w:t xml:space="preserve"> im Browser. Mehrere Tabs führen zu Session-Timeout und Serverfehlern.</w:t>
      </w:r>
    </w:p>
    <w:p>
      <w:pPr>
        <w:pStyle w:val="ListBullet"/>
      </w:pPr>
      <w:r>
        <w:rPr>
          <w:b/>
        </w:rPr>
        <w:t>Standard-Datensätze nicht ändern</w:t>
      </w:r>
      <w:r>
        <w:t xml:space="preserve"> (z. B. Standard-Boxtypen, Standard-Bedarfstyp </w:t>
      </w:r>
      <w:r>
        <w:rPr>
          <w:rFonts w:ascii="Consolas" w:hAnsi="Consolas" w:cs="Consolas" w:eastAsia="Consolas"/>
          <w:sz w:val="18"/>
        </w:rPr>
        <w:t>SHPG</w:t>
      </w:r>
      <w:r>
        <w:t xml:space="preserve">, Druck-Konfigurationen). Immer eine </w:t>
      </w:r>
      <w:r>
        <w:rPr>
          <w:b/>
        </w:rPr>
        <w:t>Kopie</w:t>
      </w:r>
      <w:r>
        <w:t xml:space="preserve"> anlegen (Rechtsklick </w:t>
      </w:r>
      <w:r>
        <w:rPr>
          <w:b/>
        </w:rPr>
        <w:t>Datensatz duplizieren…</w:t>
      </w:r>
      <w:r>
        <w:t>, FW014) und nur die Kopie ändern.</w:t>
      </w:r>
    </w:p>
    <w:p>
      <w:pPr>
        <w:pStyle w:val="ListBullet"/>
      </w:pPr>
      <w:r>
        <w:t>Jede Änderung an Parametern und Stammdaten mit Datum, altem und neuem Wert notieren.</w:t>
      </w:r>
    </w:p>
    <w:p>
      <w:pPr>
        <w:pStyle w:val="ListBullet"/>
      </w:pPr>
      <w:r>
        <w:t>Keine Zugangsdaten in Dokumente oder E-Mails schreiben.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Nicht drücken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Zuordnung aufheben</w:t>
            </w:r>
            <w:r>
              <w:rPr>
                <w:sz w:val="19"/>
              </w:rPr>
              <w:t xml:space="preserve"> (Öffnung), </w:t>
            </w:r>
            <w:r>
              <w:rPr>
                <w:b/>
                <w:sz w:val="19"/>
              </w:rPr>
              <w:t>Tablarvorgänge stornieren</w:t>
            </w:r>
            <w:r>
              <w:rPr>
                <w:sz w:val="19"/>
              </w:rPr>
              <w:t xml:space="preserve"> (rot, Touch LM002) und </w:t>
            </w:r>
            <w:r>
              <w:rPr>
                <w:b/>
                <w:sz w:val="19"/>
              </w:rPr>
              <w:t>Dokument noch einmal verteilen</w:t>
            </w:r>
            <w:r>
              <w:rPr>
                <w:sz w:val="19"/>
              </w:rPr>
              <w:t xml:space="preserve"> (Berichtsarchiv). Die letzte Funktion verteilt Dokumente erneut über alle Kanäle, auch per E-Mail.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10.1; KH-L Kap. 8.1</w:t>
      </w:r>
    </w:p>
    <w:p>
      <w:pPr>
        <w:pStyle w:val="Heading1"/>
      </w:pPr>
      <w:r>
        <w:t>3 Desktop-Client: Bedienung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51"/>
        <w:gridCol w:w="7574"/>
      </w:tblGrid>
      <w:tr>
        <w:trPr>
          <w:tblHeader w:val="true"/>
          <w:cantSplit w:val="true"/>
        </w:trPr>
        <w:tc>
          <w:tcPr>
            <w:tcW w:type="dxa" w:w="19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757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So geht es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Dialog öffnen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Feld </w:t>
            </w:r>
            <w:r>
              <w:rPr>
                <w:b/>
                <w:sz w:val="17"/>
              </w:rPr>
              <w:t>Dialogsuche</w:t>
            </w:r>
            <w:r>
              <w:rPr>
                <w:sz w:val="17"/>
              </w:rPr>
              <w:t xml:space="preserve"> oben (</w:t>
            </w:r>
            <w:r>
              <w:rPr>
                <w:b/>
                <w:sz w:val="17"/>
              </w:rPr>
              <w:t>STRG+F</w:t>
            </w:r>
            <w:r>
              <w:rPr>
                <w:sz w:val="17"/>
              </w:rPr>
              <w:t xml:space="preserve">): Nummer oder Titel eingeben, führende Nullen weglassen, z. B. </w:t>
            </w:r>
            <w:r>
              <w:rPr>
                <w:rFonts w:ascii="Consolas" w:hAnsi="Consolas" w:cs="Consolas" w:eastAsia="Consolas"/>
                <w:sz w:val="15"/>
              </w:rPr>
              <w:t>md1</w:t>
            </w:r>
            <w:r>
              <w:rPr>
                <w:sz w:val="17"/>
              </w:rPr>
              <w:t xml:space="preserve"> für MD001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Suchen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Bereich </w:t>
            </w: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ausfüllen → </w:t>
            </w: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. Im Suchergebnis öffnet ein </w:t>
            </w:r>
            <w:r>
              <w:rPr>
                <w:b/>
                <w:sz w:val="17"/>
              </w:rPr>
              <w:t>Rechtsklick</w:t>
            </w:r>
            <w:r>
              <w:rPr>
                <w:sz w:val="17"/>
              </w:rPr>
              <w:t xml:space="preserve"> die Folgedialoge (z. B. </w:t>
            </w:r>
            <w:r>
              <w:rPr>
                <w:b/>
                <w:sz w:val="17"/>
              </w:rPr>
              <w:t>Artikel importieren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Speichern / Neu / Löschen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STRG+S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STRG++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STRG+−</w:t>
            </w:r>
            <w:r>
              <w:rPr>
                <w:sz w:val="17"/>
              </w:rPr>
              <w:t xml:space="preserve">, Aktualisieren </w:t>
            </w:r>
            <w:r>
              <w:rPr>
                <w:b/>
                <w:sz w:val="17"/>
              </w:rPr>
              <w:t>F5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Datensatz kopieren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STRG+D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Datensatz duplizieren</w:t>
            </w:r>
            <w:r>
              <w:rPr>
                <w:sz w:val="17"/>
              </w:rPr>
              <w:t xml:space="preserve"> (FW014)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Fehler erkennen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>Eingabefehler: rote Zeile bzw. Symbol im Feld; Hinweis rechts in der Statuszeile (Tooltip)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Änderungen nachverfolgen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Rechtsklick → </w:t>
            </w:r>
            <w:r>
              <w:rPr>
                <w:b/>
                <w:sz w:val="17"/>
              </w:rPr>
              <w:t>Aktivitätsprotokoll anzeigen</w:t>
            </w:r>
            <w:r>
              <w:rPr>
                <w:sz w:val="17"/>
              </w:rPr>
              <w:t xml:space="preserve"> (FW027)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Ergebnis exportieren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>Suchergebnis als HTML, CSV oder Excel</w:t>
            </w:r>
          </w:p>
        </w:tc>
      </w:tr>
    </w:tbl>
    <w:p>
      <w:pPr>
        <w:pStyle w:val="BeschriftungSSI"/>
      </w:pPr>
      <w:r>
        <w:t>Tab. 2: Bedienung Desktop-Client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Eingaben prüfen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 langsamer Verbindung gehen beim Tippen Zeichen verloren und Zahlenfelder bleiben auf 0. Felder vor dem Speichern prüfen und mit </w:t>
            </w:r>
            <w:r>
              <w:rPr>
                <w:b/>
                <w:sz w:val="19"/>
              </w:rPr>
              <w:t>Tab</w:t>
            </w:r>
            <w:r>
              <w:rPr>
                <w:sz w:val="19"/>
              </w:rPr>
              <w:t xml:space="preserve"> verlassen.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1_md001_uebersicht_artikel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Übersicht Artikel (MD001) im Desktop-Client (SSI-Testsystem srv01, WAMAS LS 2.8 (Testdaten))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1, 10.12; BH28 3.2–3.4</w:t>
      </w:r>
    </w:p>
    <w:p>
      <w:pPr>
        <w:pStyle w:val="Heading1"/>
      </w:pPr>
      <w:r>
        <w:t>4 Benutzer und Rechte</w:t>
      </w:r>
    </w:p>
    <w:p>
      <w:pPr>
        <w:pStyle w:val="Heading2"/>
      </w:pPr>
      <w:r>
        <w:t>4.1 Aufbau</w:t>
      </w:r>
    </w:p>
    <w:p>
      <w:r>
        <w:t xml:space="preserve">Ein </w:t>
      </w:r>
      <w:r>
        <w:rPr>
          <w:b/>
        </w:rPr>
        <w:t>Benutzer</w:t>
      </w:r>
      <w:r>
        <w:t xml:space="preserve"> hat ein oder mehrere </w:t>
      </w:r>
      <w:r>
        <w:rPr>
          <w:b/>
        </w:rPr>
        <w:t>Logins</w:t>
      </w:r>
      <w:r>
        <w:t xml:space="preserve"> (Anwendung Desktop, Touch oder Mobile) und eine </w:t>
      </w:r>
      <w:r>
        <w:rPr>
          <w:b/>
        </w:rPr>
        <w:t>Rolle</w:t>
      </w:r>
      <w:r>
        <w:t xml:space="preserve">. Die Rolle enthält </w:t>
      </w:r>
      <w:r>
        <w:rPr>
          <w:b/>
        </w:rPr>
        <w:t>Anwendungsberechtigungsprofile</w:t>
      </w:r>
      <w:r>
        <w:t>, die festlegen, welche Dialoge und Aktionen erlaubt sind.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819"/>
        <w:gridCol w:w="5706"/>
      </w:tblGrid>
      <w:tr>
        <w:trPr>
          <w:tblHeader w:val="true"/>
          <w:cantSplit w:val="true"/>
        </w:trPr>
        <w:tc>
          <w:tcPr>
            <w:tcW w:type="dxa" w:w="381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57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Zweck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Benutzer</w:t>
            </w:r>
            <w:r>
              <w:rPr>
                <w:sz w:val="17"/>
              </w:rPr>
              <w:t xml:space="preserve"> (UM001)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>Benutzer suchen, sperren, Login-Protokoll (UM005)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Benutzer und Logins pflegen</w:t>
            </w:r>
            <w:r>
              <w:rPr>
                <w:sz w:val="17"/>
              </w:rPr>
              <w:t xml:space="preserve"> (UM002)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>Benutzer, Login, Rolle, regionales Profil (Sprache)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Anwendungsberechtigungsprofil pflegen</w:t>
            </w:r>
            <w:r>
              <w:rPr>
                <w:sz w:val="17"/>
              </w:rPr>
              <w:t xml:space="preserve"> (UM004)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>Desktop-, Mobile-, Touch-Zugriff; Registerkarte Import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Benutzersitzungen</w:t>
            </w:r>
            <w:r>
              <w:rPr>
                <w:sz w:val="17"/>
              </w:rPr>
              <w:t xml:space="preserve"> (UM013)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aktive Sitzungen; Rechtsklick </w:t>
            </w:r>
            <w:r>
              <w:rPr>
                <w:b/>
                <w:sz w:val="17"/>
              </w:rPr>
              <w:t>Benutzer abmelden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Audit-Log</w:t>
            </w:r>
            <w:r>
              <w:rPr>
                <w:sz w:val="17"/>
              </w:rPr>
              <w:t xml:space="preserve"> (UM028)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>Änderungen an Profilen, Logins, Sperren</w:t>
            </w:r>
          </w:p>
        </w:tc>
      </w:tr>
    </w:tbl>
    <w:p>
      <w:pPr>
        <w:pStyle w:val="BeschriftungSSI"/>
      </w:pPr>
      <w:r>
        <w:t>Tab. 3: Dialoge Benutzerverwaltung</w:t>
      </w:r>
    </w:p>
    <w:p>
      <w:pPr>
        <w:pStyle w:val="Heading2"/>
      </w:pPr>
      <w:r>
        <w:t>4.2 Profile im SSI-Testsystem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62"/>
        <w:gridCol w:w="6244"/>
        <w:gridCol w:w="1719"/>
      </w:tblGrid>
      <w:tr>
        <w:trPr>
          <w:tblHeader w:val="true"/>
          <w:cantSplit w:val="true"/>
        </w:trPr>
        <w:tc>
          <w:tcPr>
            <w:tcW w:type="dxa" w:w="15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Profil</w:t>
            </w:r>
          </w:p>
        </w:tc>
        <w:tc>
          <w:tcPr>
            <w:tcW w:type="dxa" w:w="62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Wofür</w:t>
            </w:r>
          </w:p>
        </w:tc>
        <w:tc>
          <w:tcPr>
            <w:tcW w:type="dxa" w:w="171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LogiMat Touch</w:t>
            </w:r>
          </w:p>
        </w:tc>
        <w:tc>
          <w:tcPr>
            <w:tcW w:type="dxa" w:w="6243"/>
          </w:tcPr>
          <w:p>
            <w:pPr>
              <w:spacing w:after="0" w:line="252" w:lineRule="auto"/>
            </w:pPr>
            <w:r>
              <w:rPr>
                <w:sz w:val="17"/>
              </w:rPr>
              <w:t>Bediener am Touch-Client (u. a. LM045, LM109)</w:t>
            </w:r>
          </w:p>
        </w:tc>
        <w:tc>
          <w:tcPr>
            <w:tcW w:type="dxa" w:w="1719"/>
          </w:tcPr>
          <w:p>
            <w:pPr>
              <w:spacing w:after="0" w:line="252" w:lineRule="auto"/>
            </w:pPr>
            <w:r>
              <w:rPr>
                <w:sz w:val="17"/>
              </w:rPr>
              <w:t>live srv01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LogiMat Admin</w:t>
            </w:r>
          </w:p>
        </w:tc>
        <w:tc>
          <w:tcPr>
            <w:tcW w:type="dxa" w:w="6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Administration LOGIMAT, </w:t>
            </w:r>
            <w:r>
              <w:rPr>
                <w:b/>
                <w:sz w:val="17"/>
              </w:rPr>
              <w:t>einziges</w:t>
            </w:r>
            <w:r>
              <w:rPr>
                <w:sz w:val="17"/>
              </w:rPr>
              <w:t xml:space="preserve"> Profil mit Recht auf LM160, LM161, LM163, LM165, LM166 (u. a. Import-Profile und Artikelimport)</w:t>
            </w:r>
          </w:p>
        </w:tc>
        <w:tc>
          <w:tcPr>
            <w:tcW w:type="dxa" w:w="1719"/>
          </w:tcPr>
          <w:p>
            <w:pPr>
              <w:spacing w:after="0" w:line="252" w:lineRule="auto"/>
            </w:pPr>
            <w:r>
              <w:rPr>
                <w:sz w:val="17"/>
              </w:rPr>
              <w:t>live srv01 (Dialogrechte)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Administrator</w:t>
            </w:r>
          </w:p>
        </w:tc>
        <w:tc>
          <w:tcPr>
            <w:tcW w:type="dxa" w:w="6243"/>
          </w:tcPr>
          <w:p>
            <w:pPr>
              <w:spacing w:after="0" w:line="252" w:lineRule="auto"/>
            </w:pPr>
            <w:r>
              <w:rPr>
                <w:sz w:val="17"/>
              </w:rPr>
              <w:t>Desktop unbeschränkt, u. a. Daten exportieren/importieren (SE029/SE030)</w:t>
            </w:r>
          </w:p>
        </w:tc>
        <w:tc>
          <w:tcPr>
            <w:tcW w:type="dxa" w:w="1719"/>
          </w:tcPr>
          <w:p>
            <w:pPr>
              <w:spacing w:after="0" w:line="252" w:lineRule="auto"/>
            </w:pPr>
            <w:r>
              <w:rPr>
                <w:sz w:val="17"/>
              </w:rPr>
              <w:t>live srv01 (Dialogrechte)</w:t>
            </w:r>
          </w:p>
        </w:tc>
      </w:tr>
    </w:tbl>
    <w:p>
      <w:pPr>
        <w:pStyle w:val="BeschriftungSSI"/>
      </w:pPr>
      <w:r>
        <w:t>Tab. 4: Profile (Namen auf dem Stumatec-System vor Ort prüfen)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Benutzer der Stumatec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Welche Profile auf dem Stumatec-System vorhanden sind, ist noch nicht belegt. Vorschlag: </w:t>
            </w:r>
            <w:r>
              <w:rPr>
                <w:b/>
                <w:sz w:val="19"/>
              </w:rPr>
              <w:t>Bediener/innen</w:t>
            </w:r>
            <w:r>
              <w:rPr>
                <w:sz w:val="19"/>
              </w:rPr>
              <w:t xml:space="preserve"> = LogiMat Touch; </w:t>
            </w:r>
            <w:r>
              <w:rPr>
                <w:b/>
                <w:sz w:val="19"/>
              </w:rPr>
              <w:t>Key-User</w:t>
            </w:r>
            <w:r>
              <w:rPr>
                <w:sz w:val="19"/>
              </w:rPr>
              <w:t xml:space="preserve"> = LogiMat Admin (für den Artikelimport nötig). Bezeichnung der Dialoge LM160 und LM166 vor Ort ablesen.</w:t>
            </w:r>
          </w:p>
        </w:tc>
      </w:tr>
    </w:tbl>
    <w:p>
      <w:pPr>
        <w:spacing w:after="40"/>
      </w:pPr>
    </w:p>
    <w:p>
      <w:pPr>
        <w:pStyle w:val="Heading2"/>
      </w:pPr>
      <w:r>
        <w:t>4.3 Neuen Benutzer anlegen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Benutzer und Logins pflegen</w:t>
      </w:r>
      <w:r>
        <w:t xml:space="preserve"> (UM002) öffnen, neuen Benutzernamen eingeben.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Registerkarte </w:t>
      </w:r>
      <w:r>
        <w:rPr>
          <w:b/>
        </w:rPr>
        <w:t>Benutzer</w:t>
      </w:r>
      <w:r>
        <w:t xml:space="preserve">: Name, </w:t>
      </w:r>
      <w:r>
        <w:rPr>
          <w:b/>
        </w:rPr>
        <w:t>Regionales Profil</w:t>
      </w:r>
      <w:r>
        <w:t xml:space="preserve"> (Sprache, z. B. deutsch).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Registerkarte </w:t>
      </w:r>
      <w:r>
        <w:rPr>
          <w:b/>
        </w:rPr>
        <w:t>Login</w:t>
      </w:r>
      <w:r>
        <w:t xml:space="preserve"> → </w:t>
      </w:r>
      <w:r>
        <w:rPr>
          <w:b/>
        </w:rPr>
        <w:t>Datensatz anlegen</w:t>
      </w:r>
      <w:r>
        <w:t xml:space="preserve">: Login, Anwendung (Desktop, Touch oder Mobile), Passwortrichtlinie. Initialpasswort vergeben und </w:t>
      </w:r>
      <w:r>
        <w:rPr>
          <w:b/>
        </w:rPr>
        <w:t>Passwort ändern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Registerkarte </w:t>
      </w:r>
      <w:r>
        <w:rPr>
          <w:b/>
        </w:rPr>
        <w:t>Rolle</w:t>
      </w:r>
      <w:r>
        <w:t>: Rolle setzen (</w:t>
      </w:r>
      <w:r>
        <w:rPr>
          <w:b/>
        </w:rPr>
        <w:t>Verwendet</w:t>
      </w:r>
      <w:r>
        <w:t xml:space="preserve">, </w:t>
      </w:r>
      <w:r>
        <w:rPr>
          <w:b/>
        </w:rPr>
        <w:t>Standard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Speichern</w:t>
      </w:r>
      <w:r>
        <w:t>. Rechte gelten ab der nächsten Anmeldung.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002_Benutzer_und_Logins_pflegen_UM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Screenshot folgt (vor Ort aufnehmen) – Benutzer und Logins pflegen (UM002) auf dem Stumatec-System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Rechte je Firma bzw. Klient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</w:t>
            </w:r>
            <w:r>
              <w:rPr>
                <w:b/>
                <w:sz w:val="19"/>
              </w:rPr>
              <w:t>Datenzugriffsprofil</w:t>
            </w:r>
            <w:r>
              <w:rPr>
                <w:sz w:val="19"/>
              </w:rPr>
              <w:t xml:space="preserve"> legt laut Handbuch fest, auf welche Datensätze ein Benutzer zugreifen kann. Wie es auf einen Klienten oder Wareneigentümer eingeschränkt wird, ist weder in 2.7 noch in 2.8 beschrieben (</w:t>
            </w:r>
            <w:r>
              <w:rPr>
                <w:b/>
                <w:sz w:val="19"/>
              </w:rPr>
              <w:t>zu verifizieren</w:t>
            </w:r>
            <w:r>
              <w:rPr>
                <w:sz w:val="19"/>
              </w:rPr>
              <w:t xml:space="preserve">). Jeder Benutzer kann in den </w:t>
            </w:r>
            <w:r>
              <w:rPr>
                <w:b/>
                <w:sz w:val="19"/>
              </w:rPr>
              <w:t>Benutzereinstellungen</w:t>
            </w:r>
            <w:r>
              <w:rPr>
                <w:sz w:val="19"/>
              </w:rPr>
              <w:t xml:space="preserve"> einen Standard-Klienten wählen; das ist eine Voreinstellung, keine Sperre.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Touch-Sprache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Testsystem lief die Touch-Sitzung trotz deutschem Regionalprofil teilweise auf </w:t>
            </w:r>
            <w:r>
              <w:rPr>
                <w:b/>
                <w:sz w:val="19"/>
              </w:rPr>
              <w:t>Englisch</w:t>
            </w:r>
            <w:r>
              <w:rPr>
                <w:sz w:val="19"/>
              </w:rPr>
              <w:t xml:space="preserve">. Ursache offen.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Sprache beim ersten Login der Bediener/innen kontrollieren.</w:t>
            </w:r>
          </w:p>
        </w:tc>
      </w:tr>
    </w:tbl>
    <w:p>
      <w:pPr>
        <w:spacing w:after="40"/>
      </w:pPr>
    </w:p>
    <w:p>
      <w:pPr>
        <w:pStyle w:val="ListBullet"/>
      </w:pPr>
      <w:r>
        <w:t xml:space="preserve">Benutzer sperren: UM001 → Rechtsklick </w:t>
      </w:r>
      <w:r>
        <w:rPr>
          <w:b/>
        </w:rPr>
        <w:t>Benutzer sperren</w:t>
      </w:r>
      <w:r>
        <w:t xml:space="preserve">. Sitzung beenden: UM013 → Rechtsklick </w:t>
      </w:r>
      <w:r>
        <w:rPr>
          <w:b/>
        </w:rPr>
        <w:t>Benutzer abmelden</w:t>
      </w:r>
      <w:r>
        <w:t xml:space="preserve"> (laufende Aufträge bleiben erhalten).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6.1, 6.6, 7; SCH-A Kap. 7 (Ablauf aus AH 2.7/2.8, Schritte 2–4 vor Ort prüfen); TL 07:41, 10:08</w:t>
      </w:r>
    </w:p>
    <w:p>
      <w:pPr>
        <w:pStyle w:val="Heading1"/>
      </w:pPr>
      <w:r>
        <w:t>5 Artikelstamm</w:t>
      </w:r>
    </w:p>
    <w:p>
      <w:pPr>
        <w:pStyle w:val="Heading2"/>
      </w:pPr>
      <w:r>
        <w:t>5.1 Artikel suchen und ansehen</w:t>
      </w:r>
    </w:p>
    <w:p>
      <w:r>
        <w:rPr>
          <w:b/>
        </w:rPr>
        <w:t>Übersicht Artikel</w:t>
      </w:r>
      <w:r>
        <w:t xml:space="preserve"> (MD001) → Suchkriterien (z. B. Artikelnummer, Platzhalter </w:t>
      </w:r>
      <w:r>
        <w:rPr>
          <w:rFonts w:ascii="Consolas" w:hAnsi="Consolas" w:cs="Consolas" w:eastAsia="Consolas"/>
          <w:sz w:val="18"/>
        </w:rPr>
        <w:t>*</w:t>
      </w:r>
      <w:r>
        <w:t xml:space="preserve">) → </w:t>
      </w:r>
      <w:r>
        <w:rPr>
          <w:b/>
        </w:rPr>
        <w:t>Suche</w:t>
      </w:r>
      <w:r>
        <w:t xml:space="preserve">. Ein Artikel ist eindeutig über </w:t>
      </w:r>
      <w:r>
        <w:rPr>
          <w:b/>
        </w:rPr>
        <w:t>Klient + Artikelnummer + Variante</w:t>
      </w:r>
      <w:r>
        <w:t xml:space="preserve"> (bei der Stumatec: Klient nach Entscheid Dokument 12 </w:t>
      </w:r>
      <w:r>
        <w:rPr>
          <w:b/>
        </w:rPr>
        <w:t>[auszufüllen]</w:t>
      </w:r>
      <w:r>
        <w:t xml:space="preserve">, Artikelnummer </w:t>
      </w:r>
      <w:r>
        <w:rPr>
          <w:b/>
        </w:rPr>
        <w:t>[auszufüllen]</w:t>
      </w:r>
      <w:r>
        <w:t xml:space="preserve">, Variante </w:t>
      </w:r>
      <w:r>
        <w:rPr>
          <w:rFonts w:ascii="Consolas" w:hAnsi="Consolas" w:cs="Consolas" w:eastAsia="Consolas"/>
          <w:sz w:val="18"/>
        </w:rPr>
        <w:t>00000</w:t>
      </w:r>
      <w:r>
        <w:t>).</w:t>
      </w:r>
    </w:p>
    <w:p>
      <w:pPr>
        <w:pStyle w:val="Heading2"/>
      </w:pPr>
      <w:r>
        <w:t>5.2 Artikel einzeln anlegen (empfohlen: vereinfacht)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Übersicht Artikel</w:t>
      </w:r>
      <w:r>
        <w:t xml:space="preserve"> (MD001) → Rechtsklick im Suchergebnis → </w:t>
      </w:r>
      <w:r>
        <w:rPr>
          <w:b/>
        </w:rPr>
        <w:t>Neu (vereinfacht)…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Es öffnet sich </w:t>
      </w:r>
      <w:r>
        <w:rPr>
          <w:b/>
        </w:rPr>
        <w:t>Artikel pflegen (vereinfacht)</w:t>
      </w:r>
      <w:r>
        <w:t xml:space="preserve"> (MD089).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Eingeben: Klient </w:t>
      </w:r>
      <w:r>
        <w:rPr>
          <w:b/>
        </w:rPr>
        <w:t>[auszufüllen]</w:t>
      </w:r>
      <w:r>
        <w:t xml:space="preserve">, Artikelnummer, Variante </w:t>
      </w:r>
      <w:r>
        <w:rPr>
          <w:rFonts w:ascii="Consolas" w:hAnsi="Consolas" w:cs="Consolas" w:eastAsia="Consolas"/>
          <w:sz w:val="18"/>
        </w:rPr>
        <w:t>00000</w:t>
      </w:r>
      <w:r>
        <w:t xml:space="preserve">, Bezeichnung, Artikeltyp </w:t>
      </w:r>
      <w:r>
        <w:rPr>
          <w:rFonts w:ascii="Consolas" w:hAnsi="Consolas" w:cs="Consolas" w:eastAsia="Consolas"/>
          <w:sz w:val="18"/>
        </w:rPr>
        <w:t>MERC</w:t>
      </w:r>
      <w:r>
        <w:t xml:space="preserve">, Warengruppe </w:t>
      </w:r>
      <w:r>
        <w:rPr>
          <w:b/>
        </w:rPr>
        <w:t>[auszufüllen]</w:t>
      </w:r>
      <w:r>
        <w:t xml:space="preserve">, Basismengeneinheit (z. B. </w:t>
      </w:r>
      <w:r>
        <w:rPr>
          <w:rFonts w:ascii="Consolas" w:hAnsi="Consolas" w:cs="Consolas" w:eastAsia="Consolas"/>
          <w:sz w:val="18"/>
        </w:rPr>
        <w:t>PCS</w:t>
      </w:r>
      <w:r>
        <w:t xml:space="preserve">), Hauptsystempartner </w:t>
      </w:r>
      <w:r>
        <w:rPr>
          <w:rFonts w:ascii="Consolas" w:hAnsi="Consolas" w:cs="Consolas" w:eastAsia="Consolas"/>
          <w:sz w:val="18"/>
        </w:rPr>
        <w:t>HOST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Bei der Artikelmengeneinheit das Häkchen </w:t>
      </w:r>
      <w:r>
        <w:rPr>
          <w:b/>
        </w:rPr>
        <w:t>Lagermengeneinheit</w:t>
      </w:r>
      <w:r>
        <w:t xml:space="preserve"> setzen (Pflicht).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Speichern</w:t>
      </w:r>
      <w:r>
        <w:t>. Status „Synchronisiert“.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Warum nicht MD002 „Neu…“?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Testsystem blieb </w:t>
            </w:r>
            <w:r>
              <w:rPr>
                <w:b/>
                <w:sz w:val="19"/>
              </w:rPr>
              <w:t>Artikel pflegen</w:t>
            </w:r>
            <w:r>
              <w:rPr>
                <w:sz w:val="19"/>
              </w:rPr>
              <w:t xml:space="preserve"> (MD002) bei „Neu…“ gesperrt (Speicherengpass des Servers). MD089 funktionierte. Für Änderungen an bestehenden Artikeln ist MD002 nutzbar (Registerkarten Artikel, Verpackungsversion, Artikelalias, WLS-Artikel u. a.).</w:t>
            </w:r>
          </w:p>
        </w:tc>
      </w:tr>
    </w:tbl>
    <w:p>
      <w:pPr>
        <w:spacing w:after="40"/>
      </w:pPr>
    </w:p>
    <w:p>
      <w:pPr>
        <w:pStyle w:val="Heading2"/>
      </w:pPr>
      <w:r>
        <w:t>5.3 Viele Artikel</w:t>
      </w:r>
    </w:p>
    <w:p>
      <w:r>
        <w:t xml:space="preserve">Für viele Artikel den Excel-Import verwenden (Kapitel 9 und Anleitung </w:t>
      </w:r>
      <w:r>
        <w:rPr>
          <w:b/>
        </w:rPr>
        <w:t>Artikel importieren</w:t>
      </w:r>
      <w:r>
        <w:t xml:space="preserve">). Einzelne Artikel können auch am Touch-Client gepflegt werden (Anleitung </w:t>
      </w:r>
      <w:r>
        <w:rPr>
          <w:b/>
        </w:rPr>
        <w:t>Artikel anlegen und pflegen am Touch-Client</w:t>
      </w:r>
      <w:r>
        <w:t>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8_md002_artikelbild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Artikel pflegen (MD002), Registerkarte mit Artikelbild (SSI-Testsystem srv01, WAMAS LS 2.8 (Testdaten))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2.1, 10.11; TL 09:28–09:40</w:t>
      </w:r>
    </w:p>
    <w:p>
      <w:pPr>
        <w:pStyle w:val="Heading1"/>
      </w:pPr>
      <w:r>
        <w:t>6 Einheiten (Klient pflegen, MD017)</w:t>
      </w:r>
    </w:p>
    <w:p>
      <w:pPr>
        <w:pStyle w:val="ListBullet"/>
      </w:pPr>
      <w:r>
        <w:t xml:space="preserve">Mengeneinheiten pflegen Sie in </w:t>
      </w:r>
      <w:r>
        <w:rPr>
          <w:b/>
        </w:rPr>
        <w:t>Klient pflegen</w:t>
      </w:r>
      <w:r>
        <w:t xml:space="preserve"> (MD017) → Klient wählen → Registerkarte </w:t>
      </w:r>
      <w:r>
        <w:rPr>
          <w:b/>
        </w:rPr>
        <w:t>Mengeneinheit</w:t>
      </w:r>
      <w:r>
        <w:t>.</w:t>
      </w:r>
    </w:p>
    <w:p>
      <w:pPr>
        <w:pStyle w:val="ListBullet"/>
      </w:pPr>
      <w:r>
        <w:t xml:space="preserve">Einheiten gelten </w:t>
      </w:r>
      <w:r>
        <w:rPr>
          <w:b/>
        </w:rPr>
        <w:t>je Klient</w:t>
      </w:r>
      <w:r>
        <w:t xml:space="preserve">. Ein neuer Klient startet ohne Einheiten; nichts wird vom Klienten </w:t>
      </w:r>
      <w:r>
        <w:rPr>
          <w:rFonts w:ascii="Consolas" w:hAnsi="Consolas" w:cs="Consolas" w:eastAsia="Consolas"/>
          <w:sz w:val="18"/>
        </w:rPr>
        <w:t>DEFAULT</w:t>
      </w:r>
      <w:r>
        <w:t xml:space="preserve"> geerbt (Live-Befund SSI-Testsystem 20.10.2026).</w:t>
      </w:r>
    </w:p>
    <w:p>
      <w:pPr>
        <w:pStyle w:val="ListBullet"/>
      </w:pPr>
      <w:r>
        <w:t xml:space="preserve">Einheiten lassen sich </w:t>
      </w:r>
      <w:r>
        <w:rPr>
          <w:b/>
        </w:rPr>
        <w:t>nicht</w:t>
      </w:r>
      <w:r>
        <w:t xml:space="preserve"> über eine Importdatei anlegen. Sie müssen vorher in MD017 vorhanden sein, sonst scheitert der Artikelimport.</w:t>
      </w:r>
    </w:p>
    <w:p>
      <w:pPr>
        <w:pStyle w:val="ListBullet"/>
      </w:pPr>
      <w:r>
        <w:t xml:space="preserve">Stand SSI-Testsystem (Klient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): </w:t>
      </w:r>
      <w:r>
        <w:rPr>
          <w:rFonts w:ascii="Consolas" w:hAnsi="Consolas" w:cs="Consolas" w:eastAsia="Consolas"/>
          <w:sz w:val="18"/>
        </w:rPr>
        <w:t>PCS</w:t>
      </w:r>
      <w:r>
        <w:t xml:space="preserve">, </w:t>
      </w:r>
      <w:r>
        <w:rPr>
          <w:rFonts w:ascii="Consolas" w:hAnsi="Consolas" w:cs="Consolas" w:eastAsia="Consolas"/>
          <w:sz w:val="18"/>
        </w:rPr>
        <w:t>PKG</w:t>
      </w:r>
      <w:r>
        <w:t xml:space="preserve">, </w:t>
      </w:r>
      <w:r>
        <w:rPr>
          <w:rFonts w:ascii="Consolas" w:hAnsi="Consolas" w:cs="Consolas" w:eastAsia="Consolas"/>
          <w:sz w:val="18"/>
        </w:rPr>
        <w:t>KAR</w:t>
      </w:r>
      <w:r>
        <w:t>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333"/>
        <w:gridCol w:w="2302"/>
        <w:gridCol w:w="3889"/>
      </w:tblGrid>
      <w:tr>
        <w:trPr>
          <w:tblHeader w:val="true"/>
          <w:cantSplit w:val="true"/>
        </w:trPr>
        <w:tc>
          <w:tcPr>
            <w:tcW w:type="dxa" w:w="33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Einheit Stumatec</w:t>
            </w:r>
          </w:p>
        </w:tc>
        <w:tc>
          <w:tcPr>
            <w:tcW w:type="dxa" w:w="23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WAMAS-Einheit</w:t>
            </w:r>
          </w:p>
        </w:tc>
        <w:tc>
          <w:tcPr>
            <w:tcW w:type="dxa" w:w="388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</w:tr>
      <w:tr>
        <w:trPr>
          <w:cantSplit w:val="true"/>
        </w:trPr>
        <w:tc>
          <w:tcPr>
            <w:tcW w:type="dxa" w:w="333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  <w:tc>
          <w:tcPr>
            <w:tcW w:type="dxa" w:w="230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  <w:tc>
          <w:tcPr>
            <w:tcW w:type="dxa" w:w="388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im Standard vorhanden </w:t>
            </w:r>
            <w:r>
              <w:rPr>
                <w:b/>
                <w:sz w:val="17"/>
              </w:rPr>
              <w:t>[vor Ort prüfen]</w:t>
            </w:r>
          </w:p>
        </w:tc>
      </w:tr>
      <w:tr>
        <w:trPr>
          <w:cantSplit w:val="true"/>
        </w:trPr>
        <w:tc>
          <w:tcPr>
            <w:tcW w:type="dxa" w:w="333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  <w:tc>
          <w:tcPr>
            <w:tcW w:type="dxa" w:w="230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  <w:tc>
          <w:tcPr>
            <w:tcW w:type="dxa" w:w="3889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</w:tbl>
    <w:p>
      <w:pPr>
        <w:pStyle w:val="BeschriftungSSI"/>
      </w:pPr>
      <w:r>
        <w:t>Tab. 5: Einheiten der Stumatec (vor Ort ausfüllen)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004_Klient_pflegen_MD017_Registerk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Screenshot folgt (vor Ort aufnehmen) – Klient pflegen (MD017), Registerkarte Mengeneinheit – Stumatec-System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Einheiten anlegen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Welche Einheiten die Stumatec braucht, ist noch nicht bekannt </w:t>
            </w:r>
            <w:r>
              <w:rPr>
                <w:b/>
                <w:sz w:val="19"/>
              </w:rPr>
              <w:t>[auszufüllen]</w:t>
            </w:r>
            <w:r>
              <w:rPr>
                <w:sz w:val="19"/>
              </w:rPr>
              <w:t xml:space="preserve">. Neue Einheiten erst nach Freigabe durch die SSI-Projektleitung anlegen. Werden mehrere Klienten eingerichtet, sind die Einheiten </w:t>
            </w:r>
            <w:r>
              <w:rPr>
                <w:b/>
                <w:sz w:val="19"/>
              </w:rPr>
              <w:t>in jedem Klienten</w:t>
            </w:r>
            <w:r>
              <w:rPr>
                <w:sz w:val="19"/>
              </w:rPr>
              <w:t xml:space="preserve"> anzulegen.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2.2, 6.5, 10.9; SIR Kap. 1 Nr. 6; KP28 Kap. 8.1–8.2</w:t>
      </w:r>
    </w:p>
    <w:p>
      <w:pPr>
        <w:pStyle w:val="Heading1"/>
      </w:pPr>
      <w:r>
        <w:t>7 Warengruppen</w:t>
      </w:r>
    </w:p>
    <w:p>
      <w:pPr>
        <w:pStyle w:val="ListBullet"/>
      </w:pPr>
      <w:r>
        <w:t xml:space="preserve">Warengruppen stehen in </w:t>
      </w:r>
      <w:r>
        <w:rPr>
          <w:b/>
        </w:rPr>
        <w:t>Klient pflegen</w:t>
      </w:r>
      <w:r>
        <w:t xml:space="preserve"> (MD017) → Registerkarte </w:t>
      </w:r>
      <w:r>
        <w:rPr>
          <w:b/>
        </w:rPr>
        <w:t>Warengruppe</w:t>
      </w:r>
      <w:r>
        <w:t xml:space="preserve">. Felder u. a.: Warengruppe, Bezeichnung, Überwachungsart, GTIN-Prüfung, </w:t>
      </w:r>
      <w:r>
        <w:rPr>
          <w:b/>
        </w:rPr>
        <w:t>Einlagerreservierungsstrategie</w:t>
      </w:r>
      <w:r>
        <w:t>.</w:t>
      </w:r>
    </w:p>
    <w:p>
      <w:pPr>
        <w:pStyle w:val="ListBullet"/>
      </w:pPr>
      <w:r>
        <w:t xml:space="preserve">Welche Warengruppen die Stumatec nutzt, ist noch offen </w:t>
      </w:r>
      <w:r>
        <w:rPr>
          <w:b/>
        </w:rPr>
        <w:t>[auszufüllen]</w:t>
      </w:r>
      <w:r>
        <w:t>. Warengruppen gelten je Klient.</w:t>
      </w:r>
    </w:p>
    <w:p>
      <w:pPr>
        <w:pStyle w:val="ListBullet"/>
      </w:pPr>
      <w:r>
        <w:t>Warengruppen lassen sich nicht über eine Importdatei anlegen.</w:t>
      </w:r>
    </w:p>
    <w:p>
      <w:pPr>
        <w:pStyle w:val="ListBullet"/>
      </w:pPr>
      <w:r>
        <w:t xml:space="preserve">Eine Warengruppe hängt am </w:t>
      </w:r>
      <w:r>
        <w:rPr>
          <w:b/>
        </w:rPr>
        <w:t>Artikel</w:t>
      </w:r>
      <w:r>
        <w:t xml:space="preserve">, nicht am Bestand. Sie eignet sich deshalb </w:t>
      </w:r>
      <w:r>
        <w:rPr>
          <w:b/>
        </w:rPr>
        <w:t>nicht</w:t>
      </w:r>
      <w:r>
        <w:t>, um den Bestand desselben Artikels zwei Wareneigentümern zuzuordnen (Dokument 12).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Warengruppe beim Excel-Import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Importprofil </w:t>
            </w:r>
            <w:r>
              <w:rPr>
                <w:rFonts w:ascii="Consolas" w:hAnsi="Consolas" w:cs="Consolas" w:eastAsia="Consolas"/>
                <w:sz w:val="17"/>
              </w:rPr>
              <w:t>EXCEL_ITEM_V5</w:t>
            </w:r>
            <w:r>
              <w:rPr>
                <w:sz w:val="19"/>
              </w:rPr>
              <w:t xml:space="preserve"> hat </w:t>
            </w:r>
            <w:r>
              <w:rPr>
                <w:b/>
                <w:sz w:val="19"/>
              </w:rPr>
              <w:t>keine</w:t>
            </w:r>
            <w:r>
              <w:rPr>
                <w:sz w:val="19"/>
              </w:rPr>
              <w:t xml:space="preserve"> Spalte für die Warengruppe. Im Testsystem wurden Artikel auch ohne Warengruppe angelegt bzw. mit der Vorbelegung </w:t>
            </w:r>
            <w:r>
              <w:rPr>
                <w:rFonts w:ascii="Consolas" w:hAnsi="Consolas" w:cs="Consolas" w:eastAsia="Consolas"/>
                <w:sz w:val="17"/>
              </w:rPr>
              <w:t>TOOLS</w:t>
            </w:r>
            <w:r>
              <w:rPr>
                <w:sz w:val="19"/>
              </w:rPr>
              <w:t>. Prüfen, ob das Profil einen festen Wert braucht (statischer Wert in LM161), und die Reservierungsstrategie je Warengruppe festlegen.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2.2, 6.1, 10.9; TL 09:28–09:40 (Artikel ohne Warengruppe)</w:t>
      </w:r>
    </w:p>
    <w:p>
      <w:pPr>
        <w:pStyle w:val="Heading1"/>
      </w:pPr>
      <w:r>
        <w:t>8 Boxtypen und Tablarvorlagen</w:t>
      </w:r>
    </w:p>
    <w:p>
      <w:pPr>
        <w:pStyle w:val="Heading2"/>
      </w:pPr>
      <w:r>
        <w:t>8.1 Was wo gepflegt wird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90"/>
        <w:gridCol w:w="4968"/>
        <w:gridCol w:w="2366"/>
      </w:tblGrid>
      <w:tr>
        <w:trPr>
          <w:tblHeader w:val="true"/>
          <w:cantSplit w:val="true"/>
        </w:trPr>
        <w:tc>
          <w:tcPr>
            <w:tcW w:type="dxa" w:w="219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Aufgabe</w:t>
            </w:r>
          </w:p>
        </w:tc>
        <w:tc>
          <w:tcPr>
            <w:tcW w:type="dxa" w:w="49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</w:t>
            </w:r>
          </w:p>
        </w:tc>
        <w:tc>
          <w:tcPr>
            <w:tcW w:type="dxa" w:w="23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Hinweis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Boxtyp ansehen/anlegen (Touch)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 pflegen</w:t>
            </w:r>
            <w:r>
              <w:rPr>
                <w:sz w:val="17"/>
              </w:rPr>
              <w:t xml:space="preserve"> (LM042) aus dem Tablarlayouteditor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Anleitung </w:t>
            </w:r>
            <w:r>
              <w:rPr>
                <w:b/>
                <w:sz w:val="17"/>
              </w:rPr>
              <w:t>Boxen kreieren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Eigenen Boxtyp anlegen (Desktop)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Ladehilfsmittel</w:t>
            </w:r>
            <w:r>
              <w:rPr>
                <w:sz w:val="17"/>
              </w:rPr>
              <w:t xml:space="preserve"> (MD015) duplizieren → Kubaturzuordnung auf eigene Kubatur umstellen → </w:t>
            </w:r>
            <w:r>
              <w:rPr>
                <w:b/>
                <w:sz w:val="17"/>
              </w:rPr>
              <w:t>Kubatur</w:t>
            </w:r>
            <w:r>
              <w:rPr>
                <w:sz w:val="17"/>
              </w:rPr>
              <w:t xml:space="preserve"> (MD031) zeigt Art „Box“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danach in LM084 wählbar; </w:t>
            </w:r>
            <w:r>
              <w:rPr>
                <w:b/>
                <w:sz w:val="17"/>
              </w:rPr>
              <w:t>Boxtyp pflegen</w:t>
            </w:r>
            <w:r>
              <w:rPr>
                <w:sz w:val="17"/>
              </w:rPr>
              <w:t xml:space="preserve"> (LM058) konnte im Testsystem nicht anlegen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Artikel ↔ Boxtyp (Höchstmenge)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Boxtyp-Zuordnung pflegen</w:t>
            </w:r>
            <w:r>
              <w:rPr>
                <w:sz w:val="17"/>
              </w:rPr>
              <w:t xml:space="preserve"> (LM084)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Anleitung </w:t>
            </w:r>
            <w:r>
              <w:rPr>
                <w:b/>
                <w:sz w:val="17"/>
              </w:rPr>
              <w:t>Zuordnungen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Vorgabe je Warengruppe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Warengruppe-zu-Boxtyp-Zuordnung pflegen</w:t>
            </w:r>
            <w:r>
              <w:rPr>
                <w:sz w:val="17"/>
              </w:rPr>
              <w:t xml:space="preserve"> (LM144)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>optional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Tablarlayout / Tablarvorlage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nur Touch: </w:t>
            </w:r>
            <w:r>
              <w:rPr>
                <w:b/>
                <w:sz w:val="17"/>
              </w:rPr>
              <w:t>Tablarlayouteditor</w:t>
            </w:r>
            <w:r>
              <w:rPr>
                <w:sz w:val="17"/>
              </w:rPr>
              <w:t xml:space="preserve"> (LM004), </w:t>
            </w:r>
            <w:r>
              <w:rPr>
                <w:b/>
                <w:sz w:val="17"/>
              </w:rPr>
              <w:t>Vorlage laden</w:t>
            </w:r>
            <w:r>
              <w:rPr>
                <w:sz w:val="17"/>
              </w:rPr>
              <w:t xml:space="preserve"> (LM015), </w:t>
            </w:r>
            <w:r>
              <w:rPr>
                <w:b/>
                <w:sz w:val="17"/>
              </w:rPr>
              <w:t>Als Vorlage speichern</w:t>
            </w:r>
            <w:r>
              <w:rPr>
                <w:sz w:val="17"/>
              </w:rPr>
              <w:t xml:space="preserve"> (LM016)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>kein Desktop-Dialog</w:t>
            </w:r>
          </w:p>
        </w:tc>
      </w:tr>
    </w:tbl>
    <w:p>
      <w:pPr>
        <w:pStyle w:val="BeschriftungSSI"/>
      </w:pPr>
      <w:r>
        <w:t>Tab. 6: Boxtypen, Zuordnungen und Vorlagen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6_lm084_zuordnungen_admi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Boxtyp-Zuordnung pflegen (LM084) im Desktop-Client (SSI-Testsystem srv01, WAMAS LS 2.8 (Testdaten))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Boxtypen der Stumatec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Welche Boxtypen und Tablarmasse die beiden LOGIMATs der Stumatec haben, ist in den Unterlagen nicht belegt </w:t>
            </w:r>
            <w:r>
              <w:rPr>
                <w:b/>
                <w:sz w:val="19"/>
              </w:rPr>
              <w:t>[auszufüllen]</w:t>
            </w:r>
            <w:r>
              <w:rPr>
                <w:sz w:val="19"/>
              </w:rPr>
              <w:t xml:space="preserve">. Bei der Schulung am Touch-Client im </w:t>
            </w:r>
            <w:r>
              <w:rPr>
                <w:b/>
                <w:sz w:val="19"/>
              </w:rPr>
              <w:t>Tablarlayouteditor</w:t>
            </w:r>
            <w:r>
              <w:rPr>
                <w:sz w:val="19"/>
              </w:rPr>
              <w:t xml:space="preserve"> ablesen und eine Tablarvorlage für die häufigste Aufteilung anlegen.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3, 10.11; KH-L Kap. 2.5, 3; BH28 5.2, 6.5.2</w:t>
      </w:r>
    </w:p>
    <w:p>
      <w:pPr>
        <w:pStyle w:val="Heading1"/>
      </w:pPr>
      <w:r>
        <w:t>9 Import-Profile und Artikelimport (LM161 / LM163)</w:t>
      </w:r>
    </w:p>
    <w:p>
      <w:pPr>
        <w:pStyle w:val="Heading2"/>
      </w:pPr>
      <w:r>
        <w:t>9.1 Überblick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98"/>
        <w:gridCol w:w="6047"/>
        <w:gridCol w:w="1479"/>
      </w:tblGrid>
      <w:tr>
        <w:trPr>
          <w:tblHeader w:val="true"/>
          <w:cantSplit w:val="true"/>
        </w:trPr>
        <w:tc>
          <w:tcPr>
            <w:tcW w:type="dxa" w:w="199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60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14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</w:t>
            </w:r>
          </w:p>
        </w:tc>
      </w:tr>
      <w:tr>
        <w:trPr>
          <w:cantSplit w:val="true"/>
        </w:trPr>
        <w:tc>
          <w:tcPr>
            <w:tcW w:type="dxa" w:w="1998"/>
          </w:tcPr>
          <w:p>
            <w:pPr>
              <w:spacing w:after="0" w:line="252" w:lineRule="auto"/>
            </w:pPr>
            <w:r>
              <w:rPr>
                <w:sz w:val="17"/>
              </w:rPr>
              <w:t>Profil anlegen bzw. prüfen</w:t>
            </w:r>
          </w:p>
        </w:tc>
        <w:tc>
          <w:tcPr>
            <w:tcW w:type="dxa" w:w="604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Schnittstellen-Mapping-Profil pflegen</w:t>
            </w:r>
            <w:r>
              <w:rPr>
                <w:sz w:val="17"/>
              </w:rPr>
              <w:t xml:space="preserve"> (LM161)</w:t>
            </w:r>
          </w:p>
        </w:tc>
        <w:tc>
          <w:tcPr>
            <w:tcW w:type="dxa" w:w="1479"/>
          </w:tcPr>
          <w:p>
            <w:pPr>
              <w:spacing w:after="0" w:line="252" w:lineRule="auto"/>
            </w:pPr>
            <w:r>
              <w:rPr>
                <w:sz w:val="17"/>
              </w:rPr>
              <w:t>einmalig, Profil LogiMat Admin</w:t>
            </w:r>
          </w:p>
        </w:tc>
      </w:tr>
      <w:tr>
        <w:trPr>
          <w:cantSplit w:val="true"/>
        </w:trPr>
        <w:tc>
          <w:tcPr>
            <w:tcW w:type="dxa" w:w="1998"/>
          </w:tcPr>
          <w:p>
            <w:pPr>
              <w:spacing w:after="0" w:line="252" w:lineRule="auto"/>
            </w:pPr>
            <w:r>
              <w:rPr>
                <w:sz w:val="17"/>
              </w:rPr>
              <w:t>Excel-Datei ausfüllen</w:t>
            </w:r>
          </w:p>
        </w:tc>
        <w:tc>
          <w:tcPr>
            <w:tcW w:type="dxa" w:w="604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Vorlage </w:t>
            </w:r>
            <w:r>
              <w:rPr>
                <w:rFonts w:ascii="Consolas" w:hAnsi="Consolas" w:cs="Consolas" w:eastAsia="Consolas"/>
                <w:sz w:val="15"/>
              </w:rPr>
              <w:t>EXCEL_ITEM_V5</w:t>
            </w:r>
            <w:r>
              <w:rPr>
                <w:sz w:val="17"/>
              </w:rPr>
              <w:t xml:space="preserve"> (9 Spalten)</w:t>
            </w:r>
          </w:p>
        </w:tc>
        <w:tc>
          <w:tcPr>
            <w:tcW w:type="dxa" w:w="1479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</w:tr>
      <w:tr>
        <w:trPr>
          <w:cantSplit w:val="true"/>
        </w:trPr>
        <w:tc>
          <w:tcPr>
            <w:tcW w:type="dxa" w:w="1998"/>
          </w:tcPr>
          <w:p>
            <w:pPr>
              <w:spacing w:after="0" w:line="252" w:lineRule="auto"/>
            </w:pPr>
            <w:r>
              <w:rPr>
                <w:sz w:val="17"/>
              </w:rPr>
              <w:t>Import starten</w:t>
            </w:r>
          </w:p>
        </w:tc>
        <w:tc>
          <w:tcPr>
            <w:tcW w:type="dxa" w:w="604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Artikel</w:t>
            </w:r>
            <w:r>
              <w:rPr>
                <w:sz w:val="17"/>
              </w:rPr>
              <w:t xml:space="preserve"> (MD001) → Rechtsklick → </w:t>
            </w:r>
            <w:r>
              <w:rPr>
                <w:b/>
                <w:sz w:val="17"/>
              </w:rPr>
              <w:t>Artikel importieren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Datei importieren</w:t>
            </w:r>
            <w:r>
              <w:rPr>
                <w:sz w:val="17"/>
              </w:rPr>
              <w:t xml:space="preserve"> (LM163)</w:t>
            </w:r>
          </w:p>
        </w:tc>
        <w:tc>
          <w:tcPr>
            <w:tcW w:type="dxa" w:w="1479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</w:tr>
      <w:tr>
        <w:trPr>
          <w:cantSplit w:val="true"/>
        </w:trPr>
        <w:tc>
          <w:tcPr>
            <w:tcW w:type="dxa" w:w="1998"/>
          </w:tcPr>
          <w:p>
            <w:pPr>
              <w:spacing w:after="0" w:line="252" w:lineRule="auto"/>
            </w:pPr>
            <w:r>
              <w:rPr>
                <w:sz w:val="17"/>
              </w:rPr>
              <w:t>Kontrolle</w:t>
            </w:r>
          </w:p>
        </w:tc>
        <w:tc>
          <w:tcPr>
            <w:tcW w:type="dxa" w:w="604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eingehende Systempartnernachrichten</w:t>
            </w:r>
            <w:r>
              <w:rPr>
                <w:sz w:val="17"/>
              </w:rPr>
              <w:t xml:space="preserve"> (DI002), MD001</w:t>
            </w:r>
          </w:p>
        </w:tc>
        <w:tc>
          <w:tcPr>
            <w:tcW w:type="dxa" w:w="1479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</w:tr>
    </w:tbl>
    <w:p>
      <w:pPr>
        <w:pStyle w:val="BeschriftungSSI"/>
      </w:pPr>
      <w:r>
        <w:t>Tab. 7: Ablauf Artikelimport</w:t>
      </w:r>
    </w:p>
    <w:p>
      <w:pPr>
        <w:pStyle w:val="Heading2"/>
      </w:pPr>
      <w:r>
        <w:t>9.2 Profil EXCEL_ITEM_V5</w:t>
      </w:r>
    </w:p>
    <w:p>
      <w:pPr>
        <w:pStyle w:val="ListBullet"/>
      </w:pPr>
      <w:r>
        <w:t xml:space="preserve">Die Vorlage hat die Spalte </w:t>
      </w:r>
      <w:r>
        <w:rPr>
          <w:b/>
        </w:rPr>
        <w:t>Mandant (clientId)</w:t>
      </w:r>
      <w:r>
        <w:t xml:space="preserve">. Sie bekommt den Klienten nach Entscheid Dokument 12 </w:t>
      </w:r>
      <w:r>
        <w:rPr>
          <w:b/>
        </w:rPr>
        <w:t>[auszufüllen]</w:t>
      </w:r>
      <w:r>
        <w:t>.</w:t>
      </w:r>
    </w:p>
    <w:p>
      <w:pPr>
        <w:pStyle w:val="ListBullet"/>
      </w:pPr>
      <w:r>
        <w:t xml:space="preserve">Registerkarte </w:t>
      </w:r>
      <w:r>
        <w:rPr>
          <w:b/>
        </w:rPr>
        <w:t>Interface Mapping</w:t>
      </w:r>
      <w:r>
        <w:t xml:space="preserve">: Datensatz </w:t>
      </w:r>
      <w:r>
        <w:rPr>
          <w:b/>
        </w:rPr>
        <w:t>Artikel</w:t>
      </w:r>
      <w:r>
        <w:t xml:space="preserve">, Datenvalidierung und Mapping-Fehler = </w:t>
      </w:r>
      <w:r>
        <w:rPr>
          <w:b/>
        </w:rPr>
        <w:t>Import abbrechen</w:t>
      </w:r>
      <w:r>
        <w:t xml:space="preserve"> (ABORT_IMPORT). Bei einem Fehler wird nichts angelegt.</w:t>
      </w:r>
    </w:p>
    <w:p>
      <w:pPr>
        <w:pStyle w:val="ListBullet"/>
      </w:pPr>
      <w:r>
        <w:t xml:space="preserve">Registerkarte </w:t>
      </w:r>
      <w:r>
        <w:rPr>
          <w:b/>
        </w:rPr>
        <w:t>Data Mapping</w:t>
      </w:r>
      <w:r>
        <w:t xml:space="preserve">: Satzart → Datenfeld → Blattindex, Spaltenindex. V5 nutzt die Satzarten </w:t>
      </w:r>
      <w:r>
        <w:rPr>
          <w:rFonts w:ascii="Consolas" w:hAnsi="Consolas" w:cs="Consolas" w:eastAsia="Consolas"/>
          <w:sz w:val="18"/>
        </w:rPr>
        <w:t>WLSITEM001</w:t>
      </w:r>
      <w:r>
        <w:t xml:space="preserve">, </w:t>
      </w:r>
      <w:r>
        <w:rPr>
          <w:rFonts w:ascii="Consolas" w:hAnsi="Consolas" w:cs="Consolas" w:eastAsia="Consolas"/>
          <w:sz w:val="18"/>
        </w:rPr>
        <w:t>WLSITEMDESC001</w:t>
      </w:r>
      <w:r>
        <w:t xml:space="preserve"> und </w:t>
      </w:r>
      <w:r>
        <w:rPr>
          <w:rFonts w:ascii="Consolas" w:hAnsi="Consolas" w:cs="Consolas" w:eastAsia="Consolas"/>
          <w:sz w:val="18"/>
        </w:rPr>
        <w:t>WLSITEMALIAS001</w:t>
      </w:r>
      <w:r>
        <w:t>.</w:t>
      </w:r>
    </w:p>
    <w:p>
      <w:pPr>
        <w:pStyle w:val="ListBullet"/>
      </w:pPr>
      <w:r>
        <w:t xml:space="preserve">Schnittstellenstand: Im SSI-Testsystem steht </w:t>
      </w:r>
      <w:r>
        <w:rPr>
          <w:rFonts w:ascii="Consolas" w:hAnsi="Consolas" w:cs="Consolas" w:eastAsia="Consolas"/>
          <w:sz w:val="18"/>
        </w:rPr>
        <w:t>logimat.interfaceMode</w:t>
      </w:r>
      <w:r>
        <w:t xml:space="preserve"> = </w:t>
      </w:r>
      <w:r>
        <w:rPr>
          <w:rFonts w:ascii="Consolas" w:hAnsi="Consolas" w:cs="Consolas" w:eastAsia="Consolas"/>
          <w:sz w:val="18"/>
        </w:rPr>
        <w:t>ERP_2_7_0</w:t>
      </w:r>
      <w:r>
        <w:t xml:space="preserve"> (Satzarten aus 2.8 werden abgelehnt) </w:t>
      </w:r>
      <w:r>
        <w:rPr>
          <w:b/>
        </w:rPr>
        <w:t>[vor Ort prüfen]</w:t>
      </w:r>
      <w:r>
        <w:t>.</w:t>
      </w:r>
    </w:p>
    <w:p>
      <w:pPr>
        <w:pStyle w:val="ListBullet"/>
      </w:pPr>
      <w:r>
        <w:t xml:space="preserve">Nicht verwenden: altes Profil </w:t>
      </w:r>
      <w:r>
        <w:rPr>
          <w:rFonts w:ascii="Consolas" w:hAnsi="Consolas" w:cs="Consolas" w:eastAsia="Consolas"/>
          <w:sz w:val="18"/>
        </w:rPr>
        <w:t>EXCEL_ITEM_EXT</w:t>
      </w:r>
      <w:r>
        <w:t xml:space="preserve"> (Fehler „Cannot invoke java.lang.reflect.Field.get(Object) because field is null“).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1277821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RT_10b_LM161_Profil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2778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Schnittstellen-Mapping-Profil pflegen (LM161), Kopf (SSI-Testsystem srv01, WAMAS LS 2.8 (Testdaten))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1758411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RT_10_LM161_Daten-Zuordnung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7584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LM161, Registerkarte Datenzuordnung (SSI-Testsystem srv01, WAMAS LS 2.8 (Testdaten))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Profil auf dem Stumatec-System</w:t>
            </w:r>
          </w:p>
          <w:p>
            <w:pPr>
              <w:spacing w:after="40"/>
            </w:pPr>
            <w:r>
              <w:rPr>
                <w:sz w:val="19"/>
              </w:rPr>
              <w:t xml:space="preserve">Ob das Profil </w:t>
            </w:r>
            <w:r>
              <w:rPr>
                <w:rFonts w:ascii="Consolas" w:hAnsi="Consolas" w:cs="Consolas" w:eastAsia="Consolas"/>
                <w:sz w:val="17"/>
              </w:rPr>
              <w:t>EXCEL_ITEM_V5</w:t>
            </w:r>
            <w:r>
              <w:rPr>
                <w:sz w:val="19"/>
              </w:rPr>
              <w:t xml:space="preserve"> auf dem Stumatec-System schon vorhanden ist, vor dem ersten Import in LM161 prüfen. Fehlt es: in LM161 nach der Spaltenliste der Anleitung </w:t>
            </w:r>
            <w:r>
              <w:rPr>
                <w:b/>
                <w:sz w:val="19"/>
              </w:rPr>
              <w:t>Artikel importieren</w:t>
            </w:r>
            <w:r>
              <w:rPr>
                <w:sz w:val="19"/>
              </w:rPr>
              <w:t xml:space="preserve"> anlegen. Profil-XML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über DI014 einspielen.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KH-A Kap. 6.1–6.6; TL Z. 12–15; Profil </w:t>
      </w:r>
      <w:r>
        <w:rPr>
          <w:rFonts w:ascii="Consolas" w:hAnsi="Consolas" w:cs="Consolas" w:eastAsia="Consolas"/>
          <w:sz w:val="15"/>
        </w:rPr>
        <w:t>/workspace/EXCEL_ITEM_V5_profile.xml</w:t>
      </w:r>
    </w:p>
    <w:p>
      <w:pPr>
        <w:pStyle w:val="Heading1"/>
      </w:pPr>
      <w:r>
        <w:t>10 Zugriffsöffnung und Touch-Terminal</w:t>
      </w:r>
    </w:p>
    <w:p>
      <w:pPr>
        <w:pStyle w:val="ListBullet"/>
      </w:pPr>
      <w:r>
        <w:t xml:space="preserve">Der Touch-Client ist fest an eine Öffnung gebunden. Beim ersten Start fragt </w:t>
      </w:r>
      <w:r>
        <w:rPr>
          <w:b/>
        </w:rPr>
        <w:t>Öffnungsnummer zuordnen</w:t>
      </w:r>
      <w:r>
        <w:t xml:space="preserve"> (LM009) nach LOGIMAT und Öffnung.</w:t>
      </w:r>
    </w:p>
    <w:p>
      <w:pPr>
        <w:pStyle w:val="ListBullet"/>
      </w:pPr>
      <w:r>
        <w:t xml:space="preserve">Ist die Liste leer, ist die Öffnung noch an ein anderes Terminal gebunden: im Desktop-Client </w:t>
      </w:r>
      <w:r>
        <w:rPr>
          <w:b/>
        </w:rPr>
        <w:t>Übersicht Zugriffsöffnungen</w:t>
      </w:r>
      <w:r>
        <w:t xml:space="preserve"> (LM056) das Terminal der Öffnung leeren. Alten und neuen Wert notieren.</w:t>
      </w:r>
    </w:p>
    <w:p>
      <w:pPr>
        <w:pStyle w:val="ListBullet"/>
      </w:pPr>
      <w:r>
        <w:t xml:space="preserve">Der Arbeitsmodus der Öffnung wird am Touch-Client durch die Kachelwahl gesetzt (z. B. </w:t>
      </w:r>
      <w:r>
        <w:rPr>
          <w:b/>
        </w:rPr>
        <w:t>Manuelle Vorgänge</w:t>
      </w:r>
      <w:r>
        <w:t>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133"/>
        <w:gridCol w:w="2456"/>
        <w:gridCol w:w="2935"/>
      </w:tblGrid>
      <w:tr>
        <w:trPr>
          <w:tblHeader w:val="true"/>
          <w:cantSplit w:val="true"/>
        </w:trPr>
        <w:tc>
          <w:tcPr>
            <w:tcW w:type="dxa" w:w="41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LOGIMAT</w:t>
            </w:r>
          </w:p>
        </w:tc>
        <w:tc>
          <w:tcPr>
            <w:tcW w:type="dxa" w:w="24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Zugriffsöffnung</w:t>
            </w:r>
          </w:p>
        </w:tc>
        <w:tc>
          <w:tcPr>
            <w:tcW w:type="dxa" w:w="29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Terminal / Touch-Client</w:t>
            </w:r>
          </w:p>
        </w:tc>
      </w:tr>
      <w:tr>
        <w:trPr>
          <w:cantSplit w:val="true"/>
        </w:trPr>
        <w:tc>
          <w:tcPr>
            <w:tcW w:type="dxa" w:w="4133"/>
          </w:tcPr>
          <w:p>
            <w:pPr>
              <w:spacing w:after="0" w:line="252" w:lineRule="auto"/>
            </w:pPr>
            <w:r>
              <w:rPr>
                <w:sz w:val="17"/>
              </w:rPr>
              <w:t>LOGIMAT 1 (hinter Firewall FW1)</w:t>
            </w:r>
          </w:p>
        </w:tc>
        <w:tc>
          <w:tcPr>
            <w:tcW w:type="dxa" w:w="2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  <w:tc>
          <w:tcPr>
            <w:tcW w:type="dxa" w:w="293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</w:tr>
      <w:tr>
        <w:trPr>
          <w:cantSplit w:val="true"/>
        </w:trPr>
        <w:tc>
          <w:tcPr>
            <w:tcW w:type="dxa" w:w="4133"/>
          </w:tcPr>
          <w:p>
            <w:pPr>
              <w:spacing w:after="0" w:line="252" w:lineRule="auto"/>
            </w:pPr>
            <w:r>
              <w:rPr>
                <w:sz w:val="17"/>
              </w:rPr>
              <w:t>LOGIMAT 2 (hinter Firewall FW2)</w:t>
            </w:r>
          </w:p>
        </w:tc>
        <w:tc>
          <w:tcPr>
            <w:tcW w:type="dxa" w:w="2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  <w:tc>
          <w:tcPr>
            <w:tcW w:type="dxa" w:w="293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</w:tr>
    </w:tbl>
    <w:p>
      <w:pPr>
        <w:pStyle w:val="BeschriftungSSI"/>
      </w:pPr>
      <w:r>
        <w:t>Tab. 8: Öffnungen und Terminals der Stumatec (vor Ort ausfüllen, siehe Inbetriebnahmeprotokoll)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(Grundlagen); KH-A Kap. 4</w:t>
      </w:r>
    </w:p>
    <w:p>
      <w:pPr>
        <w:pStyle w:val="Heading1"/>
      </w:pPr>
      <w:r>
        <w:t>11 Kontrolle, Protokolle und Logs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182"/>
        <w:gridCol w:w="6343"/>
      </w:tblGrid>
      <w:tr>
        <w:trPr>
          <w:tblHeader w:val="true"/>
          <w:cantSplit w:val="true"/>
        </w:trPr>
        <w:tc>
          <w:tcPr>
            <w:tcW w:type="dxa" w:w="31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prüfen?</w:t>
            </w:r>
          </w:p>
        </w:tc>
        <w:tc>
          <w:tcPr>
            <w:tcW w:type="dxa" w:w="63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Bestand je Artikel, Box, Lagerplatz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Bestandsobjekte</w:t>
            </w:r>
            <w:r>
              <w:rPr>
                <w:sz w:val="17"/>
              </w:rPr>
              <w:t xml:space="preserve"> (SM022)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Boxen, Tablare, Sperren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Ladeeinheiten</w:t>
            </w:r>
            <w:r>
              <w:rPr>
                <w:sz w:val="17"/>
              </w:rPr>
              <w:t xml:space="preserve"> (SM023)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Importe und Fehler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eingehende Systempartnernachrichten</w:t>
            </w:r>
            <w:r>
              <w:rPr>
                <w:sz w:val="17"/>
              </w:rPr>
              <w:t xml:space="preserve"> (DI002) → Fehlerprotokoll (DI003)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Wer ist angemeldet?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Benutzersitzungen</w:t>
            </w:r>
            <w:r>
              <w:rPr>
                <w:sz w:val="17"/>
              </w:rPr>
              <w:t xml:space="preserve"> (UM013)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Wer hat was geändert?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Rechtsklick → </w:t>
            </w:r>
            <w:r>
              <w:rPr>
                <w:b/>
                <w:sz w:val="17"/>
              </w:rPr>
              <w:t>Aktivitätsprotokoll anzeigen</w:t>
            </w:r>
            <w:r>
              <w:rPr>
                <w:sz w:val="17"/>
              </w:rPr>
              <w:t xml:space="preserve"> (FW027), </w:t>
            </w:r>
            <w:r>
              <w:rPr>
                <w:b/>
                <w:sz w:val="17"/>
              </w:rPr>
              <w:t>Audit-Log</w:t>
            </w:r>
            <w:r>
              <w:rPr>
                <w:sz w:val="17"/>
              </w:rPr>
              <w:t xml:space="preserve"> (UM028)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Logdateien für den Support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Logfiles</w:t>
            </w:r>
            <w:r>
              <w:rPr>
                <w:sz w:val="17"/>
              </w:rPr>
              <w:t xml:space="preserve"> (SE031) → Suche → </w:t>
            </w:r>
            <w:r>
              <w:rPr>
                <w:b/>
                <w:sz w:val="17"/>
              </w:rPr>
              <w:t>Download</w:t>
            </w:r>
            <w:r>
              <w:rPr>
                <w:sz w:val="17"/>
              </w:rPr>
              <w:t xml:space="preserve"> </w:t>
            </w:r>
            <w:r>
              <w:rPr>
                <w:b/>
                <w:sz w:val="17"/>
              </w:rPr>
              <w:t>[vor Ort prüfen]</w:t>
            </w:r>
          </w:p>
        </w:tc>
      </w:tr>
    </w:tbl>
    <w:p>
      <w:pPr>
        <w:pStyle w:val="BeschriftungSSI"/>
      </w:pPr>
      <w:r>
        <w:t>Tab. 9: Kontrollen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4_di002_ergebnis_18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DI002 – Import fertiggestellt bzw. fehlerhaft (SSI-Testsystem srv01, WAMAS LS 2.8 (Testdaten))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1, 6.4, 7, 8; SCH-A Kap. 11 (SE031 aus AH 2.7/2.8)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Logdateien lesen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Wie man Logdateien bei Störungen auswertet (welche Datei wofür, Aufbau einer Logzeile, Vorgehen in fünf Schritten), beschreibt der </w:t>
            </w:r>
            <w:r>
              <w:rPr>
                <w:b/>
                <w:sz w:val="19"/>
              </w:rPr>
              <w:t>Log-Analyse-Leitfaden 2.8 V 1.0</w:t>
            </w:r>
            <w:r>
              <w:rPr>
                <w:sz w:val="19"/>
              </w:rPr>
              <w:t>. Logdateien vor der Weitergabe auf Zugangsdaten prüfen.</w:t>
            </w:r>
          </w:p>
        </w:tc>
      </w:tr>
    </w:tbl>
    <w:p>
      <w:pPr>
        <w:spacing w:after="40"/>
      </w:pPr>
    </w:p>
    <w:p>
      <w:pPr>
        <w:pStyle w:val="Heading1"/>
      </w:pPr>
      <w:r>
        <w:t>12 Druckdokumente</w:t>
      </w:r>
    </w:p>
    <w:p>
      <w:pPr>
        <w:pStyle w:val="ListBullet"/>
      </w:pPr>
      <w:r>
        <w:t xml:space="preserve">Ein Druckdokument entsteht aus </w:t>
      </w:r>
      <w:r>
        <w:rPr>
          <w:b/>
        </w:rPr>
        <w:t>RM010</w:t>
      </w:r>
      <w:r>
        <w:t xml:space="preserve"> (welche Konfiguration gilt, Häkchen </w:t>
      </w:r>
      <w:r>
        <w:rPr>
          <w:b/>
        </w:rPr>
        <w:t>Aktiviert</w:t>
      </w:r>
      <w:r>
        <w:t xml:space="preserve">), </w:t>
      </w:r>
      <w:r>
        <w:rPr>
          <w:b/>
        </w:rPr>
        <w:t>RM005</w:t>
      </w:r>
      <w:r>
        <w:t xml:space="preserve"> (Kanäle und </w:t>
      </w:r>
      <w:r>
        <w:rPr>
          <w:b/>
        </w:rPr>
        <w:t>Sprachen</w:t>
      </w:r>
      <w:r>
        <w:t xml:space="preserve">) und </w:t>
      </w:r>
      <w:r>
        <w:rPr>
          <w:b/>
        </w:rPr>
        <w:t>RM003</w:t>
      </w:r>
      <w:r>
        <w:t xml:space="preserve"> (Layout). Den Drucker wählt WAMAS über </w:t>
      </w:r>
      <w:r>
        <w:rPr>
          <w:b/>
        </w:rPr>
        <w:t>RM015</w:t>
      </w:r>
      <w:r>
        <w:t xml:space="preserve">, </w:t>
      </w:r>
      <w:r>
        <w:rPr>
          <w:b/>
        </w:rPr>
        <w:t>RM011</w:t>
      </w:r>
      <w:r>
        <w:t xml:space="preserve"> und </w:t>
      </w:r>
      <w:r>
        <w:rPr>
          <w:b/>
        </w:rPr>
        <w:t>RM017</w:t>
      </w:r>
      <w:r>
        <w:t>.</w:t>
      </w:r>
    </w:p>
    <w:p>
      <w:pPr>
        <w:pStyle w:val="ListBullet"/>
      </w:pPr>
      <w:r>
        <w:rPr>
          <w:b/>
        </w:rPr>
        <w:t>Festlegung Stumatec: Druckdokumente nur in Deutsch</w:t>
      </w:r>
      <w:r>
        <w:t xml:space="preserve"> (Sprache </w:t>
      </w:r>
      <w:r>
        <w:rPr>
          <w:rFonts w:ascii="Consolas" w:hAnsi="Consolas" w:cs="Consolas" w:eastAsia="Consolas"/>
          <w:sz w:val="18"/>
        </w:rPr>
        <w:t>ger</w:t>
      </w:r>
      <w:r>
        <w:t xml:space="preserve">). Die Sprache wird nur in </w:t>
      </w:r>
      <w:r>
        <w:rPr>
          <w:b/>
        </w:rPr>
        <w:t>RM005</w:t>
      </w:r>
      <w:r>
        <w:t xml:space="preserve"> gepflegt. Standard-Konfigurationen nicht ändern, sondern eine Kopie mit nur </w:t>
      </w:r>
      <w:r>
        <w:rPr>
          <w:rFonts w:ascii="Consolas" w:hAnsi="Consolas" w:cs="Consolas" w:eastAsia="Consolas"/>
          <w:sz w:val="18"/>
        </w:rPr>
        <w:t>ger</w:t>
      </w:r>
      <w:r>
        <w:t xml:space="preserve"> anlegen.</w:t>
      </w:r>
    </w:p>
    <w:p>
      <w:pPr>
        <w:pStyle w:val="ListBullet"/>
      </w:pPr>
      <w:r>
        <w:t xml:space="preserve">Der automatische Druck und der Nachdruck aus </w:t>
      </w:r>
      <w:r>
        <w:rPr>
          <w:b/>
        </w:rPr>
        <w:t>RM018</w:t>
      </w:r>
      <w:r>
        <w:t xml:space="preserve"> beachten </w:t>
      </w:r>
      <w:r>
        <w:rPr>
          <w:b/>
        </w:rPr>
        <w:t>Aktiviert</w:t>
      </w:r>
      <w:r>
        <w:t xml:space="preserve"> in RM010. Zuordnungen je Klient oder Partner wirken beim manuellen Druck nicht (Befund SSI-Testsystem).</w:t>
      </w:r>
    </w:p>
    <w:p>
      <w:pPr>
        <w:pStyle w:val="ListBullet"/>
      </w:pPr>
      <w:r>
        <w:t xml:space="preserve">Etiketten (ZPL, Zebra): Einrichtung siehe </w:t>
      </w:r>
      <w:r>
        <w:rPr>
          <w:b/>
        </w:rPr>
        <w:t>Etikettendruck Zebra ZPL 2.8 V 1.1</w:t>
      </w:r>
      <w:r>
        <w:t>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098"/>
        <w:gridCol w:w="3427"/>
      </w:tblGrid>
      <w:tr>
        <w:trPr>
          <w:tblHeader w:val="true"/>
          <w:cantSplit w:val="true"/>
        </w:trPr>
        <w:tc>
          <w:tcPr>
            <w:tcW w:type="dxa" w:w="609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342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Stumatec</w:t>
            </w:r>
          </w:p>
        </w:tc>
      </w:tr>
      <w:tr>
        <w:trPr>
          <w:cantSplit w:val="true"/>
        </w:trPr>
        <w:tc>
          <w:tcPr>
            <w:tcW w:type="dxa" w:w="6098"/>
          </w:tcPr>
          <w:p>
            <w:pPr>
              <w:spacing w:after="0" w:line="252" w:lineRule="auto"/>
            </w:pPr>
            <w:r>
              <w:rPr>
                <w:sz w:val="17"/>
              </w:rPr>
              <w:t>Drucker für Belege (Name, IP)</w:t>
            </w:r>
          </w:p>
        </w:tc>
        <w:tc>
          <w:tcPr>
            <w:tcW w:type="dxa" w:w="342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</w:tr>
      <w:tr>
        <w:trPr>
          <w:cantSplit w:val="true"/>
        </w:trPr>
        <w:tc>
          <w:tcPr>
            <w:tcW w:type="dxa" w:w="6098"/>
          </w:tcPr>
          <w:p>
            <w:pPr>
              <w:spacing w:after="0" w:line="252" w:lineRule="auto"/>
            </w:pPr>
            <w:r>
              <w:rPr>
                <w:sz w:val="17"/>
              </w:rPr>
              <w:t>Etikettendrucker (Zebra, IP, Etikettengrösse)</w:t>
            </w:r>
          </w:p>
        </w:tc>
        <w:tc>
          <w:tcPr>
            <w:tcW w:type="dxa" w:w="342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</w:tr>
      <w:tr>
        <w:trPr>
          <w:cantSplit w:val="true"/>
        </w:trPr>
        <w:tc>
          <w:tcPr>
            <w:tcW w:type="dxa" w:w="6098"/>
          </w:tcPr>
          <w:p>
            <w:pPr>
              <w:spacing w:after="0" w:line="252" w:lineRule="auto"/>
            </w:pPr>
            <w:r>
              <w:rPr>
                <w:sz w:val="17"/>
              </w:rPr>
              <w:t>Belege je Wareneigentümer unterschiedlich?</w:t>
            </w:r>
          </w:p>
        </w:tc>
        <w:tc>
          <w:tcPr>
            <w:tcW w:type="dxa" w:w="3427"/>
          </w:tcPr>
          <w:p>
            <w:pPr>
              <w:spacing w:after="0" w:line="252" w:lineRule="auto"/>
            </w:pPr>
            <w:r>
              <w:rPr>
                <w:sz w:val="17"/>
              </w:rPr>
              <w:t>hängt vom Entscheid Dokument 12 ab</w:t>
            </w:r>
          </w:p>
        </w:tc>
      </w:tr>
    </w:tbl>
    <w:p>
      <w:pPr>
        <w:pStyle w:val="BeschriftungSSI"/>
      </w:pPr>
      <w:r>
        <w:t>Tab. 10: Druck bei der Stumatec (vor Ort ausfüllen)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DD28 Kap. 2.1, 3, 8; ZPL28; KLP Kap. 7.5</w:t>
      </w:r>
    </w:p>
    <w:p>
      <w:pPr>
        <w:pStyle w:val="Heading1"/>
      </w:pPr>
      <w:r>
        <w:t>13 Datensicherung und Ansprechpartner</w:t>
      </w:r>
    </w:p>
    <w:p>
      <w:pPr>
        <w:pStyle w:val="Heading2"/>
      </w:pPr>
      <w:r>
        <w:t>13.1 Datensicherung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Datensicherung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WAMAS-Handbücher 2.7 und 2.8 beschreiben </w:t>
            </w:r>
            <w:r>
              <w:rPr>
                <w:b/>
                <w:sz w:val="19"/>
              </w:rPr>
              <w:t>keine</w:t>
            </w:r>
            <w:r>
              <w:rPr>
                <w:sz w:val="19"/>
              </w:rPr>
              <w:t xml:space="preserve"> Datensicherung (Datenbank, Konfiguration). Sicherung, Aufbewahrung und Wiederherstellung mit der IT der Stumatec </w:t>
            </w:r>
            <w:r>
              <w:rPr>
                <w:b/>
                <w:sz w:val="19"/>
              </w:rPr>
              <w:t>[auszufüllen]</w:t>
            </w:r>
            <w:r>
              <w:rPr>
                <w:sz w:val="19"/>
              </w:rPr>
              <w:t xml:space="preserve"> und SSI SCHÄFER vereinbaren und hier eintragen (WAMAS-Server </w:t>
            </w:r>
            <w:r>
              <w:rPr>
                <w:rFonts w:ascii="Consolas" w:hAnsi="Consolas" w:cs="Consolas" w:eastAsia="Consolas"/>
                <w:sz w:val="17"/>
              </w:rPr>
              <w:t>srstulvs101</w:t>
            </w:r>
            <w:r>
              <w:rPr>
                <w:sz w:val="19"/>
              </w:rPr>
              <w:t>, siehe Inbetriebnahmeprotokoll).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7989"/>
        <w:gridCol w:w="1536"/>
      </w:tblGrid>
      <w:tr>
        <w:trPr>
          <w:tblHeader w:val="true"/>
          <w:cantSplit w:val="true"/>
        </w:trPr>
        <w:tc>
          <w:tcPr>
            <w:tcW w:type="dxa" w:w="79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15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Festlegung (vor Ort ausfüllen)</w:t>
            </w:r>
          </w:p>
        </w:tc>
      </w:tr>
      <w:tr>
        <w:trPr>
          <w:cantSplit w:val="true"/>
        </w:trPr>
        <w:tc>
          <w:tcPr>
            <w:tcW w:type="dxa" w:w="7988"/>
          </w:tcPr>
          <w:p>
            <w:pPr>
              <w:spacing w:after="0" w:line="252" w:lineRule="auto"/>
            </w:pPr>
            <w:r>
              <w:rPr>
                <w:sz w:val="17"/>
              </w:rPr>
              <w:t>Was wird gesichert (Datenbank, Konfiguration, Importdateien)?</w:t>
            </w:r>
          </w:p>
        </w:tc>
        <w:tc>
          <w:tcPr>
            <w:tcW w:type="dxa" w:w="1536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7988"/>
          </w:tcPr>
          <w:p>
            <w:pPr>
              <w:spacing w:after="0" w:line="252" w:lineRule="auto"/>
            </w:pPr>
            <w:r>
              <w:rPr>
                <w:sz w:val="17"/>
              </w:rPr>
              <w:t>Wie oft, wohin, wie lange aufbewahrt?</w:t>
            </w:r>
          </w:p>
        </w:tc>
        <w:tc>
          <w:tcPr>
            <w:tcW w:type="dxa" w:w="1536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7988"/>
          </w:tcPr>
          <w:p>
            <w:pPr>
              <w:spacing w:after="0" w:line="252" w:lineRule="auto"/>
            </w:pPr>
            <w:r>
              <w:rPr>
                <w:sz w:val="17"/>
              </w:rPr>
              <w:t>Wer prüft die Sicherung?</w:t>
            </w:r>
          </w:p>
        </w:tc>
        <w:tc>
          <w:tcPr>
            <w:tcW w:type="dxa" w:w="1536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7988"/>
          </w:tcPr>
          <w:p>
            <w:pPr>
              <w:spacing w:after="0" w:line="252" w:lineRule="auto"/>
            </w:pPr>
            <w:r>
              <w:rPr>
                <w:sz w:val="17"/>
              </w:rPr>
              <w:t>Wiederherstellung getestet am</w:t>
            </w:r>
          </w:p>
        </w:tc>
        <w:tc>
          <w:tcPr>
            <w:tcW w:type="dxa" w:w="1536"/>
          </w:tcPr>
          <w:p>
            <w:pPr>
              <w:spacing w:after="0" w:line="252" w:lineRule="auto"/>
            </w:pPr>
          </w:p>
        </w:tc>
      </w:tr>
    </w:tbl>
    <w:p>
      <w:pPr>
        <w:pStyle w:val="BeschriftungSSI"/>
      </w:pPr>
      <w:r>
        <w:t>Tab. 11: Datensicherung</w:t>
      </w:r>
    </w:p>
    <w:p>
      <w:pPr>
        <w:pStyle w:val="Heading2"/>
      </w:pPr>
      <w:r>
        <w:t>13.2 Ansprechpartner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757"/>
        <w:gridCol w:w="2201"/>
        <w:gridCol w:w="3566"/>
      </w:tblGrid>
      <w:tr>
        <w:trPr>
          <w:tblHeader w:val="true"/>
          <w:cantSplit w:val="true"/>
        </w:trPr>
        <w:tc>
          <w:tcPr>
            <w:tcW w:type="dxa" w:w="37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22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Name</w:t>
            </w:r>
          </w:p>
        </w:tc>
        <w:tc>
          <w:tcPr>
            <w:tcW w:type="dxa" w:w="35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Kontakt</w:t>
            </w:r>
          </w:p>
        </w:tc>
      </w:tr>
      <w:tr>
        <w:trPr>
          <w:cantSplit w:val="true"/>
        </w:trPr>
        <w:tc>
          <w:tcPr>
            <w:tcW w:type="dxa" w:w="3757"/>
          </w:tcPr>
          <w:p>
            <w:pPr>
              <w:spacing w:after="0" w:line="252" w:lineRule="auto"/>
            </w:pPr>
            <w:r>
              <w:rPr>
                <w:sz w:val="17"/>
              </w:rPr>
              <w:t>Kontaktperson Stumatec, Key-User</w:t>
            </w:r>
          </w:p>
        </w:tc>
        <w:tc>
          <w:tcPr>
            <w:tcW w:type="dxa" w:w="220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  <w:tc>
          <w:tcPr>
            <w:tcW w:type="dxa" w:w="356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</w:tr>
      <w:tr>
        <w:trPr>
          <w:cantSplit w:val="true"/>
        </w:trPr>
        <w:tc>
          <w:tcPr>
            <w:tcW w:type="dxa" w:w="3757"/>
          </w:tcPr>
          <w:p>
            <w:pPr>
              <w:spacing w:after="0" w:line="252" w:lineRule="auto"/>
            </w:pPr>
            <w:r>
              <w:rPr>
                <w:sz w:val="17"/>
              </w:rPr>
              <w:t>Key-User Stumatec</w:t>
            </w:r>
          </w:p>
        </w:tc>
        <w:tc>
          <w:tcPr>
            <w:tcW w:type="dxa" w:w="220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  <w:tc>
          <w:tcPr>
            <w:tcW w:type="dxa" w:w="356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</w:tr>
      <w:tr>
        <w:trPr>
          <w:cantSplit w:val="true"/>
        </w:trPr>
        <w:tc>
          <w:tcPr>
            <w:tcW w:type="dxa" w:w="3757"/>
          </w:tcPr>
          <w:p>
            <w:pPr>
              <w:spacing w:after="0" w:line="252" w:lineRule="auto"/>
            </w:pPr>
            <w:r>
              <w:rPr>
                <w:sz w:val="17"/>
              </w:rPr>
              <w:t>Bediener/in LOGIMAT (Logistik)</w:t>
            </w:r>
          </w:p>
        </w:tc>
        <w:tc>
          <w:tcPr>
            <w:tcW w:type="dxa" w:w="2202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  <w:tc>
          <w:tcPr>
            <w:tcW w:type="dxa" w:w="3566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</w:tr>
      <w:tr>
        <w:trPr>
          <w:cantSplit w:val="true"/>
        </w:trPr>
        <w:tc>
          <w:tcPr>
            <w:tcW w:type="dxa" w:w="3757"/>
          </w:tcPr>
          <w:p>
            <w:pPr>
              <w:spacing w:after="0" w:line="252" w:lineRule="auto"/>
            </w:pPr>
            <w:r>
              <w:rPr>
                <w:sz w:val="17"/>
              </w:rPr>
              <w:t>Projektleitung WAMAS, SSI SCHÄFER</w:t>
            </w:r>
          </w:p>
        </w:tc>
        <w:tc>
          <w:tcPr>
            <w:tcW w:type="dxa" w:w="2202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  <w:tc>
          <w:tcPr>
            <w:tcW w:type="dxa" w:w="3566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</w:tr>
      <w:tr>
        <w:trPr>
          <w:cantSplit w:val="true"/>
        </w:trPr>
        <w:tc>
          <w:tcPr>
            <w:tcW w:type="dxa" w:w="37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 Hotline / Service</w:t>
            </w:r>
          </w:p>
        </w:tc>
        <w:tc>
          <w:tcPr>
            <w:tcW w:type="dxa" w:w="2202"/>
          </w:tcPr>
          <w:p>
            <w:pPr>
              <w:spacing w:after="0" w:line="252" w:lineRule="auto"/>
            </w:pPr>
            <w:r>
              <w:rPr>
                <w:sz w:val="17"/>
              </w:rPr>
              <w:t>Call Center</w:t>
            </w:r>
          </w:p>
        </w:tc>
        <w:tc>
          <w:tcPr>
            <w:tcW w:type="dxa" w:w="356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Nummer auf dem Aufkleber am LOGIMAT; </w:t>
            </w:r>
            <w:r>
              <w:rPr>
                <w:rFonts w:ascii="Consolas" w:hAnsi="Consolas" w:cs="Consolas" w:eastAsia="Consolas"/>
                <w:sz w:val="15"/>
              </w:rPr>
              <w:t>call.center@ssi-schaefer.com</w:t>
            </w:r>
          </w:p>
        </w:tc>
      </w:tr>
      <w:tr>
        <w:trPr>
          <w:cantSplit w:val="true"/>
        </w:trPr>
        <w:tc>
          <w:tcPr>
            <w:tcW w:type="dxa" w:w="3757"/>
          </w:tcPr>
          <w:p>
            <w:pPr>
              <w:spacing w:after="0" w:line="252" w:lineRule="auto"/>
            </w:pPr>
            <w:r>
              <w:rPr>
                <w:sz w:val="17"/>
              </w:rPr>
              <w:t>IT Stumatec</w:t>
            </w:r>
          </w:p>
        </w:tc>
        <w:tc>
          <w:tcPr>
            <w:tcW w:type="dxa" w:w="220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  <w:tc>
          <w:tcPr>
            <w:tcW w:type="dxa" w:w="356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</w:tr>
    </w:tbl>
    <w:p>
      <w:pPr>
        <w:pStyle w:val="BeschriftungSSI"/>
      </w:pPr>
      <w:r>
        <w:t>Tab. 12: Ansprechpartner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SCH-A Kap. 11 (Lücke Datensicherung); BH27 Kap. 1 (Support)</w:t>
      </w:r>
    </w:p>
    <w:p>
      <w:pPr>
        <w:pStyle w:val="Heading1"/>
      </w:pPr>
      <w:r>
        <w:t>14 Klient, Partner und Wareneigentümer</w:t>
      </w:r>
    </w:p>
    <w:p>
      <w:r>
        <w:t xml:space="preserve">Dieses Kapitel zeigt nur, </w:t>
      </w:r>
      <w:r>
        <w:rPr>
          <w:b/>
        </w:rPr>
        <w:t>wo</w:t>
      </w:r>
      <w:r>
        <w:t xml:space="preserve"> die Stammdaten liegen. Was für die Stumatec eingerichtet wird, folgt aus dem Entscheid zu Dokument 12.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86"/>
        <w:gridCol w:w="2017"/>
        <w:gridCol w:w="5421"/>
      </w:tblGrid>
      <w:tr>
        <w:trPr>
          <w:tblHeader w:val="true"/>
          <w:cantSplit w:val="true"/>
        </w:trPr>
        <w:tc>
          <w:tcPr>
            <w:tcW w:type="dxa" w:w="20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Objekt</w:t>
            </w:r>
          </w:p>
        </w:tc>
        <w:tc>
          <w:tcPr>
            <w:tcW w:type="dxa" w:w="20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54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Hinweis</w:t>
            </w:r>
          </w:p>
        </w:tc>
      </w:tr>
      <w:tr>
        <w:trPr>
          <w:cantSplit w:val="true"/>
        </w:trPr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Klient</w:t>
            </w:r>
            <w:r>
              <w:rPr>
                <w:sz w:val="17"/>
              </w:rPr>
              <w:t xml:space="preserve"> (umgangssprachlich „Mandant“)</w:t>
            </w:r>
          </w:p>
        </w:tc>
        <w:tc>
          <w:tcPr>
            <w:tcW w:type="dxa" w:w="201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Klient pflegen</w:t>
            </w:r>
            <w:r>
              <w:rPr>
                <w:sz w:val="17"/>
              </w:rPr>
              <w:t xml:space="preserve"> (MD017)</w:t>
            </w:r>
          </w:p>
        </w:tc>
        <w:tc>
          <w:tcPr>
            <w:tcW w:type="dxa" w:w="5420"/>
          </w:tcPr>
          <w:p>
            <w:pPr>
              <w:spacing w:after="0" w:line="252" w:lineRule="auto"/>
            </w:pPr>
            <w:r>
              <w:rPr>
                <w:sz w:val="17"/>
              </w:rPr>
              <w:t>Artikel sind eindeutig über Klient + Artikelnummer + Variante; ein neuer Klient startet leer (keine Kopierfunktion)</w:t>
            </w:r>
          </w:p>
        </w:tc>
      </w:tr>
      <w:tr>
        <w:trPr>
          <w:cantSplit w:val="true"/>
        </w:trPr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Partner</w:t>
            </w:r>
            <w:r>
              <w:rPr>
                <w:sz w:val="17"/>
              </w:rPr>
              <w:t xml:space="preserve"> (Lieferant, Kunde, Wareneigentümer)</w:t>
            </w:r>
          </w:p>
        </w:tc>
        <w:tc>
          <w:tcPr>
            <w:tcW w:type="dxa" w:w="201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Partner pflegen</w:t>
            </w:r>
            <w:r>
              <w:rPr>
                <w:sz w:val="17"/>
              </w:rPr>
              <w:t xml:space="preserve"> (MD018)</w:t>
            </w:r>
          </w:p>
        </w:tc>
        <w:tc>
          <w:tcPr>
            <w:tcW w:type="dxa" w:w="5420"/>
          </w:tcPr>
          <w:p>
            <w:pPr>
              <w:spacing w:after="0" w:line="252" w:lineRule="auto"/>
            </w:pPr>
            <w:r>
              <w:rPr>
                <w:sz w:val="17"/>
              </w:rPr>
              <w:t>wird immer unter einem Klienten angelegt</w:t>
            </w:r>
          </w:p>
        </w:tc>
      </w:tr>
      <w:tr>
        <w:trPr>
          <w:cantSplit w:val="true"/>
        </w:trPr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Wareneigentümer</w:t>
            </w:r>
          </w:p>
        </w:tc>
        <w:tc>
          <w:tcPr>
            <w:tcW w:type="dxa" w:w="201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→ Registerkarte </w:t>
            </w:r>
            <w:r>
              <w:rPr>
                <w:b/>
                <w:sz w:val="17"/>
              </w:rPr>
              <w:t>Wareneigentümer</w:t>
            </w:r>
          </w:p>
        </w:tc>
        <w:tc>
          <w:tcPr>
            <w:tcW w:type="dxa" w:w="542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Partner des Klienten, einer davon Standard; im Bedarf bzw. in der Schnittstelle Feld </w:t>
            </w:r>
            <w:r>
              <w:rPr>
                <w:rFonts w:ascii="Consolas" w:hAnsi="Consolas" w:cs="Consolas" w:eastAsia="Consolas"/>
                <w:sz w:val="15"/>
              </w:rPr>
              <w:t>gow</w:t>
            </w:r>
          </w:p>
        </w:tc>
      </w:tr>
      <w:tr>
        <w:trPr>
          <w:cantSplit w:val="true"/>
        </w:trPr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Systempartner</w:t>
            </w:r>
          </w:p>
        </w:tc>
        <w:tc>
          <w:tcPr>
            <w:tcW w:type="dxa" w:w="201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Systempartner pflegen</w:t>
            </w:r>
            <w:r>
              <w:rPr>
                <w:sz w:val="17"/>
              </w:rPr>
              <w:t xml:space="preserve"> (MD021)</w:t>
            </w:r>
          </w:p>
        </w:tc>
        <w:tc>
          <w:tcPr>
            <w:tcW w:type="dxa" w:w="542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IT-System (z. B.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  <w:r>
              <w:rPr>
                <w:sz w:val="17"/>
              </w:rPr>
              <w:t xml:space="preserve">), </w:t>
            </w:r>
            <w:r>
              <w:rPr>
                <w:b/>
                <w:sz w:val="17"/>
              </w:rPr>
              <w:t>kein</w:t>
            </w:r>
            <w:r>
              <w:rPr>
                <w:sz w:val="17"/>
              </w:rPr>
              <w:t xml:space="preserve"> Geschäftspartner und </w:t>
            </w:r>
            <w:r>
              <w:rPr>
                <w:b/>
                <w:sz w:val="17"/>
              </w:rPr>
              <w:t>kein</w:t>
            </w:r>
            <w:r>
              <w:rPr>
                <w:sz w:val="17"/>
              </w:rPr>
              <w:t xml:space="preserve"> Wareneigentümer</w:t>
            </w:r>
          </w:p>
        </w:tc>
      </w:tr>
    </w:tbl>
    <w:p>
      <w:pPr>
        <w:pStyle w:val="BeschriftungSSI"/>
      </w:pPr>
      <w:r>
        <w:t>Tab. 13: Stammdaten zu Klient und Wareneigentümer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LIENT_DEFAULT_MD017_Wareneigentueme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9: Klient pflegen (MD017), Registerkarte Wareneigentümer (SSI-Testsystem) (SSI-Testsystem srv01, Stand vor Ergänzung der Testpartner)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Reihenfolge</w:t>
            </w:r>
          </w:p>
          <w:p>
            <w:pPr>
              <w:spacing w:after="40"/>
            </w:pPr>
            <w:r>
              <w:rPr>
                <w:sz w:val="19"/>
              </w:rPr>
              <w:t xml:space="preserve">Erst den Partner in </w:t>
            </w:r>
            <w:r>
              <w:rPr>
                <w:b/>
                <w:sz w:val="19"/>
              </w:rPr>
              <w:t>MD018</w:t>
            </w:r>
            <w:r>
              <w:rPr>
                <w:sz w:val="19"/>
              </w:rPr>
              <w:t xml:space="preserve"> unter dem Klienten anlegen, dann in </w:t>
            </w:r>
            <w:r>
              <w:rPr>
                <w:b/>
                <w:sz w:val="19"/>
              </w:rPr>
              <w:t>MD017</w:t>
            </w:r>
            <w:r>
              <w:rPr>
                <w:sz w:val="19"/>
              </w:rPr>
              <w:t xml:space="preserve"> als Wareneigentümer eintragen. Ein neuer Klient braucht rund 20 Einrichtungsschritte (Checkliste im How-to </w:t>
            </w:r>
            <w:r>
              <w:rPr>
                <w:b/>
                <w:sz w:val="19"/>
              </w:rPr>
              <w:t>Klient pflegen 2.8</w:t>
            </w:r>
            <w:r>
              <w:rPr>
                <w:sz w:val="19"/>
              </w:rPr>
              <w:t>, Kap. 8.2).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KP28 Kap. 2, 3.2, 8.1–8.2; KLP Kap. 2.3, 2.5, 6.4</w:t>
      </w:r>
    </w:p>
    <w:p>
      <w:pPr>
        <w:pStyle w:val="Heading1"/>
      </w:pPr>
      <w:r>
        <w:t>15 Stolperfallen</w:t>
      </w:r>
    </w:p>
    <w:p>
      <w:pPr>
        <w:pStyle w:val="ListBullet"/>
      </w:pPr>
      <w:r>
        <w:t>Artikelimport mit einer Einheit, die in MD017 (beim richtigen Klienten) nicht existiert → Import bricht ab.</w:t>
      </w:r>
    </w:p>
    <w:p>
      <w:pPr>
        <w:pStyle w:val="ListBullet"/>
      </w:pPr>
      <w:r>
        <w:t xml:space="preserve">Altes Profil </w:t>
      </w:r>
      <w:r>
        <w:rPr>
          <w:rFonts w:ascii="Consolas" w:hAnsi="Consolas" w:cs="Consolas" w:eastAsia="Consolas"/>
          <w:sz w:val="18"/>
        </w:rPr>
        <w:t>EXCEL_ITEM_EXT</w:t>
      </w:r>
      <w:r>
        <w:t xml:space="preserve"> verwendet → „field is null“.</w:t>
      </w:r>
    </w:p>
    <w:p>
      <w:pPr>
        <w:pStyle w:val="ListBullet"/>
      </w:pPr>
      <w:r>
        <w:t>Excel/Profil-XML über DI014 importiert → „Hauptdatensatztyp konnte nicht bestimmt werden“.</w:t>
      </w:r>
    </w:p>
    <w:p>
      <w:pPr>
        <w:pStyle w:val="ListBullet"/>
      </w:pPr>
      <w:r>
        <w:t>Standard-Datensatz direkt geändert statt Kopie → schwer rückgängig zu machen.</w:t>
      </w:r>
    </w:p>
    <w:p>
      <w:pPr>
        <w:pStyle w:val="ListBullet"/>
      </w:pPr>
      <w:r>
        <w:t>Boxtyp-Zuordnung (LM084) für eine Box gehalten → es entsteht keine Box. Boxen entstehen nur im Tablarlayouteditor.</w:t>
      </w:r>
    </w:p>
    <w:p>
      <w:pPr>
        <w:pStyle w:val="ListBullet"/>
      </w:pPr>
      <w:r>
        <w:t xml:space="preserve">Benutzer ohne Profil „LogiMat Admin“ → Menüpunkt </w:t>
      </w:r>
      <w:r>
        <w:rPr>
          <w:b/>
        </w:rPr>
        <w:t>Artikel importieren</w:t>
      </w:r>
      <w:r>
        <w:t xml:space="preserve"> fehlt bzw. keine Rechte.</w:t>
      </w:r>
    </w:p>
    <w:p>
      <w:pPr>
        <w:pStyle w:val="Heading1"/>
      </w:pPr>
      <w:r>
        <w:t>16 Praxisbeispiele</w:t>
      </w:r>
    </w:p>
    <w:p>
      <w:pPr>
        <w:pStyle w:val="Heading2"/>
      </w:pPr>
      <w:r>
        <w:t>16.1 Neuer Bediener</w:t>
      </w:r>
    </w:p>
    <w:p>
      <w:r>
        <w:t xml:space="preserve">Ein Aushilfsmitarbeiter soll den LOGIMAT bedienen: UM002 → Benutzer anlegen → Login Anwendung Touch → Rolle mit Profil </w:t>
      </w:r>
      <w:r>
        <w:rPr>
          <w:b/>
        </w:rPr>
        <w:t>LogiMat Touch</w:t>
      </w:r>
      <w:r>
        <w:t xml:space="preserve"> → </w:t>
      </w:r>
      <w:r>
        <w:rPr>
          <w:b/>
        </w:rPr>
        <w:t>Passwort ändern</w:t>
      </w:r>
      <w:r>
        <w:t xml:space="preserve"> aktivieren → Speichern → erste Anmeldung am Touch-Client begleiten.</w:t>
      </w:r>
    </w:p>
    <w:p>
      <w:pPr>
        <w:pStyle w:val="Heading2"/>
      </w:pPr>
      <w:r>
        <w:t>16.2 Artikelimport erste Datei</w:t>
      </w:r>
    </w:p>
    <w:p>
      <w:r>
        <w:t xml:space="preserve">Der Key-User importiert die erste Stumatec-Datei nach Vorlage V5 (Dateiname </w:t>
      </w:r>
      <w:r>
        <w:rPr>
          <w:b/>
        </w:rPr>
        <w:t>[auszufüllen]</w:t>
      </w:r>
      <w:r>
        <w:t xml:space="preserve">): MD001 → Rechtsklick → </w:t>
      </w:r>
      <w:r>
        <w:rPr>
          <w:b/>
        </w:rPr>
        <w:t>Artikel importieren</w:t>
      </w:r>
      <w:r>
        <w:t xml:space="preserve"> → Profil </w:t>
      </w:r>
      <w:r>
        <w:rPr>
          <w:rFonts w:ascii="Consolas" w:hAnsi="Consolas" w:cs="Consolas" w:eastAsia="Consolas"/>
          <w:sz w:val="18"/>
        </w:rPr>
        <w:t>EXCEL_ITEM_V5</w:t>
      </w:r>
      <w:r>
        <w:t xml:space="preserve"> → Import → DI002 kontrollieren → in MD001 Stichprobe (erste und letzte Artikelnummer).</w:t>
      </w:r>
    </w:p>
    <w:p>
      <w:pPr>
        <w:pStyle w:val="Heading1"/>
      </w:pPr>
      <w:r>
        <w:t>17 Offene Punkte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67"/>
        <w:gridCol w:w="6821"/>
        <w:gridCol w:w="2137"/>
      </w:tblGrid>
      <w:tr>
        <w:trPr>
          <w:tblHeader w:val="true"/>
          <w:cantSplit w:val="true"/>
        </w:trPr>
        <w:tc>
          <w:tcPr>
            <w:tcW w:type="dxa" w:w="5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68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Punkt</w:t>
            </w:r>
          </w:p>
        </w:tc>
        <w:tc>
          <w:tcPr>
            <w:tcW w:type="dxa" w:w="21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Verantwortlich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6821"/>
          </w:tcPr>
          <w:p>
            <w:pPr>
              <w:spacing w:after="0" w:line="252" w:lineRule="auto"/>
            </w:pPr>
            <w:r>
              <w:rPr>
                <w:sz w:val="17"/>
              </w:rPr>
              <w:t>Entscheid Wareneigentümer bzw. getrennte Lager (Dokument 12), danach Klient/Partner einrichten</w:t>
            </w:r>
          </w:p>
        </w:tc>
        <w:tc>
          <w:tcPr>
            <w:tcW w:type="dxa" w:w="2137"/>
          </w:tcPr>
          <w:p>
            <w:pPr>
              <w:spacing w:after="0" w:line="252" w:lineRule="auto"/>
            </w:pPr>
            <w:r>
              <w:rPr>
                <w:sz w:val="17"/>
              </w:rPr>
              <w:t>Stumatec / SSI SCHÄFER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6821"/>
          </w:tcPr>
          <w:p>
            <w:pPr>
              <w:spacing w:after="0" w:line="252" w:lineRule="auto"/>
            </w:pPr>
            <w:r>
              <w:rPr>
                <w:sz w:val="17"/>
              </w:rPr>
              <w:t>Einheiten und Warengruppen der Stumatec festlegen und in MD017 anlegen</w:t>
            </w:r>
          </w:p>
        </w:tc>
        <w:tc>
          <w:tcPr>
            <w:tcW w:type="dxa" w:w="2137"/>
          </w:tcPr>
          <w:p>
            <w:pPr>
              <w:spacing w:after="0" w:line="252" w:lineRule="auto"/>
            </w:pPr>
            <w:r>
              <w:rPr>
                <w:sz w:val="17"/>
              </w:rPr>
              <w:t>Stumatec / SSI SCHÄFER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68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Profil </w:t>
            </w:r>
            <w:r>
              <w:rPr>
                <w:rFonts w:ascii="Consolas" w:hAnsi="Consolas" w:cs="Consolas" w:eastAsia="Consolas"/>
                <w:sz w:val="15"/>
              </w:rPr>
              <w:t>EXCEL_ITEM_V5</w:t>
            </w:r>
            <w:r>
              <w:rPr>
                <w:sz w:val="17"/>
              </w:rPr>
              <w:t xml:space="preserve"> auf dem Stumatec-System prüfen</w:t>
            </w:r>
          </w:p>
        </w:tc>
        <w:tc>
          <w:tcPr>
            <w:tcW w:type="dxa" w:w="213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6821"/>
          </w:tcPr>
          <w:p>
            <w:pPr>
              <w:spacing w:after="0" w:line="252" w:lineRule="auto"/>
            </w:pPr>
            <w:r>
              <w:rPr>
                <w:sz w:val="17"/>
              </w:rPr>
              <w:t>Benutzer und Profile für Bediener/innen und Key-User anlegen</w:t>
            </w:r>
          </w:p>
        </w:tc>
        <w:tc>
          <w:tcPr>
            <w:tcW w:type="dxa" w:w="213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 / Key-User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6821"/>
          </w:tcPr>
          <w:p>
            <w:pPr>
              <w:spacing w:after="0" w:line="252" w:lineRule="auto"/>
            </w:pPr>
            <w:r>
              <w:rPr>
                <w:sz w:val="17"/>
              </w:rPr>
              <w:t>Datensicherung mit der IT der Stumatec vereinbaren</w:t>
            </w:r>
          </w:p>
        </w:tc>
        <w:tc>
          <w:tcPr>
            <w:tcW w:type="dxa" w:w="2137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6821"/>
          </w:tcPr>
          <w:p>
            <w:pPr>
              <w:spacing w:after="0" w:line="252" w:lineRule="auto"/>
            </w:pPr>
            <w:r>
              <w:rPr>
                <w:sz w:val="17"/>
              </w:rPr>
              <w:t>Boxtypen und Tablarvorlagen beider LOGIMATs festlegen</w:t>
            </w:r>
          </w:p>
        </w:tc>
        <w:tc>
          <w:tcPr>
            <w:tcW w:type="dxa" w:w="2137"/>
          </w:tcPr>
          <w:p>
            <w:pPr>
              <w:spacing w:after="0" w:line="252" w:lineRule="auto"/>
            </w:pPr>
            <w:r>
              <w:rPr>
                <w:sz w:val="17"/>
              </w:rPr>
              <w:t>Key-User / Bediener/in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68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Drucker und Etikettendrucker festlegen, Druckdokumente nur </w:t>
            </w:r>
            <w:r>
              <w:rPr>
                <w:rFonts w:ascii="Consolas" w:hAnsi="Consolas" w:cs="Consolas" w:eastAsia="Consolas"/>
                <w:sz w:val="15"/>
              </w:rPr>
              <w:t>ger</w:t>
            </w:r>
          </w:p>
        </w:tc>
        <w:tc>
          <w:tcPr>
            <w:tcW w:type="dxa" w:w="213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 / IT</w:t>
            </w:r>
          </w:p>
        </w:tc>
      </w:tr>
    </w:tbl>
    <w:p>
      <w:pPr>
        <w:pStyle w:val="BeschriftungSSI"/>
      </w:pPr>
      <w:r>
        <w:t>Tab. 14: Offene Punkte</w:t>
      </w:r>
    </w:p>
    <w:p>
      <w:pPr>
        <w:pStyle w:val="Heading1"/>
      </w:pPr>
      <w:r>
        <w:t>18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27"/>
        <w:gridCol w:w="8697"/>
      </w:tblGrid>
      <w:tr>
        <w:trPr>
          <w:tblHeader w:val="true"/>
          <w:cantSplit w:val="true"/>
        </w:trPr>
        <w:tc>
          <w:tcPr>
            <w:tcW w:type="dxa" w:w="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69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/ Datei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KH-A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Know-how Admin-/Desktop-Client, Stand 17.10.2026, live verifiziert (</w:t>
            </w:r>
            <w:r>
              <w:rPr>
                <w:rFonts w:ascii="Consolas" w:hAnsi="Consolas" w:cs="Consolas" w:eastAsia="Consolas"/>
                <w:sz w:val="15"/>
              </w:rPr>
              <w:t>Revidiert_mit_echtem_System/00_Knowhow/WAMAS_Admin_Knowhow.md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KH-L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Touch-Client, Stand 17.10.2026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SIR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Stammdaten-Import-Recherche, Stand 17.10.2026 (</w:t>
            </w:r>
            <w:r>
              <w:rPr>
                <w:rFonts w:ascii="Consolas" w:hAnsi="Consolas" w:cs="Consolas" w:eastAsia="Consolas"/>
                <w:sz w:val="15"/>
              </w:rPr>
              <w:t>00_Testplan/Stammdaten_Import_Recherche.md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TL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Testlog WAMAS Dev, 16./17.10.2026 (</w:t>
            </w:r>
            <w:r>
              <w:rPr>
                <w:rFonts w:ascii="Consolas" w:hAnsi="Consolas" w:cs="Consolas" w:eastAsia="Consolas"/>
                <w:sz w:val="15"/>
              </w:rPr>
              <w:t>00_Testplan/Testlog_WAMAS_Dev.md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SCH-A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SSI-Schulungsunterlage Administrator v1.0 (</w:t>
            </w:r>
            <w:r>
              <w:rPr>
                <w:rFonts w:ascii="Consolas" w:hAnsi="Consolas" w:cs="Consolas" w:eastAsia="Consolas"/>
                <w:sz w:val="15"/>
              </w:rPr>
              <w:t>anleitungen/Schulung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AH28 / BH28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Manual 2.8 / User Manual 2.8 (enUS)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WDW-AI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Anleitung Artikel anlegen/importieren, WAMAS Dev, Stand 18.10.2026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WDW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SSI-Testsystem srv01 (</w:t>
            </w:r>
            <w:r>
              <w:rPr>
                <w:rFonts w:ascii="Consolas" w:hAnsi="Consolas" w:cs="Consolas" w:eastAsia="Consolas"/>
                <w:sz w:val="15"/>
              </w:rPr>
              <w:t>anleitungen/WAMAS_Dev_Wissen_20261017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_screens/live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KP28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How-to „Klient pflegen“ WAMAS LS 2.8 V 1.2, 20.10.2026 (Einrichtung Testklienten auf srv01)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KLP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How-to „Klienten, Lieferanten und Partner anlegen“ WAMAS LS 2.7 V 1.1 (Inhalte in 2.8 zu prüfen)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DD28 / ZPL28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Druckdokumente 2.8 V 1.1 / Etikettendruck Zebra ZPL 2.8 V 1.1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LOG28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Log-Analyse-Leitfaden 2.8 V 1.0</w:t>
            </w:r>
          </w:p>
        </w:tc>
      </w:tr>
    </w:tbl>
    <w:p>
      <w:pPr>
        <w:pStyle w:val="BeschriftungSSI"/>
      </w:pPr>
      <w:r>
        <w:t>Tab. 15: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Stumatec · Administratoranleitung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Administratoranleitung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Stumatec – Administratoranleitung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Administratoranleitung WAMAS Lift &amp; Store</dc:title>
  <dc:subject>Aufgaben der Key-User im Desktop-Client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