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Artikel und Einlageraufträge importieren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Stumatec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Excel-Import V5 und Einlagerauftrag per Telegramm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Stumatec · Schulung 26.10.2026 · SSI SCHÄFER</w:t>
            </w:r>
          </w:p>
        </w:tc>
      </w:tr>
    </w:tbl>
    <w:p>
      <w:pPr>
        <w:spacing w:before="6520"/>
      </w:pPr>
      <w:r>
        <w:rPr>
          <w:sz w:val="18"/>
        </w:rPr>
        <w:t>V 1.0  ·  26.10.2026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</w:t>
        <w:tab/>
        <w:t>3</w:t>
      </w:r>
    </w:p>
    <w:p>
      <w:pPr>
        <w:pStyle w:val="TOC2"/>
        <w:tabs>
          <w:tab w:pos="9524" w:val="right" w:leader="dot"/>
        </w:tabs>
      </w:pPr>
      <w:r>
        <w:t>1.2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Ablauf im Überblick</w:t>
        <w:tab/>
        <w:t>4</w:t>
      </w:r>
    </w:p>
    <w:p>
      <w:pPr>
        <w:pStyle w:val="TOC1"/>
        <w:tabs>
          <w:tab w:pos="9524" w:val="right" w:leader="dot"/>
        </w:tabs>
      </w:pPr>
      <w:r>
        <w:t>3 Regeln für die Importdatei</w:t>
        <w:tab/>
        <w:t>5</w:t>
      </w:r>
    </w:p>
    <w:p>
      <w:pPr>
        <w:pStyle w:val="TOC1"/>
        <w:tabs>
          <w:tab w:pos="9524" w:val="right" w:leader="dot"/>
        </w:tabs>
      </w:pPr>
      <w:r>
        <w:t>4 Voraussetzungen</w:t>
        <w:tab/>
        <w:t>6</w:t>
      </w:r>
    </w:p>
    <w:p>
      <w:pPr>
        <w:pStyle w:val="TOC1"/>
        <w:tabs>
          <w:tab w:pos="9524" w:val="right" w:leader="dot"/>
        </w:tabs>
      </w:pPr>
      <w:r>
        <w:t>5 Import durchführen</w:t>
        <w:tab/>
        <w:t>7</w:t>
      </w:r>
    </w:p>
    <w:p>
      <w:pPr>
        <w:pStyle w:val="TOC2"/>
        <w:tabs>
          <w:tab w:pos="9524" w:val="right" w:leader="dot"/>
        </w:tabs>
      </w:pPr>
      <w:r>
        <w:t>5.1 Reihenfolge</w:t>
        <w:tab/>
        <w:t>7</w:t>
      </w:r>
    </w:p>
    <w:p>
      <w:pPr>
        <w:pStyle w:val="TOC2"/>
        <w:tabs>
          <w:tab w:pos="9524" w:val="right" w:leader="dot"/>
        </w:tabs>
      </w:pPr>
      <w:r>
        <w:t>5.2 Schritte</w:t>
        <w:tab/>
        <w:t>7</w:t>
      </w:r>
    </w:p>
    <w:p>
      <w:pPr>
        <w:pStyle w:val="TOC1"/>
        <w:tabs>
          <w:tab w:pos="9524" w:val="right" w:leader="dot"/>
        </w:tabs>
      </w:pPr>
      <w:r>
        <w:t>6 Ergebnis kontrollieren</w:t>
        <w:tab/>
        <w:t>8</w:t>
      </w:r>
    </w:p>
    <w:p>
      <w:pPr>
        <w:pStyle w:val="TOC1"/>
        <w:tabs>
          <w:tab w:pos="9524" w:val="right" w:leader="dot"/>
        </w:tabs>
      </w:pPr>
      <w:r>
        <w:t>7 Fehler beheben</w:t>
        <w:tab/>
        <w:t>9</w:t>
      </w:r>
    </w:p>
    <w:p>
      <w:pPr>
        <w:pStyle w:val="TOC2"/>
        <w:tabs>
          <w:tab w:pos="9524" w:val="right" w:leader="dot"/>
        </w:tabs>
      </w:pPr>
      <w:r>
        <w:t>7.1 Fehlerprotokoll</w:t>
        <w:tab/>
        <w:t>9</w:t>
      </w:r>
    </w:p>
    <w:p>
      <w:pPr>
        <w:pStyle w:val="TOC2"/>
        <w:tabs>
          <w:tab w:pos="9524" w:val="right" w:leader="dot"/>
        </w:tabs>
      </w:pPr>
      <w:r>
        <w:t>7.2 Bekannte Meldungen</w:t>
        <w:tab/>
        <w:t>9</w:t>
      </w:r>
    </w:p>
    <w:p>
      <w:pPr>
        <w:pStyle w:val="TOC1"/>
        <w:tabs>
          <w:tab w:pos="9524" w:val="right" w:leader="dot"/>
        </w:tabs>
      </w:pPr>
      <w:r>
        <w:t>8 Einlagerauftrag mit Wareneigentümer importieren</w:t>
        <w:tab/>
        <w:t>10</w:t>
      </w:r>
    </w:p>
    <w:p>
      <w:pPr>
        <w:pStyle w:val="TOC2"/>
        <w:tabs>
          <w:tab w:pos="9524" w:val="right" w:leader="dot"/>
        </w:tabs>
      </w:pPr>
      <w:r>
        <w:t>8.1 Voraussetzungen</w:t>
        <w:tab/>
        <w:t>10</w:t>
      </w:r>
    </w:p>
    <w:p>
      <w:pPr>
        <w:pStyle w:val="TOC2"/>
        <w:tabs>
          <w:tab w:pos="9524" w:val="right" w:leader="dot"/>
        </w:tabs>
      </w:pPr>
      <w:r>
        <w:t>8.2 Felder mit Wareneigentümer</w:t>
        <w:tab/>
        <w:t>10</w:t>
      </w:r>
    </w:p>
    <w:p>
      <w:pPr>
        <w:pStyle w:val="TOC2"/>
        <w:tabs>
          <w:tab w:pos="9524" w:val="right" w:leader="dot"/>
        </w:tabs>
      </w:pPr>
      <w:r>
        <w:t>8.3 Schritte</w:t>
        <w:tab/>
        <w:t>10</w:t>
      </w:r>
    </w:p>
    <w:p>
      <w:pPr>
        <w:pStyle w:val="TOC1"/>
        <w:tabs>
          <w:tab w:pos="9524" w:val="right" w:leader="dot"/>
        </w:tabs>
      </w:pPr>
      <w:r>
        <w:t>9 Stolperfallen</w:t>
        <w:tab/>
        <w:t>12</w:t>
      </w:r>
    </w:p>
    <w:p>
      <w:pPr>
        <w:pStyle w:val="TOC1"/>
        <w:tabs>
          <w:tab w:pos="9524" w:val="right" w:leader="dot"/>
        </w:tabs>
      </w:pPr>
      <w:r>
        <w:t>10 Praxisbeispiel</w:t>
        <w:tab/>
        <w:t>13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14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Mit dem Excel-Import legen Sie viele Artikel auf einmal an. Diese Anleitung beschreibt den Weg über das Profil </w:t>
      </w:r>
      <w:r>
        <w:rPr>
          <w:b/>
        </w:rPr>
        <w:t>EXCEL_ITEM_V5</w:t>
      </w:r>
      <w:r>
        <w:t xml:space="preserve"> (Kapitel 3–7) und zusätzlich den Import von </w:t>
      </w:r>
      <w:r>
        <w:rPr>
          <w:b/>
        </w:rPr>
        <w:t>Einlageraufträgen mit Wareneigentümer</w:t>
      </w:r>
      <w:r>
        <w:t xml:space="preserve"> als JSON-Telegramm (Kapitel 8). Woher die Artikelstammdaten der Stumatec kommen (ERP-Schnittstelle oder Excel-Liste), ist noch offen </w:t>
      </w:r>
      <w:r>
        <w:rPr>
          <w:b/>
        </w:rPr>
        <w:t>[auszufüllen]</w:t>
      </w:r>
      <w:r>
        <w:t>.</w:t>
      </w:r>
    </w:p>
    <w:p>
      <w:pPr>
        <w:pStyle w:val="ListBullet"/>
      </w:pPr>
      <w:r>
        <w:rPr>
          <w:b/>
        </w:rPr>
        <w:t>[vor Ort prüfen]</w:t>
      </w:r>
      <w:r>
        <w:t xml:space="preserve">: im Testsystem belegt, auf dem Stumatec-System noch zu bestätigen. </w:t>
      </w:r>
      <w:r>
        <w:rPr>
          <w:b/>
        </w:rPr>
        <w:t>[auszufüllen]</w:t>
      </w:r>
      <w:r>
        <w:t>: Stumatec-Angabe fehlt noch.</w:t>
      </w:r>
    </w:p>
    <w:p>
      <w:pPr>
        <w:pStyle w:val="Heading2"/>
      </w:pPr>
      <w:r>
        <w:t>1.2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Artikel und Einlageraufträge importieren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 der Stumatec, Profil LogiMat Admin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SSI-Mustervorlage Artikel importieren V 1.1 (Oktober 2026), How-to Artikel anlegen und importieren 2.8 V 1.0, Telegramm-Anleitung Stammdaten- und Auftragsimport 2.8 V 1.0, Live-Tests SSI-Testsystem srv01 (16.–23.10.2026), Administrator Manual 2.8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47"/>
        <w:gridCol w:w="7345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3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7345"/>
          </w:tcPr>
          <w:p>
            <w:pPr>
              <w:spacing w:after="0" w:line="252" w:lineRule="auto"/>
            </w:pPr>
            <w:r>
              <w:rPr>
                <w:sz w:val="17"/>
              </w:rPr>
              <w:t>Erste Fassung für die Stumatec, abgeleitet aus der SSI-Mustervorlage Schulungsmappe WAMAS LS 2.8 (Oktober 2026); kundenspezifische Daten der Vorlage entfernt. Neu: Spalte Mandant (clientId), Kapitel 8 Einlagerauftrag mit Wareneigentümer.</w:t>
            </w:r>
          </w:p>
        </w:tc>
      </w:tr>
    </w:tbl>
    <w:p>
      <w:pPr>
        <w:pStyle w:val="BeschriftungSSI"/>
      </w:pPr>
      <w:r>
        <w:t>Tab. 1: Versionshistorie</w:t>
      </w:r>
    </w:p>
    <w:p>
      <w:pPr>
        <w:pStyle w:val="Heading1"/>
      </w:pPr>
      <w:r>
        <w:t>2 Ablauf im Überblick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Importdatei nach Vorlage V5 vorbereiten (Kapitel 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Voraussetzungen prüfen (Kapitel 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Import im Desktop-Client starten (Kapitel 5).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Ergebnis in DI002 und MD001 kontrollieren, Fehler beheben (Kapitel 6–7).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Optional: Einlagerauftrag mit Wareneigentümer importieren (Kapitel 8).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Klient zuerst entscheiden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Der Klient steht in jeder Artikelzeile. Erst importieren, wenn feststeht, ob die Stumatec mit einem oder mit zwei Klienten arbeitet (Dokument 12, </w:t>
            </w:r>
            <w:r>
              <w:rPr>
                <w:b/>
                <w:sz w:val="19"/>
              </w:rPr>
              <w:t>Entscheidungsgrundlage</w:t>
            </w:r>
            <w:r>
              <w:rPr>
                <w:sz w:val="19"/>
              </w:rPr>
              <w:t>).</w:t>
            </w:r>
          </w:p>
        </w:tc>
      </w:tr>
    </w:tbl>
    <w:p>
      <w:pPr>
        <w:spacing w:after="40"/>
      </w:pPr>
    </w:p>
    <w:p>
      <w:pPr>
        <w:pStyle w:val="Heading1"/>
      </w:pPr>
      <w:r>
        <w:t>3 Regeln für die Importdatei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55"/>
        <w:gridCol w:w="6870"/>
      </w:tblGrid>
      <w:tr>
        <w:trPr>
          <w:tblHeader w:val="true"/>
          <w:cantSplit w:val="true"/>
        </w:trPr>
        <w:tc>
          <w:tcPr>
            <w:tcW w:type="dxa" w:w="26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(Spalte)</w:t>
            </w:r>
          </w:p>
        </w:tc>
        <w:tc>
          <w:tcPr>
            <w:tcW w:type="dxa" w:w="68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Regel Stumatec</w:t>
            </w:r>
          </w:p>
        </w:tc>
      </w:tr>
      <w:tr>
        <w:trPr>
          <w:cantSplit w:val="true"/>
        </w:trPr>
        <w:tc>
          <w:tcPr>
            <w:tcW w:type="dxa" w:w="26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Mandant </w:t>
            </w: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68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Klient nach Entscheid </w:t>
            </w:r>
            <w:r>
              <w:rPr>
                <w:b/>
                <w:sz w:val="17"/>
              </w:rPr>
              <w:t>[auszufüllen]</w:t>
            </w:r>
            <w:r>
              <w:rPr>
                <w:sz w:val="17"/>
              </w:rPr>
              <w:t xml:space="preserve"> (im Testsystem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26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Artikelnummer </w:t>
            </w:r>
            <w:r>
              <w:rPr>
                <w:rFonts w:ascii="Consolas" w:hAnsi="Consolas" w:cs="Consolas" w:eastAsia="Consolas"/>
                <w:sz w:val="15"/>
              </w:rPr>
              <w:t>itemNo</w:t>
            </w:r>
          </w:p>
        </w:tc>
        <w:tc>
          <w:tcPr>
            <w:tcW w:type="dxa" w:w="68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Regel </w:t>
            </w:r>
            <w:r>
              <w:rPr>
                <w:b/>
                <w:sz w:val="17"/>
              </w:rPr>
              <w:t>[auszufüllen]</w:t>
            </w:r>
            <w:r>
              <w:rPr>
                <w:sz w:val="17"/>
              </w:rPr>
              <w:t>; genau wie im Quellsystem, als Text</w:t>
            </w:r>
          </w:p>
        </w:tc>
      </w:tr>
      <w:tr>
        <w:trPr>
          <w:cantSplit w:val="true"/>
        </w:trPr>
        <w:tc>
          <w:tcPr>
            <w:tcW w:type="dxa" w:w="2655"/>
          </w:tcPr>
          <w:p>
            <w:pPr>
              <w:spacing w:after="0" w:line="252" w:lineRule="auto"/>
            </w:pPr>
            <w:r>
              <w:rPr>
                <w:sz w:val="17"/>
              </w:rPr>
              <w:t>Variante</w:t>
            </w:r>
          </w:p>
        </w:tc>
        <w:tc>
          <w:tcPr>
            <w:tcW w:type="dxa" w:w="68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</w:tr>
      <w:tr>
        <w:trPr>
          <w:cantSplit w:val="true"/>
        </w:trPr>
        <w:tc>
          <w:tcPr>
            <w:tcW w:type="dxa" w:w="2655"/>
          </w:tcPr>
          <w:p>
            <w:pPr>
              <w:spacing w:after="0" w:line="252" w:lineRule="auto"/>
            </w:pPr>
            <w:r>
              <w:rPr>
                <w:sz w:val="17"/>
              </w:rPr>
              <w:t>Bezeichnung</w:t>
            </w:r>
          </w:p>
        </w:tc>
        <w:tc>
          <w:tcPr>
            <w:tcW w:type="dxa" w:w="6869"/>
          </w:tcPr>
          <w:p>
            <w:pPr>
              <w:spacing w:after="0" w:line="252" w:lineRule="auto"/>
            </w:pPr>
            <w:r>
              <w:rPr>
                <w:sz w:val="17"/>
              </w:rPr>
              <w:t>höchstens 40 Zeichen</w:t>
            </w:r>
          </w:p>
        </w:tc>
      </w:tr>
      <w:tr>
        <w:trPr>
          <w:cantSplit w:val="true"/>
        </w:trPr>
        <w:tc>
          <w:tcPr>
            <w:tcW w:type="dxa" w:w="26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Basismengeneinheit </w:t>
            </w:r>
            <w:r>
              <w:rPr>
                <w:rFonts w:ascii="Consolas" w:hAnsi="Consolas" w:cs="Consolas" w:eastAsia="Consolas"/>
                <w:sz w:val="15"/>
              </w:rPr>
              <w:t>baseQtyUnit</w:t>
            </w:r>
          </w:p>
        </w:tc>
        <w:tc>
          <w:tcPr>
            <w:tcW w:type="dxa" w:w="68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Einheiten, die in MD017 beim Klienten vorhanden sind (Einheiten der Stumatec </w:t>
            </w:r>
            <w:r>
              <w:rPr>
                <w:b/>
                <w:sz w:val="17"/>
              </w:rPr>
              <w:t>[auszufüllen]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2655"/>
          </w:tcPr>
          <w:p>
            <w:pPr>
              <w:spacing w:after="0" w:line="252" w:lineRule="auto"/>
            </w:pPr>
            <w:r>
              <w:rPr>
                <w:sz w:val="17"/>
              </w:rPr>
              <w:t>Warengruppe</w:t>
            </w:r>
          </w:p>
        </w:tc>
        <w:tc>
          <w:tcPr>
            <w:tcW w:type="dxa" w:w="6869"/>
          </w:tcPr>
          <w:p>
            <w:pPr>
              <w:spacing w:after="0" w:line="252" w:lineRule="auto"/>
            </w:pPr>
            <w:r>
              <w:rPr>
                <w:sz w:val="17"/>
              </w:rPr>
              <w:t>keine Spalte in V5 (siehe Hinweis)</w:t>
            </w:r>
          </w:p>
        </w:tc>
      </w:tr>
    </w:tbl>
    <w:p>
      <w:pPr>
        <w:pStyle w:val="BeschriftungSSI"/>
      </w:pPr>
      <w:r>
        <w:t>Tab. 2: Regeln für die Spalten (Spaltenfolge siehe Blatt „Anleitung“ der Vorlage V5)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Spalten nicht verändern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Profil liest die Werte nach </w:t>
            </w:r>
            <w:r>
              <w:rPr>
                <w:b/>
                <w:sz w:val="19"/>
              </w:rPr>
              <w:t>Blatt und Spaltennummer</w:t>
            </w:r>
            <w:r>
              <w:rPr>
                <w:sz w:val="19"/>
              </w:rPr>
              <w:t xml:space="preserve">. Keine Spalten einfügen, löschen oder verschieben. Zeile 1 = Überschrift. Alle Zellen als </w:t>
            </w:r>
            <w:r>
              <w:rPr>
                <w:b/>
                <w:sz w:val="19"/>
              </w:rPr>
              <w:t>Text</w:t>
            </w:r>
            <w:r>
              <w:rPr>
                <w:sz w:val="19"/>
              </w:rPr>
              <w:t xml:space="preserve"> (sonst wird eine Nummer wie </w:t>
            </w:r>
            <w:r>
              <w:rPr>
                <w:rFonts w:ascii="Consolas" w:hAnsi="Consolas" w:cs="Consolas" w:eastAsia="Consolas"/>
                <w:sz w:val="17"/>
              </w:rPr>
              <w:t>0815</w:t>
            </w:r>
            <w:r>
              <w:rPr>
                <w:sz w:val="19"/>
              </w:rPr>
              <w:t xml:space="preserve"> zu </w:t>
            </w:r>
            <w:r>
              <w:rPr>
                <w:rFonts w:ascii="Consolas" w:hAnsi="Consolas" w:cs="Consolas" w:eastAsia="Consolas"/>
                <w:sz w:val="17"/>
              </w:rPr>
              <w:t>815</w:t>
            </w:r>
            <w:r>
              <w:rPr>
                <w:sz w:val="19"/>
              </w:rPr>
              <w:t>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Warengruppe</w:t>
            </w:r>
          </w:p>
          <w:p>
            <w:pPr>
              <w:spacing w:after="40"/>
            </w:pPr>
            <w:r>
              <w:rPr>
                <w:sz w:val="19"/>
              </w:rPr>
              <w:t>Die Vorlage V5 hat keine Spalte für die Warengruppe. Vor dem ersten Import klären, welche Warengruppe WAMAS setzt oder ob das Profil einen festen Wert braucht.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Vorlage </w:t>
      </w:r>
      <w:r>
        <w:rPr>
          <w:rFonts w:ascii="Consolas" w:hAnsi="Consolas" w:cs="Consolas" w:eastAsia="Consolas"/>
          <w:sz w:val="15"/>
        </w:rPr>
        <w:t>EXCEL_ITEM_V5_Vorlage.xlsx</w:t>
      </w:r>
      <w:r>
        <w:rPr>
          <w:sz w:val="17"/>
        </w:rPr>
        <w:t xml:space="preserve"> (Blatt „Anleitung“); How-to Artikel anlegen und importieren 2.8 V 1.0</w:t>
      </w:r>
    </w:p>
    <w:p>
      <w:pPr>
        <w:pStyle w:val="Heading1"/>
      </w:pPr>
      <w:r>
        <w:t>4 Voraussetzungen</w:t>
      </w:r>
    </w:p>
    <w:p>
      <w:pPr>
        <w:pStyle w:val="ListBullet"/>
      </w:pPr>
      <w:r>
        <w:t xml:space="preserve">Benutzer mit Profil </w:t>
      </w:r>
      <w:r>
        <w:rPr>
          <w:b/>
        </w:rPr>
        <w:t>LogiMat Admin</w:t>
      </w:r>
      <w:r>
        <w:t xml:space="preserve"> (nur dieses Profil hat das Recht auf LM161/LM163).</w:t>
      </w:r>
    </w:p>
    <w:p>
      <w:pPr>
        <w:pStyle w:val="ListBullet"/>
      </w:pPr>
      <w:r>
        <w:t xml:space="preserve">Klient (nach Entscheid Dokument 12 </w:t>
      </w:r>
      <w:r>
        <w:rPr>
          <w:b/>
        </w:rPr>
        <w:t>[auszufüllen]</w:t>
      </w:r>
      <w:r>
        <w:t xml:space="preserve">),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 und alle Mengeneinheiten der Datei sind in MD017 </w:t>
      </w:r>
      <w:r>
        <w:rPr>
          <w:b/>
        </w:rPr>
        <w:t>beim richtigen Klienten</w:t>
      </w:r>
      <w:r>
        <w:t xml:space="preserve"> vorhanden. Einheiten werden nicht vom Klienten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geerbt.</w:t>
      </w:r>
    </w:p>
    <w:p>
      <w:pPr>
        <w:pStyle w:val="ListBullet"/>
      </w:pPr>
      <w:r>
        <w:t xml:space="preserve">Profil </w:t>
      </w:r>
      <w:r>
        <w:rPr>
          <w:b/>
        </w:rPr>
        <w:t>EXCEL_ITEM_V5</w:t>
      </w:r>
      <w:r>
        <w:t xml:space="preserve"> in </w:t>
      </w:r>
      <w:r>
        <w:rPr>
          <w:b/>
        </w:rPr>
        <w:t>Schnittstellen-Mapping-Profil pflegen</w:t>
      </w:r>
      <w:r>
        <w:t xml:space="preserve"> (LM161) vorhanden. Kopf: Datensatz Artikel, Datenvalidierung und Mapping-Fehler = </w:t>
      </w:r>
      <w:r>
        <w:rPr>
          <w:b/>
        </w:rPr>
        <w:t>Import abbrechen</w:t>
      </w:r>
      <w:r>
        <w:t>.</w:t>
      </w:r>
    </w:p>
    <w:p>
      <w:pPr>
        <w:pStyle w:val="ListBullet"/>
      </w:pPr>
      <w:r>
        <w:t xml:space="preserve">Importdatei </w:t>
      </w:r>
      <w:r>
        <w:rPr>
          <w:rFonts w:ascii="Consolas" w:hAnsi="Consolas" w:cs="Consolas" w:eastAsia="Consolas"/>
          <w:sz w:val="18"/>
        </w:rPr>
        <w:t>.xlsx</w:t>
      </w:r>
      <w:r>
        <w:t xml:space="preserve"> mit Blatt „Artikel“ an erster Stelle.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127782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b_LM161_Profil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778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LM161 – Profilkopf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Stand Profil V5</w:t>
            </w:r>
          </w:p>
          <w:p>
            <w:pPr>
              <w:spacing w:after="40"/>
            </w:pPr>
            <w:r>
              <w:rPr>
                <w:sz w:val="19"/>
              </w:rPr>
              <w:t xml:space="preserve">Stand 18.10.2026: Das Profil EXCEL_ITEM_V5 ist als Datei vorbereitet. Der Import über LM163 mit V5 ist in den Testunterlagen noch </w:t>
            </w:r>
            <w:r>
              <w:rPr>
                <w:b/>
                <w:sz w:val="19"/>
              </w:rPr>
              <w:t>nicht als live getestet</w:t>
            </w:r>
            <w:r>
              <w:rPr>
                <w:sz w:val="19"/>
              </w:rPr>
              <w:t xml:space="preserve"> dokumentiert (auch leere Alias-Zellen offen). Deshalb vor dem ersten Import: Profil in LM161 auf dem Stumatec-System kontrollieren und zuerst die Testdatei importieren.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Schnittstellenstand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steht der Parameter </w:t>
            </w:r>
            <w:r>
              <w:rPr>
                <w:rFonts w:ascii="Consolas" w:hAnsi="Consolas" w:cs="Consolas" w:eastAsia="Consolas"/>
                <w:sz w:val="17"/>
              </w:rPr>
              <w:t>logimat.interfaceMode</w:t>
            </w:r>
            <w:r>
              <w:rPr>
                <w:sz w:val="19"/>
              </w:rPr>
              <w:t xml:space="preserve"> auf </w:t>
            </w:r>
            <w:r>
              <w:rPr>
                <w:rFonts w:ascii="Consolas" w:hAnsi="Consolas" w:cs="Consolas" w:eastAsia="Consolas"/>
                <w:sz w:val="17"/>
              </w:rPr>
              <w:t>ERP_2_7_0</w:t>
            </w:r>
            <w:r>
              <w:rPr>
                <w:sz w:val="19"/>
              </w:rPr>
              <w:t xml:space="preserve">: Satzarten aus 2.8 (z. B. </w:t>
            </w:r>
            <w:r>
              <w:rPr>
                <w:rFonts w:ascii="Consolas" w:hAnsi="Consolas" w:cs="Consolas" w:eastAsia="Consolas"/>
                <w:sz w:val="17"/>
              </w:rPr>
              <w:t>WLSITEMIMAGE001</w:t>
            </w:r>
            <w:r>
              <w:rPr>
                <w:sz w:val="19"/>
              </w:rPr>
              <w:t xml:space="preserve">) werden abgelehnt. V5 nutzt nur </w:t>
            </w:r>
            <w:r>
              <w:rPr>
                <w:rFonts w:ascii="Consolas" w:hAnsi="Consolas" w:cs="Consolas" w:eastAsia="Consolas"/>
                <w:sz w:val="17"/>
              </w:rPr>
              <w:t>WLSITEM001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WLSITEMDESC001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WLSITEMALIAS001</w:t>
            </w:r>
            <w:r>
              <w:rPr>
                <w:sz w:val="19"/>
              </w:rPr>
              <w:t xml:space="preserve">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Einstellung auf dem Stumatec-System.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6.1, 6.6; TL Z. 12–15</w:t>
      </w:r>
    </w:p>
    <w:p>
      <w:pPr>
        <w:pStyle w:val="Heading1"/>
      </w:pPr>
      <w:r>
        <w:t>5 Import durchführen</w:t>
      </w:r>
    </w:p>
    <w:p>
      <w:pPr>
        <w:pStyle w:val="Heading2"/>
      </w:pPr>
      <w:r>
        <w:t>5.1 Reihenfolge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Zuerst eine kleine Testdatei (5–20 Artikel) importieren und kontrollieren.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Dann die übrigen Dateien, je höchstens 500 Zeilen.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Dateien mit Einheiten, die noch nicht in MD017 angelegt sind, erst nach Anlage der Einheit importieren.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624"/>
        <w:gridCol w:w="2697"/>
        <w:gridCol w:w="3203"/>
      </w:tblGrid>
      <w:tr>
        <w:trPr>
          <w:tblHeader w:val="true"/>
          <w:cantSplit w:val="true"/>
        </w:trPr>
        <w:tc>
          <w:tcPr>
            <w:tcW w:type="dxa" w:w="36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</w:t>
            </w:r>
          </w:p>
        </w:tc>
        <w:tc>
          <w:tcPr>
            <w:tcW w:type="dxa" w:w="26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Zeilen</w:t>
            </w:r>
          </w:p>
        </w:tc>
        <w:tc>
          <w:tcPr>
            <w:tcW w:type="dxa" w:w="32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Wann</w:t>
            </w:r>
          </w:p>
        </w:tc>
      </w:tr>
      <w:tr>
        <w:trPr>
          <w:cantSplit w:val="true"/>
        </w:trPr>
        <w:tc>
          <w:tcPr>
            <w:tcW w:type="dxa" w:w="362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  <w:r>
              <w:rPr>
                <w:sz w:val="17"/>
              </w:rPr>
              <w:t xml:space="preserve"> (Testdatei)</w:t>
            </w:r>
          </w:p>
        </w:tc>
        <w:tc>
          <w:tcPr>
            <w:tcW w:type="dxa" w:w="269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3203"/>
          </w:tcPr>
          <w:p>
            <w:pPr>
              <w:spacing w:after="0" w:line="252" w:lineRule="auto"/>
            </w:pPr>
            <w:r>
              <w:rPr>
                <w:sz w:val="17"/>
              </w:rPr>
              <w:t>zuerst</w:t>
            </w:r>
          </w:p>
        </w:tc>
      </w:tr>
      <w:tr>
        <w:trPr>
          <w:cantSplit w:val="true"/>
        </w:trPr>
        <w:tc>
          <w:tcPr>
            <w:tcW w:type="dxa" w:w="362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269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[auszufüllen]</w:t>
            </w:r>
          </w:p>
        </w:tc>
        <w:tc>
          <w:tcPr>
            <w:tcW w:type="dxa" w:w="3203"/>
          </w:tcPr>
          <w:p>
            <w:pPr>
              <w:spacing w:after="0" w:line="252" w:lineRule="auto"/>
            </w:pPr>
            <w:r>
              <w:rPr>
                <w:sz w:val="17"/>
              </w:rPr>
              <w:t>nach Kontrolle der Testdatei</w:t>
            </w:r>
          </w:p>
        </w:tc>
      </w:tr>
    </w:tbl>
    <w:p>
      <w:pPr>
        <w:pStyle w:val="BeschriftungSSI"/>
      </w:pPr>
      <w:r>
        <w:t>Tab. 3: Importdateien der Stumatec (vor Ort ausfüllen)</w:t>
      </w:r>
    </w:p>
    <w:p>
      <w:pPr>
        <w:pStyle w:val="Heading2"/>
      </w:pPr>
      <w:r>
        <w:t>5.2 Schritte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Desktop-Client: </w:t>
      </w:r>
      <w:r>
        <w:rPr>
          <w:b/>
        </w:rPr>
        <w:t>Übersicht Artikel</w:t>
      </w:r>
      <w:r>
        <w:t xml:space="preserve"> (MD001) öffnen und </w:t>
      </w:r>
      <w:r>
        <w:rPr>
          <w:b/>
        </w:rPr>
        <w:t>Suche</w:t>
      </w:r>
      <w:r>
        <w:t xml:space="preserve"> ausführen, damit ein Suchergebnis angezeigt wird.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Im Suchergebnis </w:t>
      </w:r>
      <w:r>
        <w:rPr>
          <w:b/>
        </w:rPr>
        <w:t>rechtsklicken</w:t>
      </w:r>
      <w:r>
        <w:t xml:space="preserve"> → </w:t>
      </w:r>
      <w:r>
        <w:rPr>
          <w:b/>
        </w:rPr>
        <w:t>Artikel importieren</w:t>
      </w:r>
      <w:r>
        <w:t xml:space="preserve">. Es öffnet sich </w:t>
      </w:r>
      <w:r>
        <w:rPr>
          <w:b/>
        </w:rPr>
        <w:t>Datei importieren</w:t>
      </w:r>
      <w:r>
        <w:t xml:space="preserve"> (LM163).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Datei über den </w:t>
      </w:r>
      <w:r>
        <w:rPr>
          <w:b/>
        </w:rPr>
        <w:t>Upload-Knopf (Hinzufügen)</w:t>
      </w:r>
      <w:r>
        <w:t xml:space="preserve"> wählen. Einen eingetippten Pfad nicht verwenden.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Schnittstellen-Mapping-Profil</w:t>
      </w:r>
      <w:r>
        <w:t xml:space="preserve">: </w:t>
      </w:r>
      <w:r>
        <w:rPr>
          <w:rFonts w:ascii="Consolas" w:hAnsi="Consolas" w:cs="Consolas" w:eastAsia="Consolas"/>
          <w:sz w:val="18"/>
        </w:rPr>
        <w:t>EXCEL_ITEM_V5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Konverter</w:t>
      </w:r>
      <w:r>
        <w:t xml:space="preserve">: Json-Konverter; </w:t>
      </w:r>
      <w:r>
        <w:rPr>
          <w:b/>
        </w:rPr>
        <w:t>Systempartner</w:t>
      </w:r>
      <w:r>
        <w:t xml:space="preserve">: </w:t>
      </w:r>
      <w:r>
        <w:rPr>
          <w:rFonts w:ascii="Consolas" w:hAnsi="Consolas" w:cs="Consolas" w:eastAsia="Consolas"/>
          <w:sz w:val="18"/>
        </w:rPr>
        <w:t>HOST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Import</w:t>
      </w:r>
      <w:r>
        <w:t xml:space="preserve"> bzw. </w:t>
      </w:r>
      <w:r>
        <w:rPr>
          <w:b/>
        </w:rPr>
        <w:t>Importieren</w:t>
      </w:r>
      <w:r>
        <w:t>. Es kommt keine Erfolgsmeldung – Ergebnis in DI002 prüfen (Kapitel 6).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md001_artikel_importiere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Übersicht Artikel (MD001) – Suchergebnis, Rechtsklick „Artikel importieren“ – Screenshot folgt (vor Ort aufnehmen)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lm163_import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Datei importieren (LM163) mit Profil EXCEL_ITEM_V5 – Screenshot folgt (vor Ort aufnehmen)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Was bedeutet „Import abbrechen“?</w:t>
            </w:r>
          </w:p>
          <w:p>
            <w:pPr>
              <w:spacing w:after="40"/>
            </w:pPr>
            <w:r>
              <w:rPr>
                <w:sz w:val="19"/>
              </w:rPr>
              <w:t xml:space="preserve">Ist das Profil auf </w:t>
            </w:r>
            <w:r>
              <w:rPr>
                <w:b/>
                <w:sz w:val="19"/>
              </w:rPr>
              <w:t>Import abbrechen</w:t>
            </w:r>
            <w:r>
              <w:rPr>
                <w:sz w:val="19"/>
              </w:rPr>
              <w:t xml:space="preserve"> (ABORT_IMPORT) gestellt, ändert WAMAS bei einem Fehler </w:t>
            </w:r>
            <w:r>
              <w:rPr>
                <w:b/>
                <w:sz w:val="19"/>
              </w:rPr>
              <w:t>nichts</w:t>
            </w:r>
            <w:r>
              <w:rPr>
                <w:sz w:val="19"/>
              </w:rPr>
              <w:t>. Sie können die Datei korrigieren und erneut importieren.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6.2, 6.3 (Upload-Knopf live 17.10.); AH28 3.5.6 S. 90–92</w:t>
      </w:r>
    </w:p>
    <w:p>
      <w:pPr>
        <w:pStyle w:val="Heading1"/>
      </w:pPr>
      <w:r>
        <w:t>6 Ergebnis kontrollieren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Übersicht eingehende Systempartnernachrichten</w:t>
      </w:r>
      <w:r>
        <w:t xml:space="preserve"> (DI002) öffnen → </w:t>
      </w:r>
      <w:r>
        <w:rPr>
          <w:b/>
        </w:rPr>
        <w:t>Suche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Neueste Nachricht prüfen: Status </w:t>
      </w:r>
      <w:r>
        <w:rPr>
          <w:b/>
        </w:rPr>
        <w:t>Fertiggestellt</w:t>
      </w:r>
      <w:r>
        <w:t>, Anzahl Telegramme, Hauptdatensatztyp.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Übersicht Artikel</w:t>
      </w:r>
      <w:r>
        <w:t xml:space="preserve"> (MD001) Stichproben suchen, z. B. die erste und letzte Artikelnummer der Datei.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Anzahl prüfen: Suche in MD001 und Export des Ergebnisses (Excel) mit der Zeilenzahl der Datei vergleichen </w:t>
      </w:r>
      <w:r>
        <w:rPr>
          <w:b/>
        </w:rPr>
        <w:t>[vor Ort prüfen]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4_di002_ergebnis_181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DI002 – Ergebnis der Importe (SSI-Testsystem) (SSI-Testsystem srv01, WAMAS LS 2.8 (Testdaten))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1_md001_uebersicht_artikel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Übersicht Artikel (MD001) nach dem Import (SSI-Testsystem) (SSI-Testsystem srv01, WAMAS LS 2.8 (Testdaten))</w:t>
      </w:r>
    </w:p>
    <w:p>
      <w:pPr>
        <w:pStyle w:val="Heading1"/>
      </w:pPr>
      <w:r>
        <w:t>7 Fehler beheben</w:t>
      </w:r>
    </w:p>
    <w:p>
      <w:pPr>
        <w:pStyle w:val="Heading2"/>
      </w:pPr>
      <w:r>
        <w:t>7.1 Fehlerprotokoll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DI002 die Nachricht mit Status </w:t>
      </w:r>
      <w:r>
        <w:rPr>
          <w:b/>
        </w:rPr>
        <w:t>Fehler</w:t>
      </w:r>
      <w:r>
        <w:t xml:space="preserve"> wählen → Registerkarte </w:t>
      </w:r>
      <w:r>
        <w:rPr>
          <w:b/>
        </w:rPr>
        <w:t>Fehlerhafte eingehende Systempartnernachricht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Fehlerprotokoll</w:t>
      </w:r>
      <w:r>
        <w:t xml:space="preserve"> (DI003) lesen.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Ursache in der Excel-Datei beheben und die Datei erneut importieren. (Alternativ </w:t>
      </w:r>
      <w:r>
        <w:rPr>
          <w:b/>
        </w:rPr>
        <w:t>Bearbeiten</w:t>
      </w:r>
      <w:r>
        <w:t xml:space="preserve"> → SPM-Dateneditor DI005 und </w:t>
      </w:r>
      <w:r>
        <w:rPr>
          <w:b/>
        </w:rPr>
        <w:t>Wiederholen</w:t>
      </w:r>
      <w:r>
        <w:t xml:space="preserve"> – nur für kleine Korrekturen und nur Fehler-Nachrichten im Status NEW.)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11_di002_fehler_1801_1808_181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DI002 mit Fehler (SSI-Testsystem) (SSI-Testsystem srv01, WAMAS LS 2.8 (Testdaten))</w:t>
      </w:r>
    </w:p>
    <w:p>
      <w:pPr>
        <w:pStyle w:val="Heading2"/>
      </w:pPr>
      <w:r>
        <w:t>7.2 Bekannte Meldungen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682"/>
        <w:gridCol w:w="3043"/>
        <w:gridCol w:w="2799"/>
      </w:tblGrid>
      <w:tr>
        <w:trPr>
          <w:tblHeader w:val="true"/>
          <w:cantSplit w:val="true"/>
        </w:trPr>
        <w:tc>
          <w:tcPr>
            <w:tcW w:type="dxa" w:w="36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</w:t>
            </w:r>
          </w:p>
        </w:tc>
        <w:tc>
          <w:tcPr>
            <w:tcW w:type="dxa" w:w="30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280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Abhilfe</w:t>
            </w:r>
          </w:p>
        </w:tc>
      </w:tr>
      <w:tr>
        <w:trPr>
          <w:cantSplit w:val="true"/>
        </w:trPr>
        <w:tc>
          <w:tcPr>
            <w:tcW w:type="dxa" w:w="3682"/>
          </w:tcPr>
          <w:p>
            <w:pPr>
              <w:spacing w:after="0" w:line="252" w:lineRule="auto"/>
            </w:pPr>
            <w:r>
              <w:rPr>
                <w:sz w:val="17"/>
              </w:rPr>
              <w:t>„Cannot invoke java.lang.reflect.Field.get(Object) because field is null“</w:t>
            </w:r>
          </w:p>
        </w:tc>
        <w:tc>
          <w:tcPr>
            <w:tcW w:type="dxa" w:w="30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altes Profil </w:t>
            </w:r>
            <w:r>
              <w:rPr>
                <w:rFonts w:ascii="Consolas" w:hAnsi="Consolas" w:cs="Consolas" w:eastAsia="Consolas"/>
                <w:sz w:val="15"/>
              </w:rPr>
              <w:t>EXCEL_ITEM_EXT</w:t>
            </w:r>
            <w:r>
              <w:rPr>
                <w:sz w:val="17"/>
              </w:rPr>
              <w:t xml:space="preserve"> (Feld, das es in 2.8 nicht gibt)</w:t>
            </w:r>
          </w:p>
        </w:tc>
        <w:tc>
          <w:tcPr>
            <w:tcW w:type="dxa" w:w="280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Profil </w:t>
            </w:r>
            <w:r>
              <w:rPr>
                <w:b/>
                <w:sz w:val="17"/>
              </w:rPr>
              <w:t>EXCEL_ITEM_V5</w:t>
            </w:r>
            <w:r>
              <w:rPr>
                <w:sz w:val="17"/>
              </w:rPr>
              <w:t xml:space="preserve"> verwenden</w:t>
            </w:r>
          </w:p>
        </w:tc>
      </w:tr>
      <w:tr>
        <w:trPr>
          <w:cantSplit w:val="true"/>
        </w:trPr>
        <w:tc>
          <w:tcPr>
            <w:tcW w:type="dxa" w:w="3682"/>
          </w:tcPr>
          <w:p>
            <w:pPr>
              <w:spacing w:after="0" w:line="252" w:lineRule="auto"/>
            </w:pPr>
            <w:r>
              <w:rPr>
                <w:sz w:val="17"/>
              </w:rPr>
              <w:t>„Dateien konnten nicht importiert werden.“</w:t>
            </w:r>
          </w:p>
        </w:tc>
        <w:tc>
          <w:tcPr>
            <w:tcW w:type="dxa" w:w="3043"/>
          </w:tcPr>
          <w:p>
            <w:pPr>
              <w:spacing w:after="0" w:line="252" w:lineRule="auto"/>
            </w:pPr>
            <w:r>
              <w:rPr>
                <w:sz w:val="17"/>
              </w:rPr>
              <w:t>Pfad eingetippt</w:t>
            </w:r>
          </w:p>
        </w:tc>
        <w:tc>
          <w:tcPr>
            <w:tcW w:type="dxa" w:w="2800"/>
          </w:tcPr>
          <w:p>
            <w:pPr>
              <w:spacing w:after="0" w:line="252" w:lineRule="auto"/>
            </w:pPr>
            <w:r>
              <w:rPr>
                <w:sz w:val="17"/>
              </w:rPr>
              <w:t>Datei über Upload-Knopf wählen</w:t>
            </w:r>
          </w:p>
        </w:tc>
      </w:tr>
      <w:tr>
        <w:trPr>
          <w:cantSplit w:val="true"/>
        </w:trPr>
        <w:tc>
          <w:tcPr>
            <w:tcW w:type="dxa" w:w="3682"/>
          </w:tcPr>
          <w:p>
            <w:pPr>
              <w:spacing w:after="0" w:line="252" w:lineRule="auto"/>
            </w:pPr>
            <w:r>
              <w:rPr>
                <w:sz w:val="17"/>
              </w:rPr>
              <w:t>„Hauptdatensatztyp konnte nicht bestimmt werden.“</w:t>
            </w:r>
          </w:p>
        </w:tc>
        <w:tc>
          <w:tcPr>
            <w:tcW w:type="dxa" w:w="30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Excel oder Profil-XML über </w:t>
            </w:r>
            <w:r>
              <w:rPr>
                <w:b/>
                <w:sz w:val="17"/>
              </w:rPr>
              <w:t>Dateien importieren</w:t>
            </w:r>
            <w:r>
              <w:rPr>
                <w:sz w:val="17"/>
              </w:rPr>
              <w:t xml:space="preserve"> (DI014) statt LM163</w:t>
            </w:r>
          </w:p>
        </w:tc>
        <w:tc>
          <w:tcPr>
            <w:tcW w:type="dxa" w:w="2800"/>
          </w:tcPr>
          <w:p>
            <w:pPr>
              <w:spacing w:after="0" w:line="252" w:lineRule="auto"/>
            </w:pPr>
            <w:r>
              <w:rPr>
                <w:sz w:val="17"/>
              </w:rPr>
              <w:t>Excel nur über MD001 → Artikel importieren</w:t>
            </w:r>
          </w:p>
        </w:tc>
      </w:tr>
      <w:tr>
        <w:trPr>
          <w:cantSplit w:val="true"/>
        </w:trPr>
        <w:tc>
          <w:tcPr>
            <w:tcW w:type="dxa" w:w="3682"/>
          </w:tcPr>
          <w:p>
            <w:pPr>
              <w:spacing w:after="0" w:line="252" w:lineRule="auto"/>
            </w:pPr>
            <w:r>
              <w:rPr>
                <w:sz w:val="17"/>
              </w:rPr>
              <w:t>„Keine Daten gefunden“ (Datenfeld in LM161)</w:t>
            </w:r>
          </w:p>
        </w:tc>
        <w:tc>
          <w:tcPr>
            <w:tcW w:type="dxa" w:w="3043"/>
          </w:tcPr>
          <w:p>
            <w:pPr>
              <w:spacing w:after="0" w:line="252" w:lineRule="auto"/>
            </w:pPr>
            <w:r>
              <w:rPr>
                <w:sz w:val="17"/>
              </w:rPr>
              <w:t>Satzart nicht übernommen</w:t>
            </w:r>
          </w:p>
        </w:tc>
        <w:tc>
          <w:tcPr>
            <w:tcW w:type="dxa" w:w="2800"/>
          </w:tcPr>
          <w:p>
            <w:pPr>
              <w:spacing w:after="0" w:line="252" w:lineRule="auto"/>
            </w:pPr>
            <w:r>
              <w:rPr>
                <w:sz w:val="17"/>
              </w:rPr>
              <w:t>Satzart wählen, Feld verlassen, Profilkopf speichern, dann Datenfeld</w:t>
            </w:r>
          </w:p>
        </w:tc>
      </w:tr>
      <w:tr>
        <w:trPr>
          <w:cantSplit w:val="true"/>
        </w:trPr>
        <w:tc>
          <w:tcPr>
            <w:tcW w:type="dxa" w:w="368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Fehler zur Mengeneinheit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3043"/>
          </w:tcPr>
          <w:p>
            <w:pPr>
              <w:spacing w:after="0" w:line="252" w:lineRule="auto"/>
            </w:pPr>
            <w:r>
              <w:rPr>
                <w:sz w:val="17"/>
              </w:rPr>
              <w:t>Einheit fehlt in MD017 (beim Klienten der Datei)</w:t>
            </w:r>
          </w:p>
        </w:tc>
        <w:tc>
          <w:tcPr>
            <w:tcW w:type="dxa" w:w="2800"/>
          </w:tcPr>
          <w:p>
            <w:pPr>
              <w:spacing w:after="0" w:line="252" w:lineRule="auto"/>
            </w:pPr>
            <w:r>
              <w:rPr>
                <w:sz w:val="17"/>
              </w:rPr>
              <w:t>Einheit anlegen (Freigabe) oder Zeilen entfernen</w:t>
            </w:r>
          </w:p>
        </w:tc>
      </w:tr>
      <w:tr>
        <w:trPr>
          <w:cantSplit w:val="true"/>
        </w:trPr>
        <w:tc>
          <w:tcPr>
            <w:tcW w:type="dxa" w:w="368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Fehler zur Warengruppe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3043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verlangt, aber nicht vorhanden</w:t>
            </w:r>
          </w:p>
        </w:tc>
        <w:tc>
          <w:tcPr>
            <w:tcW w:type="dxa" w:w="2800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in MD017 anlegen</w:t>
            </w:r>
          </w:p>
        </w:tc>
      </w:tr>
      <w:tr>
        <w:trPr>
          <w:cantSplit w:val="true"/>
        </w:trPr>
        <w:tc>
          <w:tcPr>
            <w:tcW w:type="dxa" w:w="3682"/>
          </w:tcPr>
          <w:p>
            <w:pPr>
              <w:spacing w:after="0" w:line="252" w:lineRule="auto"/>
            </w:pPr>
            <w:r>
              <w:rPr>
                <w:sz w:val="17"/>
              </w:rPr>
              <w:t>„Name des Datensatztyp-Tags WLSITEMIMAGE001 enthält ungültige Daten.“</w:t>
            </w:r>
          </w:p>
        </w:tc>
        <w:tc>
          <w:tcPr>
            <w:tcW w:type="dxa" w:w="3043"/>
          </w:tcPr>
          <w:p>
            <w:pPr>
              <w:spacing w:after="0" w:line="252" w:lineRule="auto"/>
            </w:pPr>
            <w:r>
              <w:rPr>
                <w:sz w:val="17"/>
              </w:rPr>
              <w:t>Satzart aus 2.8, Schnittstelle auf 2.7</w:t>
            </w:r>
          </w:p>
        </w:tc>
        <w:tc>
          <w:tcPr>
            <w:tcW w:type="dxa" w:w="2800"/>
          </w:tcPr>
          <w:p>
            <w:pPr>
              <w:spacing w:after="0" w:line="252" w:lineRule="auto"/>
            </w:pPr>
            <w:r>
              <w:rPr>
                <w:sz w:val="17"/>
              </w:rPr>
              <w:t>Satzart nicht verwenden</w:t>
            </w:r>
          </w:p>
        </w:tc>
      </w:tr>
    </w:tbl>
    <w:p>
      <w:pPr>
        <w:pStyle w:val="BeschriftungSSI"/>
      </w:pPr>
      <w:r>
        <w:t>Tab. 4: Bekannte Meldungen (Wortlaut der ersten vier und der letzten live auf srv01)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6.4, 6.5; TL Z. 14, 55, 251; WDW-AI Kap. 2.1, 3.4</w:t>
      </w:r>
    </w:p>
    <w:p>
      <w:pPr>
        <w:pStyle w:val="Heading1"/>
      </w:pPr>
      <w:r>
        <w:t>8 Einlagerauftrag mit Wareneigentümer importieren</w:t>
      </w:r>
    </w:p>
    <w:p>
      <w:r>
        <w:t xml:space="preserve">Ein Wareneigentümer lässt sich bei der manuellen Einlagerung am Touch-Client </w:t>
      </w:r>
      <w:r>
        <w:rPr>
          <w:b/>
        </w:rPr>
        <w:t>nicht</w:t>
      </w:r>
      <w:r>
        <w:t xml:space="preserve"> wählen (Befund SSI-Testsystem, 22.10.2026). Er kommt über einen </w:t>
      </w:r>
      <w:r>
        <w:rPr>
          <w:b/>
        </w:rPr>
        <w:t>Einlagerauftrag</w:t>
      </w:r>
      <w:r>
        <w:t xml:space="preserve"> an den Bestand: im Betrieb vom ERP, ohne ERP per Telegramm-Datei (Satzart </w:t>
      </w:r>
      <w:r>
        <w:rPr>
          <w:rFonts w:ascii="Consolas" w:hAnsi="Consolas" w:cs="Consolas" w:eastAsia="Consolas"/>
          <w:sz w:val="18"/>
        </w:rPr>
        <w:t>WLSSD002</w:t>
      </w:r>
      <w:r>
        <w:t>).</w:t>
      </w:r>
    </w:p>
    <w:p>
      <w:pPr>
        <w:pStyle w:val="Heading2"/>
      </w:pPr>
      <w:r>
        <w:t>8.1 Voraussetzungen</w:t>
      </w:r>
    </w:p>
    <w:p>
      <w:pPr>
        <w:pStyle w:val="ListBullet"/>
      </w:pPr>
      <w:r>
        <w:t xml:space="preserve">Der Wareneigentümer ist als </w:t>
      </w:r>
      <w:r>
        <w:rPr>
          <w:b/>
        </w:rPr>
        <w:t>Partner</w:t>
      </w:r>
      <w:r>
        <w:t xml:space="preserve"> angelegt (MD018) und in </w:t>
      </w:r>
      <w:r>
        <w:rPr>
          <w:b/>
        </w:rPr>
        <w:t>Klient pflegen</w:t>
      </w:r>
      <w:r>
        <w:t xml:space="preserve"> (MD017) auf der Registerkarte </w:t>
      </w:r>
      <w:r>
        <w:rPr>
          <w:b/>
        </w:rPr>
        <w:t>Wareneigentümer</w:t>
      </w:r>
      <w:r>
        <w:t xml:space="preserve"> eingetragen.</w:t>
      </w:r>
    </w:p>
    <w:p>
      <w:pPr>
        <w:pStyle w:val="ListBullet"/>
      </w:pPr>
      <w:r>
        <w:t xml:space="preserve">Artikel, Einheit, Einlagerbedarfstyp (z. B. </w:t>
      </w:r>
      <w:r>
        <w:rPr>
          <w:rFonts w:ascii="Consolas" w:hAnsi="Consolas" w:cs="Consolas" w:eastAsia="Consolas"/>
          <w:sz w:val="18"/>
        </w:rPr>
        <w:t>RECV</w:t>
      </w:r>
      <w:r>
        <w:t>) und Zone existieren beim Klienten.</w:t>
      </w:r>
    </w:p>
    <w:p>
      <w:pPr>
        <w:pStyle w:val="ListBullet"/>
      </w:pPr>
      <w:r>
        <w:t xml:space="preserve">Datei UTF-8-kodiert, </w:t>
      </w:r>
      <w:r>
        <w:rPr>
          <w:rFonts w:ascii="Consolas" w:hAnsi="Consolas" w:cs="Consolas" w:eastAsia="Consolas"/>
          <w:sz w:val="18"/>
        </w:rPr>
        <w:t>HEADER_SOURCE</w:t>
      </w:r>
      <w:r>
        <w:t xml:space="preserve"> = </w:t>
      </w:r>
      <w:r>
        <w:rPr>
          <w:rFonts w:ascii="Consolas" w:hAnsi="Consolas" w:cs="Consolas" w:eastAsia="Consolas"/>
          <w:sz w:val="18"/>
        </w:rPr>
        <w:t>HOST</w:t>
      </w:r>
      <w:r>
        <w:t xml:space="preserve">,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neu und höchstens </w:t>
      </w:r>
      <w:r>
        <w:rPr>
          <w:b/>
        </w:rPr>
        <w:t>20</w:t>
      </w:r>
      <w:r>
        <w:t xml:space="preserve"> Zeichen, </w:t>
      </w:r>
      <w:r>
        <w:rPr>
          <w:rFonts w:ascii="Consolas" w:hAnsi="Consolas" w:cs="Consolas" w:eastAsia="Consolas"/>
          <w:sz w:val="18"/>
        </w:rPr>
        <w:t>noteNo</w:t>
      </w:r>
      <w:r>
        <w:t xml:space="preserve"> höchstens </w:t>
      </w:r>
      <w:r>
        <w:rPr>
          <w:b/>
        </w:rPr>
        <w:t>18</w:t>
      </w:r>
      <w:r>
        <w:t xml:space="preserve"> Zeichen.</w:t>
      </w:r>
    </w:p>
    <w:p>
      <w:pPr>
        <w:pStyle w:val="Heading2"/>
      </w:pPr>
      <w:r>
        <w:t>8.2 Felder mit Wareneigentümer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10"/>
        <w:gridCol w:w="1792"/>
        <w:gridCol w:w="2688"/>
        <w:gridCol w:w="3533"/>
      </w:tblGrid>
      <w:tr>
        <w:trPr>
          <w:tblHeader w:val="true"/>
          <w:cantSplit w:val="true"/>
        </w:trPr>
        <w:tc>
          <w:tcPr>
            <w:tcW w:type="dxa" w:w="15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79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26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Beispiel (SSI-Testsystem)</w:t>
            </w:r>
          </w:p>
        </w:tc>
        <w:tc>
          <w:tcPr>
            <w:tcW w:type="dxa" w:w="35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rPr>
          <w:cantSplit w:val="true"/>
        </w:trPr>
        <w:tc>
          <w:tcPr>
            <w:tcW w:type="dxa" w:w="15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179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Kopf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26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3533"/>
          </w:tcPr>
          <w:p>
            <w:pPr>
              <w:spacing w:after="0" w:line="252" w:lineRule="auto"/>
            </w:pPr>
            <w:r>
              <w:rPr>
                <w:sz w:val="17"/>
              </w:rPr>
              <w:t>Klient</w:t>
            </w:r>
          </w:p>
        </w:tc>
      </w:tr>
      <w:tr>
        <w:trPr>
          <w:cantSplit w:val="true"/>
        </w:trPr>
        <w:tc>
          <w:tcPr>
            <w:tcW w:type="dxa" w:w="15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demandNo</w:t>
            </w:r>
          </w:p>
        </w:tc>
        <w:tc>
          <w:tcPr>
            <w:tcW w:type="dxa" w:w="1792"/>
          </w:tcPr>
          <w:p>
            <w:pPr>
              <w:spacing w:after="0" w:line="252" w:lineRule="auto"/>
            </w:pPr>
            <w:r>
              <w:rPr>
                <w:sz w:val="17"/>
              </w:rPr>
              <w:t>Kopf und Zeile</w:t>
            </w:r>
          </w:p>
        </w:tc>
        <w:tc>
          <w:tcPr>
            <w:tcW w:type="dxa" w:w="26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SD-OWN-STM-20261023</w:t>
            </w:r>
          </w:p>
        </w:tc>
        <w:tc>
          <w:tcPr>
            <w:tcW w:type="dxa" w:w="3533"/>
          </w:tcPr>
          <w:p>
            <w:pPr>
              <w:spacing w:after="0" w:line="252" w:lineRule="auto"/>
            </w:pPr>
            <w:r>
              <w:rPr>
                <w:sz w:val="17"/>
              </w:rPr>
              <w:t>Auftragsnummer, ≤ 20 Zeichen</w:t>
            </w:r>
          </w:p>
        </w:tc>
      </w:tr>
      <w:tr>
        <w:trPr>
          <w:cantSplit w:val="true"/>
        </w:trPr>
        <w:tc>
          <w:tcPr>
            <w:tcW w:type="dxa" w:w="15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noteNo</w:t>
            </w:r>
          </w:p>
        </w:tc>
        <w:tc>
          <w:tcPr>
            <w:tcW w:type="dxa" w:w="1792"/>
          </w:tcPr>
          <w:p>
            <w:pPr>
              <w:spacing w:after="0" w:line="252" w:lineRule="auto"/>
            </w:pPr>
            <w:r>
              <w:rPr>
                <w:sz w:val="17"/>
              </w:rPr>
              <w:t>Kopf</w:t>
            </w:r>
          </w:p>
        </w:tc>
        <w:tc>
          <w:tcPr>
            <w:tcW w:type="dxa" w:w="26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LS-OWN-STM-261023</w:t>
            </w:r>
          </w:p>
        </w:tc>
        <w:tc>
          <w:tcPr>
            <w:tcW w:type="dxa" w:w="3533"/>
          </w:tcPr>
          <w:p>
            <w:pPr>
              <w:spacing w:after="0" w:line="252" w:lineRule="auto"/>
            </w:pPr>
            <w:r>
              <w:rPr>
                <w:sz w:val="17"/>
              </w:rPr>
              <w:t>Lieferscheinnummer, ≤ 18 Zeichen</w:t>
            </w:r>
          </w:p>
        </w:tc>
      </w:tr>
      <w:tr>
        <w:trPr>
          <w:cantSplit w:val="true"/>
        </w:trPr>
        <w:tc>
          <w:tcPr>
            <w:tcW w:type="dxa" w:w="15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typeId</w:t>
            </w:r>
          </w:p>
        </w:tc>
        <w:tc>
          <w:tcPr>
            <w:tcW w:type="dxa" w:w="1792"/>
          </w:tcPr>
          <w:p>
            <w:pPr>
              <w:spacing w:after="0" w:line="252" w:lineRule="auto"/>
            </w:pPr>
            <w:r>
              <w:rPr>
                <w:sz w:val="17"/>
              </w:rPr>
              <w:t>Kopf</w:t>
            </w:r>
          </w:p>
        </w:tc>
        <w:tc>
          <w:tcPr>
            <w:tcW w:type="dxa" w:w="26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RECV</w:t>
            </w:r>
          </w:p>
        </w:tc>
        <w:tc>
          <w:tcPr>
            <w:tcW w:type="dxa" w:w="3533"/>
          </w:tcPr>
          <w:p>
            <w:pPr>
              <w:spacing w:after="0" w:line="252" w:lineRule="auto"/>
            </w:pPr>
            <w:r>
              <w:rPr>
                <w:sz w:val="17"/>
              </w:rPr>
              <w:t>Einlagerbedarfstyp</w:t>
            </w:r>
          </w:p>
        </w:tc>
      </w:tr>
      <w:tr>
        <w:trPr>
          <w:cantSplit w:val="true"/>
        </w:trPr>
        <w:tc>
          <w:tcPr>
            <w:tcW w:type="dxa" w:w="15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variant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baseQty</w:t>
            </w:r>
          </w:p>
        </w:tc>
        <w:tc>
          <w:tcPr>
            <w:tcW w:type="dxa" w:w="179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 </w:t>
            </w:r>
            <w:r>
              <w:rPr>
                <w:rFonts w:ascii="Consolas" w:hAnsi="Consolas" w:cs="Consolas" w:eastAsia="Consolas"/>
                <w:sz w:val="15"/>
              </w:rPr>
              <w:t>WLSSDL002</w:t>
            </w:r>
          </w:p>
        </w:tc>
        <w:tc>
          <w:tcPr>
            <w:tcW w:type="dxa" w:w="26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TEST_WD_ART_09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3</w:t>
            </w:r>
          </w:p>
        </w:tc>
        <w:tc>
          <w:tcPr>
            <w:tcW w:type="dxa" w:w="3533"/>
          </w:tcPr>
          <w:p>
            <w:pPr>
              <w:spacing w:after="0" w:line="252" w:lineRule="auto"/>
            </w:pPr>
            <w:r>
              <w:rPr>
                <w:sz w:val="17"/>
              </w:rPr>
              <w:t>Artikel und Menge</w:t>
            </w:r>
          </w:p>
        </w:tc>
      </w:tr>
      <w:tr>
        <w:trPr>
          <w:cantSplit w:val="true"/>
        </w:trPr>
        <w:tc>
          <w:tcPr>
            <w:tcW w:type="dxa" w:w="15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gow</w:t>
            </w:r>
          </w:p>
        </w:tc>
        <w:tc>
          <w:tcPr>
            <w:tcW w:type="dxa" w:w="179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 </w:t>
            </w:r>
            <w:r>
              <w:rPr>
                <w:rFonts w:ascii="Consolas" w:hAnsi="Consolas" w:cs="Consolas" w:eastAsia="Consolas"/>
                <w:sz w:val="15"/>
              </w:rPr>
              <w:t>WLSSDL002</w:t>
            </w:r>
          </w:p>
        </w:tc>
        <w:tc>
          <w:tcPr>
            <w:tcW w:type="dxa" w:w="26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pSTUMATEC</w:t>
            </w:r>
          </w:p>
        </w:tc>
        <w:tc>
          <w:tcPr>
            <w:tcW w:type="dxa" w:w="353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Wareneigentümer</w:t>
            </w:r>
            <w:r>
              <w:rPr>
                <w:sz w:val="17"/>
              </w:rPr>
              <w:t xml:space="preserve"> (Partner-ID)</w:t>
            </w:r>
          </w:p>
        </w:tc>
      </w:tr>
    </w:tbl>
    <w:p>
      <w:pPr>
        <w:pStyle w:val="BeschriftungSSI"/>
      </w:pPr>
      <w:r>
        <w:t>Tab. 5: Felder des Einlagerauftrags (Testdaten, Partner-IDs der Stumatec **[auszufüllen]**)</w:t>
      </w:r>
    </w:p>
    <w:p>
      <w:pPr>
        <w:pStyle w:val="Heading2"/>
      </w:pPr>
      <w:r>
        <w:t>8.3 Schritte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Übersicht eingehende Systempartnernachrichten</w:t>
      </w:r>
      <w:r>
        <w:t xml:space="preserve"> (DI002) öffnen, rechts in die Ergebnistabelle klicken → </w:t>
      </w:r>
      <w:r>
        <w:rPr>
          <w:b/>
        </w:rPr>
        <w:t>Dateien importieren…</w:t>
      </w:r>
      <w:r>
        <w:t xml:space="preserve"> Es öffnet sich </w:t>
      </w:r>
      <w:r>
        <w:rPr>
          <w:b/>
        </w:rPr>
        <w:t>Dateien auswählen</w:t>
      </w:r>
      <w:r>
        <w:t xml:space="preserve"> (DI014).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Ordnerknopf neben </w:t>
      </w:r>
      <w:r>
        <w:rPr>
          <w:b/>
        </w:rPr>
        <w:t>Dateipfad</w:t>
      </w:r>
      <w:r>
        <w:t xml:space="preserve"> → </w:t>
      </w:r>
      <w:r>
        <w:rPr>
          <w:b/>
        </w:rPr>
        <w:t>Add</w:t>
      </w:r>
      <w:r>
        <w:t xml:space="preserve"> → JSON-Datei wählen → </w:t>
      </w:r>
      <w:r>
        <w:rPr>
          <w:b/>
        </w:rPr>
        <w:t>OK</w:t>
      </w:r>
      <w:r>
        <w:t>. Pfad nicht eintippen.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Zeichenkodierung </w:t>
      </w:r>
      <w:r>
        <w:rPr>
          <w:rFonts w:ascii="Consolas" w:hAnsi="Consolas" w:cs="Consolas" w:eastAsia="Consolas"/>
          <w:sz w:val="18"/>
        </w:rPr>
        <w:t>UTF-8</w:t>
      </w:r>
      <w:r>
        <w:t xml:space="preserve">, Konverter </w:t>
      </w:r>
      <w:r>
        <w:rPr>
          <w:rFonts w:ascii="Consolas" w:hAnsi="Consolas" w:cs="Consolas" w:eastAsia="Consolas"/>
          <w:sz w:val="18"/>
        </w:rPr>
        <w:t>JsonConverter</w:t>
      </w:r>
      <w:r>
        <w:t xml:space="preserve">, Systempartner </w:t>
      </w:r>
      <w:r>
        <w:rPr>
          <w:rFonts w:ascii="Consolas" w:hAnsi="Consolas" w:cs="Consolas" w:eastAsia="Consolas"/>
          <w:sz w:val="18"/>
        </w:rPr>
        <w:t>HOST</w:t>
      </w:r>
      <w:r>
        <w:t>, Verarbeitungspfad leer.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Importieren</w:t>
      </w:r>
      <w:r>
        <w:t>. Es kommt keine Erfolgsmeldung.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In DI002 </w:t>
      </w:r>
      <w:r>
        <w:rPr>
          <w:b/>
        </w:rPr>
        <w:t>Suche</w:t>
      </w:r>
      <w:r>
        <w:t xml:space="preserve">: neue Nachricht mit Hauptstatus </w:t>
      </w:r>
      <w:r>
        <w:rPr>
          <w:b/>
        </w:rPr>
        <w:t>Fertiggestellt</w:t>
      </w:r>
      <w:r>
        <w:t xml:space="preserve">, Hauptdatensatztyp </w:t>
      </w:r>
      <w:r>
        <w:rPr>
          <w:rFonts w:ascii="Consolas" w:hAnsi="Consolas" w:cs="Consolas" w:eastAsia="Consolas"/>
          <w:sz w:val="18"/>
        </w:rPr>
        <w:t>WLSSD002</w:t>
      </w:r>
      <w:r>
        <w:t>. InSPM-Nummer notieren.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Den Auftrag in </w:t>
      </w:r>
      <w:r>
        <w:rPr>
          <w:b/>
        </w:rPr>
        <w:t>Übersicht Einlagerbedarfe</w:t>
      </w:r>
      <w:r>
        <w:t xml:space="preserve"> (LM080) prüfen und am LOGIMAT über die Kachel </w:t>
      </w:r>
      <w:r>
        <w:rPr>
          <w:b/>
        </w:rPr>
        <w:t>Einlagerung</w:t>
      </w:r>
      <w:r>
        <w:t xml:space="preserve"> einlagern.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4_di002_ergebnis_181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DI002 – Ergebnis der Importe (SSI-Testsystem)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Live-Stand SSI-Testsystem</w:t>
            </w:r>
          </w:p>
          <w:p>
            <w:pPr>
              <w:spacing w:after="40"/>
            </w:pPr>
            <w:r>
              <w:rPr>
                <w:sz w:val="19"/>
              </w:rPr>
              <w:t xml:space="preserve">Am 23.10.2026 wurden zwei Einlageraufträge für denselben Artikel mit zwei Wareneigentümern importiert (InSPM 2016 und 2017, </w:t>
            </w:r>
            <w:r>
              <w:rPr>
                <w:b/>
                <w:sz w:val="19"/>
              </w:rPr>
              <w:t>Fertiggestellt</w:t>
            </w:r>
            <w:r>
              <w:rPr>
                <w:sz w:val="19"/>
              </w:rPr>
              <w:t xml:space="preserve">). Ob Bestand, Reservierung und Inventur danach </w:t>
            </w:r>
            <w:r>
              <w:rPr>
                <w:b/>
                <w:sz w:val="19"/>
              </w:rPr>
              <w:t>je Wareneigentümer</w:t>
            </w:r>
            <w:r>
              <w:rPr>
                <w:sz w:val="19"/>
              </w:rPr>
              <w:t xml:space="preserve"> getrennt laufen, ist noch </w:t>
            </w:r>
            <w:r>
              <w:rPr>
                <w:b/>
                <w:sz w:val="19"/>
              </w:rPr>
              <w:t>zu verifizieren</w:t>
            </w:r>
            <w:r>
              <w:rPr>
                <w:sz w:val="19"/>
              </w:rPr>
              <w:t xml:space="preserve"> (Dokument 12).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Erst mit einem Datensatz testen</w:t>
            </w:r>
          </w:p>
          <w:p>
            <w:pPr>
              <w:spacing w:after="40"/>
            </w:pPr>
            <w:r>
              <w:rPr>
                <w:sz w:val="19"/>
              </w:rPr>
              <w:t>Ein importierter Einlagerbedarf liess sich im Test nicht einfach stornieren (erst nach Storno der Tablaranforderung in LM062). Darum zuerst einen Auftrag mit einer Zeile importieren.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Telegramm-Anleitung 2.8 V 1.0 Kap. 5.2, 6, 8, 9; Testablauf Modelle 3/4 (23.10.2026)</w:t>
      </w:r>
    </w:p>
    <w:p>
      <w:pPr>
        <w:pStyle w:val="Heading1"/>
      </w:pPr>
      <w:r>
        <w:t>9 Stolperfallen</w:t>
      </w:r>
    </w:p>
    <w:p>
      <w:pPr>
        <w:pStyle w:val="ListBullet"/>
      </w:pPr>
      <w:r>
        <w:t xml:space="preserve">Excel speichert Nummern als Zahl (z. B. </w:t>
      </w:r>
      <w:r>
        <w:rPr>
          <w:rFonts w:ascii="Consolas" w:hAnsi="Consolas" w:cs="Consolas" w:eastAsia="Consolas"/>
          <w:sz w:val="18"/>
        </w:rPr>
        <w:t>9002323</w:t>
      </w:r>
      <w:r>
        <w:t xml:space="preserve"> → </w:t>
      </w:r>
      <w:r>
        <w:rPr>
          <w:rFonts w:ascii="Consolas" w:hAnsi="Consolas" w:cs="Consolas" w:eastAsia="Consolas"/>
          <w:sz w:val="18"/>
        </w:rPr>
        <w:t>9002323.0</w:t>
      </w:r>
      <w:r>
        <w:t>) → Zellen immer als Text.</w:t>
      </w:r>
    </w:p>
    <w:p>
      <w:pPr>
        <w:pStyle w:val="ListBullet"/>
      </w:pPr>
      <w:r>
        <w:t>Spalten verschoben oder Blatt „Artikel“ nicht an erster Stelle → falsche Felder.</w:t>
      </w:r>
    </w:p>
    <w:p>
      <w:pPr>
        <w:pStyle w:val="ListBullet"/>
      </w:pPr>
      <w:r>
        <w:t>Datei mit einer Einheit, die beim Klienten noch fehlt → Import bricht ab (nichts angelegt).</w:t>
      </w:r>
    </w:p>
    <w:p>
      <w:pPr>
        <w:pStyle w:val="ListBullet"/>
      </w:pPr>
      <w:r>
        <w:t xml:space="preserve">Gleiche Datei zweimal importiert → Artikel werden aktualisiert, nicht doppelt angelegt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>Mehrere WAMAS-Tabs offen → Session-Fehler.</w:t>
      </w:r>
    </w:p>
    <w:p>
      <w:pPr>
        <w:pStyle w:val="ListBullet"/>
      </w:pPr>
      <w:r>
        <w:t xml:space="preserve">Spalte J </w:t>
      </w:r>
      <w:r>
        <w:rPr>
          <w:rFonts w:ascii="Consolas" w:hAnsi="Consolas" w:cs="Consolas" w:eastAsia="Consolas"/>
          <w:sz w:val="18"/>
        </w:rPr>
        <w:t>externalItem</w:t>
      </w:r>
      <w:r>
        <w:t xml:space="preserve"> aus dem Blatt „Anleitung“ der Vorlage nicht befüllen; die Importdateien haben nur die 9 Spalten A–I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 xml:space="preserve">Falscher Klient in der Spalte </w:t>
      </w:r>
      <w:r>
        <w:rPr>
          <w:b/>
        </w:rPr>
        <w:t>Mandant (clientId)</w:t>
      </w:r>
      <w:r>
        <w:t xml:space="preserve"> → Artikel landen beim falschen Klienten.</w:t>
      </w:r>
    </w:p>
    <w:p>
      <w:pPr>
        <w:pStyle w:val="ListBullet"/>
      </w:pPr>
      <w:r>
        <w:t xml:space="preserve">Einlagerauftrag mit falschem </w:t>
      </w:r>
      <w:r>
        <w:rPr>
          <w:rFonts w:ascii="Consolas" w:hAnsi="Consolas" w:cs="Consolas" w:eastAsia="Consolas"/>
          <w:sz w:val="18"/>
        </w:rPr>
        <w:t>gow</w:t>
      </w:r>
      <w:r>
        <w:t xml:space="preserve"> → Bestand gehört dem falschen Wareneigentümer; Aufträge lassen sich schlecht zurücknehmen.</w:t>
      </w:r>
    </w:p>
    <w:p>
      <w:pPr>
        <w:pStyle w:val="Heading1"/>
      </w:pPr>
      <w:r>
        <w:t>10 Praxisbeispiel</w:t>
      </w:r>
    </w:p>
    <w:p>
      <w:r>
        <w:t xml:space="preserve">Testdatei mit fünf Schulungsartikeln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bis </w:t>
      </w:r>
      <w:r>
        <w:rPr>
          <w:rFonts w:ascii="Consolas" w:hAnsi="Consolas" w:cs="Consolas" w:eastAsia="Consolas"/>
          <w:sz w:val="18"/>
        </w:rPr>
        <w:t>SCHULUNG-005</w:t>
      </w:r>
      <w:r>
        <w:t xml:space="preserve">, 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, Klient nach Entscheid: importieren, in DI002 und MD001 kontrollieren. Danach einen Einlagerauftrag mit einer Zeile für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und dem Wareneigentümer der Firma 1 importieren und am LOGIMAT einlagern.</w:t>
      </w:r>
    </w:p>
    <w:p>
      <w:pPr>
        <w:pStyle w:val="Heading1"/>
      </w:pPr>
      <w:r>
        <w:t>11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1"/>
        <w:gridCol w:w="8594"/>
      </w:tblGrid>
      <w:tr>
        <w:trPr>
          <w:tblHeader w:val="true"/>
          <w:cantSplit w:val="true"/>
        </w:trPr>
        <w:tc>
          <w:tcPr>
            <w:tcW w:type="dxa" w:w="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59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931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593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</w:t>
            </w:r>
          </w:p>
        </w:tc>
      </w:tr>
      <w:tr>
        <w:trPr>
          <w:cantSplit w:val="true"/>
        </w:trPr>
        <w:tc>
          <w:tcPr>
            <w:tcW w:type="dxa" w:w="931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8593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 16.–23.10.2026</w:t>
            </w:r>
          </w:p>
        </w:tc>
      </w:tr>
      <w:tr>
        <w:trPr>
          <w:cantSplit w:val="true"/>
        </w:trPr>
        <w:tc>
          <w:tcPr>
            <w:tcW w:type="dxa" w:w="931"/>
          </w:tcPr>
          <w:p>
            <w:pPr>
              <w:spacing w:after="0" w:line="252" w:lineRule="auto"/>
            </w:pPr>
            <w:r>
              <w:rPr>
                <w:sz w:val="17"/>
              </w:rPr>
              <w:t>AH28 / IF28</w:t>
            </w:r>
          </w:p>
        </w:tc>
        <w:tc>
          <w:tcPr>
            <w:tcW w:type="dxa" w:w="8593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2.8 / Interface Manual 2.8</w:t>
            </w:r>
          </w:p>
        </w:tc>
      </w:tr>
      <w:tr>
        <w:trPr>
          <w:cantSplit w:val="true"/>
        </w:trPr>
        <w:tc>
          <w:tcPr>
            <w:tcW w:type="dxa" w:w="931"/>
          </w:tcPr>
          <w:p>
            <w:pPr>
              <w:spacing w:after="0" w:line="252" w:lineRule="auto"/>
            </w:pPr>
            <w:r>
              <w:rPr>
                <w:sz w:val="17"/>
              </w:rPr>
              <w:t>WDW-AI</w:t>
            </w:r>
          </w:p>
        </w:tc>
        <w:tc>
          <w:tcPr>
            <w:tcW w:type="dxa" w:w="8593"/>
          </w:tcPr>
          <w:p>
            <w:pPr>
              <w:spacing w:after="0" w:line="252" w:lineRule="auto"/>
            </w:pPr>
            <w:r>
              <w:rPr>
                <w:sz w:val="17"/>
              </w:rPr>
              <w:t>How-to Artikel anlegen und importieren 2.8 V 1.0</w:t>
            </w:r>
          </w:p>
        </w:tc>
      </w:tr>
      <w:tr>
        <w:trPr>
          <w:cantSplit w:val="true"/>
        </w:trPr>
        <w:tc>
          <w:tcPr>
            <w:tcW w:type="dxa" w:w="931"/>
          </w:tcPr>
          <w:p>
            <w:pPr>
              <w:spacing w:after="0" w:line="252" w:lineRule="auto"/>
            </w:pPr>
            <w:r>
              <w:rPr>
                <w:sz w:val="17"/>
              </w:rPr>
              <w:t>TG28</w:t>
            </w:r>
          </w:p>
        </w:tc>
        <w:tc>
          <w:tcPr>
            <w:tcW w:type="dxa" w:w="8593"/>
          </w:tcPr>
          <w:p>
            <w:pPr>
              <w:spacing w:after="0" w:line="252" w:lineRule="auto"/>
            </w:pPr>
            <w:r>
              <w:rPr>
                <w:sz w:val="17"/>
              </w:rPr>
              <w:t>Telegramm-Anleitung Stammdaten- und Auftragsimport 2.8 V 1.0</w:t>
            </w:r>
          </w:p>
        </w:tc>
      </w:tr>
      <w:tr>
        <w:trPr>
          <w:cantSplit w:val="true"/>
        </w:trPr>
        <w:tc>
          <w:tcPr>
            <w:tcW w:type="dxa" w:w="931"/>
          </w:tcPr>
          <w:p>
            <w:pPr>
              <w:spacing w:after="0" w:line="252" w:lineRule="auto"/>
            </w:pPr>
            <w:r>
              <w:rPr>
                <w:sz w:val="17"/>
              </w:rPr>
              <w:t>V5</w:t>
            </w:r>
          </w:p>
        </w:tc>
        <w:tc>
          <w:tcPr>
            <w:tcW w:type="dxa" w:w="859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EXCEL_ITEM_V5_Vorlage.xlsx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EXCEL_ITEM_V5_profile.xml</w:t>
            </w:r>
            <w:r>
              <w:rPr>
                <w:sz w:val="17"/>
              </w:rPr>
              <w:t xml:space="preserve"> (Stand 17.10.2026)</w:t>
            </w:r>
          </w:p>
        </w:tc>
      </w:tr>
    </w:tbl>
    <w:p>
      <w:pPr>
        <w:pStyle w:val="BeschriftungSSI"/>
      </w:pPr>
      <w:r>
        <w:t>Tab. 6: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Artikel importieren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Artikel und Einlageraufträge importieren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Artikel und Einlageraufträge importieren</dc:title>
  <dc:subject>Excel-Import V5 und Einlagerauftrag per Telegramm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