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6690"/>
        <w:gridCol w:w="2835"/>
      </w:tblGrid>
      <w:tr>
        <w:tc>
          <w:tcPr>
            <w:tcW w:type="dxa" w:w="6690"/>
            <w:shd w:val="clear" w:color="auto" w:fill="FEEE19"/>
            <w:tcMar>
              <w:top w:w="160" w:type="dxa"/>
              <w:bottom w:w="160" w:type="dxa"/>
              <w:start w:w="200" w:type="dxa"/>
              <w:end w:w="200" w:type="dxa"/>
              <w:left w:w="200" w:type="dxa"/>
              <w:right w:w="200" w:type="dxa"/>
            </w:tcMar>
          </w:tcPr>
          <w:p>
            <w:pPr>
              <w:spacing w:after="40"/>
            </w:pPr>
            <w:r>
              <w:rPr>
                <w:sz w:val="22"/>
              </w:rPr>
              <w:t>Protokoll</w:t>
            </w:r>
          </w:p>
          <w:p>
            <w:pPr>
              <w:spacing w:after="40"/>
            </w:pPr>
            <w:r>
              <w:rPr>
                <w:b/>
                <w:sz w:val="36"/>
              </w:rPr>
              <w:t>Inbetriebnahmeprotokoll WAMAS</w:t>
            </w:r>
          </w:p>
          <w:p>
            <w:r>
              <w:rPr>
                <w:sz w:val="18"/>
              </w:rPr>
              <w:t>Stumatec  ·  WAMAS Lift &amp; Store 2.8 · SSI LOGIMAT  ·  V 1.0  ·  26.10.2026</w:t>
            </w:r>
          </w:p>
        </w:tc>
        <w:tc>
          <w:tcPr>
            <w:tcW w:type="dxa" w:w="2835"/>
            <w:shd w:val="clear" w:color="auto" w:fill="FFFFFF"/>
            <w:tcMar>
              <w:top w:w="120" w:type="dxa"/>
              <w:bottom w:w="12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spacing w:after="160"/>
            </w:pPr>
            <w:r>
              <w:drawing>
                <wp:inline xmlns:a="http://schemas.openxmlformats.org/drawingml/2006/main" xmlns:pic="http://schemas.openxmlformats.org/drawingml/2006/picture">
                  <wp:extent cx="1584000" cy="33901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si_logo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0" cy="33901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r>
              <w:drawing>
                <wp:inline xmlns:a="http://schemas.openxmlformats.org/drawingml/2006/main" xmlns:pic="http://schemas.openxmlformats.org/drawingml/2006/picture">
                  <wp:extent cx="1152000" cy="17140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wamas_logo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1714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40"/>
      </w:pPr>
    </w:p>
    <w:p>
      <w:pPr>
        <w:pStyle w:val="Heading1"/>
      </w:pPr>
      <w:r>
        <w:t>1 Angaben zur Inbetriebnahme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7144"/>
      </w:tblGrid>
      <w:tr>
        <w:trPr>
          <w:tblHeader w:val="true"/>
          <w:cantSplit w:val="true"/>
        </w:trPr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  <w:tc>
          <w:tcPr>
            <w:tcW w:type="dxa" w:w="71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Eintrag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Kunde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Stumatec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System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2.8, zwei SSI LOGIMAT (je mit Firewall ads-tec IRF1401)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Datum / Ort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26.10.2026 / ______________________________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Inbetriebnahme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______________________________ (SSI SCHÄFER)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Teilnehmende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IT Stumatec: ____________________ · Key-User: ____________________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Keine Zugangsdaten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In diesem Protokoll werden </w:t>
            </w:r>
            <w:r>
              <w:rPr>
                <w:b/>
                <w:sz w:val="19"/>
              </w:rPr>
              <w:t>keine</w:t>
            </w:r>
            <w:r>
              <w:rPr>
                <w:sz w:val="19"/>
              </w:rPr>
              <w:t xml:space="preserve"> Benutzernamen, Passwörter oder Schlüssel eingetragen. Zugangsdaten werden getrennt im vereinbarten Passwortsafe abgelegt </w:t>
            </w:r>
            <w:r>
              <w:rPr>
                <w:b/>
                <w:sz w:val="19"/>
              </w:rPr>
              <w:t>[auszufüllen]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r>
        <w:t xml:space="preserve">Je Prüfpunkt ankreuzen: </w:t>
      </w:r>
      <w:r>
        <w:rPr>
          <w:b/>
        </w:rPr>
        <w:t>i. O.</w:t>
      </w:r>
      <w:r>
        <w:t xml:space="preserve"> (geprüft, in Ordnung), </w:t>
      </w:r>
      <w:r>
        <w:rPr>
          <w:b/>
        </w:rPr>
        <w:t>n. i. O.</w:t>
      </w:r>
      <w:r>
        <w:t xml:space="preserve"> (Mangel, unter Bemerkung bzw. Kapitel 6 eintragen), </w:t>
      </w:r>
      <w:r>
        <w:rPr>
          <w:b/>
        </w:rPr>
        <w:t>n. a.</w:t>
      </w:r>
      <w:r>
        <w:t xml:space="preserve"> (nicht anwendbar).</w:t>
      </w:r>
    </w:p>
    <w:p>
      <w:pPr>
        <w:pStyle w:val="Heading1"/>
      </w:pPr>
      <w:r>
        <w:t>2 WAMAS-Server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23"/>
        <w:gridCol w:w="3118"/>
        <w:gridCol w:w="2494"/>
        <w:gridCol w:w="680"/>
        <w:gridCol w:w="793"/>
        <w:gridCol w:w="567"/>
        <w:gridCol w:w="1247"/>
      </w:tblGrid>
      <w:tr>
        <w:trPr>
          <w:tblHeader w:val="true"/>
          <w:cantSplit w:val="true"/>
        </w:trPr>
        <w:tc>
          <w:tcPr>
            <w:tcW w:type="dxa" w:w="62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311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Prüfpunkt</w:t>
            </w:r>
          </w:p>
        </w:tc>
        <w:tc>
          <w:tcPr>
            <w:tcW w:type="dxa" w:w="24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Soll / Eintrag</w:t>
            </w:r>
          </w:p>
        </w:tc>
        <w:tc>
          <w:tcPr>
            <w:tcW w:type="dxa" w:w="68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i. O.</w:t>
            </w:r>
          </w:p>
        </w:tc>
        <w:tc>
          <w:tcPr>
            <w:tcW w:type="dxa" w:w="7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n. i. O.</w:t>
            </w:r>
          </w:p>
        </w:tc>
        <w:tc>
          <w:tcPr>
            <w:tcW w:type="dxa" w:w="5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n. a.</w:t>
            </w:r>
          </w:p>
        </w:tc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Bemerkung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S1</w:t>
            </w:r>
          </w:p>
        </w:tc>
        <w:tc>
          <w:tcPr>
            <w:tcW w:type="dxa" w:w="3118"/>
          </w:tcPr>
          <w:p>
            <w:pPr>
              <w:spacing w:after="0" w:line="252" w:lineRule="auto"/>
            </w:pPr>
            <w:r>
              <w:rPr>
                <w:sz w:val="17"/>
              </w:rPr>
              <w:t>Hostname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srstulvs101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S2</w:t>
            </w:r>
          </w:p>
        </w:tc>
        <w:tc>
          <w:tcPr>
            <w:tcW w:type="dxa" w:w="3118"/>
          </w:tcPr>
          <w:p>
            <w:pPr>
              <w:spacing w:after="0" w:line="252" w:lineRule="auto"/>
            </w:pPr>
            <w:r>
              <w:rPr>
                <w:sz w:val="17"/>
              </w:rPr>
              <w:t>IP-Adresse (fest)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10.4.10.21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S3</w:t>
            </w:r>
          </w:p>
        </w:tc>
        <w:tc>
          <w:tcPr>
            <w:tcW w:type="dxa" w:w="3118"/>
          </w:tcPr>
          <w:p>
            <w:pPr>
              <w:spacing w:after="0" w:line="252" w:lineRule="auto"/>
            </w:pPr>
            <w:r>
              <w:rPr>
                <w:sz w:val="17"/>
              </w:rPr>
              <w:t>Gateway / DNS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10.4.10.1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10.4.10.1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S4</w:t>
            </w:r>
          </w:p>
        </w:tc>
        <w:tc>
          <w:tcPr>
            <w:tcW w:type="dxa" w:w="3118"/>
          </w:tcPr>
          <w:p>
            <w:pPr>
              <w:spacing w:after="0" w:line="252" w:lineRule="auto"/>
            </w:pPr>
            <w:r>
              <w:rPr>
                <w:sz w:val="17"/>
              </w:rPr>
              <w:t>Betriebssystem, Version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[auszufüllen]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S5</w:t>
            </w:r>
          </w:p>
        </w:tc>
        <w:tc>
          <w:tcPr>
            <w:tcW w:type="dxa" w:w="3118"/>
          </w:tcPr>
          <w:p>
            <w:pPr>
              <w:spacing w:after="0" w:line="252" w:lineRule="auto"/>
            </w:pPr>
            <w:r>
              <w:rPr>
                <w:sz w:val="17"/>
              </w:rPr>
              <w:t>Datenbank (MSSQL 1433 bzw. Oracle 1521)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[auszufüllen]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S6</w:t>
            </w:r>
          </w:p>
        </w:tc>
        <w:tc>
          <w:tcPr>
            <w:tcW w:type="dxa" w:w="3118"/>
          </w:tcPr>
          <w:p>
            <w:pPr>
              <w:spacing w:after="0" w:line="252" w:lineRule="auto"/>
            </w:pPr>
            <w:r>
              <w:rPr>
                <w:sz w:val="17"/>
              </w:rPr>
              <w:t>WAMAS LS Version / Build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2.8 / [auszufüllen]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S7</w:t>
            </w:r>
          </w:p>
        </w:tc>
        <w:tc>
          <w:tcPr>
            <w:tcW w:type="dxa" w:w="3118"/>
          </w:tcPr>
          <w:p>
            <w:pPr>
              <w:spacing w:after="0" w:line="252" w:lineRule="auto"/>
            </w:pPr>
            <w:r>
              <w:rPr>
                <w:sz w:val="17"/>
              </w:rPr>
              <w:t>WAMAS-Dienste laufen (BDeploy 7701)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gestartet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S8</w:t>
            </w:r>
          </w:p>
        </w:tc>
        <w:tc>
          <w:tcPr>
            <w:tcW w:type="dxa" w:w="3118"/>
          </w:tcPr>
          <w:p>
            <w:pPr>
              <w:spacing w:after="0" w:line="252" w:lineRule="auto"/>
            </w:pPr>
            <w:r>
              <w:rPr>
                <w:sz w:val="17"/>
              </w:rPr>
              <w:t>Uhrzeit synchron (Zeitquelle)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[auszufüllen]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S9</w:t>
            </w:r>
          </w:p>
        </w:tc>
        <w:tc>
          <w:tcPr>
            <w:tcW w:type="dxa" w:w="3118"/>
          </w:tcPr>
          <w:p>
            <w:pPr>
              <w:spacing w:after="0" w:line="252" w:lineRule="auto"/>
            </w:pPr>
            <w:r>
              <w:rPr>
                <w:sz w:val="17"/>
              </w:rPr>
              <w:t>Windows-Firewall: WAMAS-Ports freigegeben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siehe Kap. 4.2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S10</w:t>
            </w:r>
          </w:p>
        </w:tc>
        <w:tc>
          <w:tcPr>
            <w:tcW w:type="dxa" w:w="3118"/>
          </w:tcPr>
          <w:p>
            <w:pPr>
              <w:spacing w:after="0" w:line="252" w:lineRule="auto"/>
            </w:pPr>
            <w:r>
              <w:rPr>
                <w:sz w:val="17"/>
              </w:rPr>
              <w:t>Datensicherung vereinbart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[auszufüllen]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S11</w:t>
            </w:r>
          </w:p>
        </w:tc>
        <w:tc>
          <w:tcPr>
            <w:tcW w:type="dxa" w:w="3118"/>
          </w:tcPr>
          <w:p>
            <w:pPr>
              <w:spacing w:after="0" w:line="252" w:lineRule="auto"/>
            </w:pPr>
            <w:r>
              <w:rPr>
                <w:sz w:val="17"/>
              </w:rPr>
              <w:t>Fernwartung SSI (Weg vereinbart)</w:t>
            </w:r>
          </w:p>
        </w:tc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[auszufüllen]</w:t>
            </w:r>
          </w:p>
        </w:tc>
        <w:tc>
          <w:tcPr>
            <w:tcW w:type="dxa" w:w="68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79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56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p>
      <w:pPr>
        <w:pStyle w:val="Heading1"/>
      </w:pPr>
      <w:r>
        <w:t>3 Netzwerk und Firewalls der LOGIMATs</w:t>
      </w:r>
    </w:p>
    <w:p>
      <w:r>
        <w:t xml:space="preserve">Jeder LOGIMAT liegt in einem </w:t>
      </w:r>
      <w:r>
        <w:rPr>
          <w:b/>
        </w:rPr>
        <w:t>LOGIMAT-internen Netz</w:t>
      </w:r>
      <w:r>
        <w:t xml:space="preserve"> hinter einer eigenen Firewall. Das </w:t>
      </w:r>
      <w:r>
        <w:rPr>
          <w:b/>
        </w:rPr>
        <w:t>interne Interface (LAN) ist vorkonfiguriert und wird nicht verändert</w:t>
      </w:r>
      <w:r>
        <w:t>; angepasst werden nur das externe Interface (WAN), Port-Weiterleitung, Paketfilter und DNS.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494"/>
        <w:gridCol w:w="3515"/>
        <w:gridCol w:w="3515"/>
      </w:tblGrid>
      <w:tr>
        <w:trPr>
          <w:tblHeader w:val="true"/>
          <w:cantSplit w:val="true"/>
        </w:trPr>
        <w:tc>
          <w:tcPr>
            <w:tcW w:type="dxa" w:w="249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  <w:tc>
          <w:tcPr>
            <w:tcW w:type="dxa" w:w="351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Firewall FW1 (LOGIMAT 1)</w:t>
            </w:r>
          </w:p>
        </w:tc>
        <w:tc>
          <w:tcPr>
            <w:tcW w:type="dxa" w:w="351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Firewall FW2 (LOGIMAT 2)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Typ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>ads-tec IRF1401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>ads-tec IRF1401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Seriennummer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>AX20416237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>[auszufüllen]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MAC-Adresse WAN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>00:18:92:08:77:41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>00:18:92:08:77:3A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WAN-Adresse (Kundennetz)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>10.4.10.104 (DHCP)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>10.4.10.197 (DHCP)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LAN (LOGIMAT-intern)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>192.168.80.x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>192.168.80.x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SPS (PLC)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>192.168.80.5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>192.168.80.5 [vor Ort prüfen]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IPC LOGIMAT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>192.168.80.11 [vor Ort prüfen]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>192.168.80.11 [vor Ort prüfen]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LOGIMAT-Bezeichnung in WAMAS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>[auszufüllen]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>[auszufüllen]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DHCP-Reservierung WAN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☐ eingerichtet </w:t>
            </w:r>
            <w:r>
              <w:rPr>
                <w:b/>
                <w:sz w:val="17"/>
              </w:rPr>
              <w:t>(offen)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☐ eingerichtet </w:t>
            </w:r>
            <w:r>
              <w:rPr>
                <w:b/>
                <w:sz w:val="17"/>
              </w:rPr>
              <w:t>(offen)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2494"/>
          </w:tcPr>
          <w:p>
            <w:pPr>
              <w:spacing w:after="0" w:line="252" w:lineRule="auto"/>
            </w:pPr>
            <w:r>
              <w:rPr>
                <w:sz w:val="17"/>
              </w:rPr>
              <w:t>NTP auf der Firewall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☐ eingerichtet </w:t>
            </w:r>
            <w:r>
              <w:rPr>
                <w:b/>
                <w:sz w:val="17"/>
              </w:rPr>
              <w:t>(offen)</w:t>
            </w:r>
          </w:p>
        </w:tc>
        <w:tc>
          <w:tcPr>
            <w:tcW w:type="dxa" w:w="351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☐ eingerichtet </w:t>
            </w:r>
            <w:r>
              <w:rPr>
                <w:b/>
                <w:sz w:val="17"/>
              </w:rPr>
              <w:t>(offen)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DHCP-Reservierung</w:t>
            </w:r>
          </w:p>
          <w:p>
            <w:pPr>
              <w:spacing w:after="40"/>
            </w:pPr>
            <w:r>
              <w:rPr>
                <w:sz w:val="19"/>
              </w:rPr>
              <w:t xml:space="preserve">WAMAS erreicht die Steuerung über die </w:t>
            </w:r>
            <w:r>
              <w:rPr>
                <w:b/>
                <w:sz w:val="19"/>
              </w:rPr>
              <w:t>WAN-Adresse der Firewall</w:t>
            </w:r>
            <w:r>
              <w:rPr>
                <w:sz w:val="19"/>
              </w:rPr>
              <w:t>. Solange diese per DHCP ohne Reservierung vergeben wird, kann sie sich ändern und die Verbindung zum LOGIMAT bricht ab. Reservierung für beide MAC-Adressen (oder feste Adressen) durch die IT Stumatec einrichten lassen.</w:t>
            </w:r>
          </w:p>
        </w:tc>
      </w:tr>
    </w:tbl>
    <w:p>
      <w:pPr>
        <w:spacing w:after="40"/>
      </w:pPr>
    </w:p>
    <w:p>
      <w:pPr>
        <w:pStyle w:val="Heading1"/>
      </w:pPr>
      <w:r>
        <w:t>4 Ports</w:t>
      </w:r>
    </w:p>
    <w:p>
      <w:pPr>
        <w:pStyle w:val="Heading2"/>
      </w:pPr>
      <w:r>
        <w:t>4.1 Port-Weiterleitungen an den Firewalls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07"/>
        <w:gridCol w:w="1474"/>
        <w:gridCol w:w="2041"/>
        <w:gridCol w:w="1587"/>
        <w:gridCol w:w="1757"/>
        <w:gridCol w:w="1757"/>
      </w:tblGrid>
      <w:tr>
        <w:trPr>
          <w:tblHeader w:val="true"/>
          <w:cantSplit w:val="true"/>
        </w:trPr>
        <w:tc>
          <w:tcPr>
            <w:tcW w:type="dxa" w:w="9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Port (TCP)</w:t>
            </w:r>
          </w:p>
        </w:tc>
        <w:tc>
          <w:tcPr>
            <w:tcW w:type="dxa" w:w="147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Dienst</w:t>
            </w:r>
          </w:p>
        </w:tc>
        <w:tc>
          <w:tcPr>
            <w:tcW w:type="dxa" w:w="20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Weiterleitung an</w:t>
            </w:r>
          </w:p>
        </w:tc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Von</w:t>
            </w:r>
          </w:p>
        </w:tc>
        <w:tc>
          <w:tcPr>
            <w:tcW w:type="dxa" w:w="17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FW1 getestet</w:t>
            </w:r>
          </w:p>
        </w:tc>
        <w:tc>
          <w:tcPr>
            <w:tcW w:type="dxa" w:w="17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FW2 getestet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2011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NGKP (WAMAS ↔ SPS)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SPS 192.168.80.5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i. O. (getestet vor 26.10.)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2012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NGKP (WAMAS ↔ SPS)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SPS 192.168.80.5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3389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RDP (Fernwartung IPC)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IPC 192.168.80.11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SSI-Support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5900</w:t>
            </w:r>
          </w:p>
        </w:tc>
        <w:tc>
          <w:tcPr>
            <w:tcW w:type="dxa" w:w="1474"/>
          </w:tcPr>
          <w:p>
            <w:pPr>
              <w:spacing w:after="0" w:line="252" w:lineRule="auto"/>
            </w:pPr>
            <w:r>
              <w:rPr>
                <w:sz w:val="17"/>
              </w:rPr>
              <w:t>VNC (Bedienung SPS-Panel)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SPS 192.168.80.5</w:t>
            </w:r>
          </w:p>
        </w:tc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SSI-Support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NGKP-Ports</w:t>
            </w:r>
          </w:p>
          <w:p>
            <w:pPr>
              <w:spacing w:after="40"/>
            </w:pPr>
            <w:r>
              <w:rPr>
                <w:sz w:val="19"/>
              </w:rPr>
              <w:t>WAMAS spricht mit der LOGIMAT-Steuerung über NGKP auf TCP-Ports im Bereich 2000–3000; 2011–2020 werden genutzt, wenn WAMAS und SPS in verschiedenen Netzen liegen. Welche Seite die Verbindung aufbaut, ist in den SSI-Unterlagen nicht belegt (</w:t>
            </w:r>
            <w:r>
              <w:rPr>
                <w:b/>
                <w:sz w:val="19"/>
              </w:rPr>
              <w:t>zu verifizieren</w:t>
            </w:r>
            <w:r>
              <w:rPr>
                <w:sz w:val="19"/>
              </w:rPr>
              <w:t>).</w:t>
            </w:r>
          </w:p>
        </w:tc>
      </w:tr>
    </w:tbl>
    <w:p>
      <w:pPr>
        <w:spacing w:after="40"/>
      </w:pPr>
    </w:p>
    <w:p>
      <w:pPr>
        <w:pStyle w:val="Heading2"/>
      </w:pPr>
      <w:r>
        <w:t>4.2 Freigaben zum WAMAS-Server (Kundennetz)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041"/>
        <w:gridCol w:w="4536"/>
        <w:gridCol w:w="963"/>
        <w:gridCol w:w="963"/>
        <w:gridCol w:w="1020"/>
      </w:tblGrid>
      <w:tr>
        <w:trPr>
          <w:tblHeader w:val="true"/>
          <w:cantSplit w:val="true"/>
        </w:trPr>
        <w:tc>
          <w:tcPr>
            <w:tcW w:type="dxa" w:w="20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Von</w:t>
            </w:r>
          </w:p>
        </w:tc>
        <w:tc>
          <w:tcPr>
            <w:tcW w:type="dxa" w:w="45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Ports (TCP)</w:t>
            </w:r>
          </w:p>
        </w:tc>
        <w:tc>
          <w:tcPr>
            <w:tcW w:type="dxa" w:w="96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i. O.</w:t>
            </w:r>
          </w:p>
        </w:tc>
        <w:tc>
          <w:tcPr>
            <w:tcW w:type="dxa" w:w="96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n. i. O.</w:t>
            </w:r>
          </w:p>
        </w:tc>
        <w:tc>
          <w:tcPr>
            <w:tcW w:type="dxa" w:w="102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n. a.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Desktop-/Touch-Clients</w:t>
            </w:r>
          </w:p>
        </w:tc>
        <w:tc>
          <w:tcPr>
            <w:tcW w:type="dxa" w:w="4535"/>
          </w:tcPr>
          <w:p>
            <w:pPr>
              <w:spacing w:after="0" w:line="252" w:lineRule="auto"/>
            </w:pPr>
            <w:r>
              <w:rPr>
                <w:sz w:val="17"/>
              </w:rPr>
              <w:t>7701; 8300–8302, 8501, 8503, 8600; 9443, 11000, 11005, 11010; 30010–30013, 30021, 30023, 30040–30043; 8445, 8446, 8453, 31011, 31012, 61616</w:t>
            </w:r>
          </w:p>
        </w:tc>
        <w:tc>
          <w:tcPr>
            <w:tcW w:type="dxa" w:w="96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96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Browser</w:t>
            </w:r>
          </w:p>
        </w:tc>
        <w:tc>
          <w:tcPr>
            <w:tcW w:type="dxa" w:w="4535"/>
          </w:tcPr>
          <w:p>
            <w:pPr>
              <w:spacing w:after="0" w:line="252" w:lineRule="auto"/>
            </w:pPr>
            <w:r>
              <w:rPr>
                <w:sz w:val="17"/>
              </w:rPr>
              <w:t>8080, 8081, 18002, 30044, 30046, 8161</w:t>
            </w:r>
          </w:p>
        </w:tc>
        <w:tc>
          <w:tcPr>
            <w:tcW w:type="dxa" w:w="96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96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Mobile-Geräte</w:t>
            </w:r>
          </w:p>
        </w:tc>
        <w:tc>
          <w:tcPr>
            <w:tcW w:type="dxa" w:w="4535"/>
          </w:tcPr>
          <w:p>
            <w:pPr>
              <w:spacing w:after="0" w:line="252" w:lineRule="auto"/>
            </w:pPr>
            <w:r>
              <w:rPr>
                <w:sz w:val="17"/>
              </w:rPr>
              <w:t>8088, 30042, 30043, 30013, 61616</w:t>
            </w:r>
          </w:p>
        </w:tc>
        <w:tc>
          <w:tcPr>
            <w:tcW w:type="dxa" w:w="96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96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 → Datenbank</w:t>
            </w:r>
          </w:p>
        </w:tc>
        <w:tc>
          <w:tcPr>
            <w:tcW w:type="dxa" w:w="4535"/>
          </w:tcPr>
          <w:p>
            <w:pPr>
              <w:spacing w:after="0" w:line="252" w:lineRule="auto"/>
            </w:pPr>
            <w:r>
              <w:rPr>
                <w:sz w:val="17"/>
              </w:rPr>
              <w:t>1433 bzw. 1521</w:t>
            </w:r>
          </w:p>
        </w:tc>
        <w:tc>
          <w:tcPr>
            <w:tcW w:type="dxa" w:w="96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96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ERP ↔ WAMAS</w:t>
            </w:r>
          </w:p>
        </w:tc>
        <w:tc>
          <w:tcPr>
            <w:tcW w:type="dxa" w:w="4535"/>
          </w:tcPr>
          <w:p>
            <w:pPr>
              <w:spacing w:after="0" w:line="252" w:lineRule="auto"/>
            </w:pPr>
            <w:r>
              <w:rPr>
                <w:sz w:val="17"/>
              </w:rPr>
              <w:t>projektspezifisch [auszufüllen]</w:t>
            </w:r>
          </w:p>
        </w:tc>
        <w:tc>
          <w:tcPr>
            <w:tcW w:type="dxa" w:w="96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964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02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SSI-Portliste WAMAS LS 2.7/2.8 (Netzwerk-Kommunikation und Ports V 1.0, Firewall-Checkliste); Portnummern sind konfigurierbar und gegen die BDeploy-Instanz zu prüfen.</w:t>
      </w:r>
    </w:p>
    <w:p>
      <w:pPr>
        <w:pStyle w:val="Heading1"/>
      </w:pPr>
      <w:r>
        <w:t>5 Funktionstests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23"/>
        <w:gridCol w:w="3742"/>
        <w:gridCol w:w="1190"/>
        <w:gridCol w:w="1190"/>
        <w:gridCol w:w="850"/>
        <w:gridCol w:w="1927"/>
      </w:tblGrid>
      <w:tr>
        <w:trPr>
          <w:tblHeader w:val="true"/>
          <w:cantSplit w:val="true"/>
        </w:trPr>
        <w:tc>
          <w:tcPr>
            <w:tcW w:type="dxa" w:w="62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37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Test</w:t>
            </w:r>
          </w:p>
        </w:tc>
        <w:tc>
          <w:tcPr>
            <w:tcW w:type="dxa" w:w="11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LOGIMAT 1</w:t>
            </w:r>
          </w:p>
        </w:tc>
        <w:tc>
          <w:tcPr>
            <w:tcW w:type="dxa" w:w="11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LOGIMAT 2</w:t>
            </w:r>
          </w:p>
        </w:tc>
        <w:tc>
          <w:tcPr>
            <w:tcW w:type="dxa" w:w="8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n. a.</w:t>
            </w:r>
          </w:p>
        </w:tc>
        <w:tc>
          <w:tcPr>
            <w:tcW w:type="dxa" w:w="192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Bemerkung</w:t>
            </w: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F1</w:t>
            </w:r>
          </w:p>
        </w:tc>
        <w:tc>
          <w:tcPr>
            <w:tcW w:type="dxa" w:w="3742"/>
          </w:tcPr>
          <w:p>
            <w:pPr>
              <w:spacing w:after="0" w:line="252" w:lineRule="auto"/>
            </w:pPr>
            <w:r>
              <w:rPr>
                <w:sz w:val="17"/>
              </w:rPr>
              <w:t>WAN-Adresse der Firewall vom WAMAS-Server erreichbar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F2</w:t>
            </w:r>
          </w:p>
        </w:tc>
        <w:tc>
          <w:tcPr>
            <w:tcW w:type="dxa" w:w="3742"/>
          </w:tcPr>
          <w:p>
            <w:pPr>
              <w:spacing w:after="0" w:line="252" w:lineRule="auto"/>
            </w:pPr>
            <w:r>
              <w:rPr>
                <w:sz w:val="17"/>
              </w:rPr>
              <w:t>NGKP-Verbindung aufgebaut, LOGIMAT in WAMAS online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F3</w:t>
            </w:r>
          </w:p>
        </w:tc>
        <w:tc>
          <w:tcPr>
            <w:tcW w:type="dxa" w:w="3742"/>
          </w:tcPr>
          <w:p>
            <w:pPr>
              <w:spacing w:after="0" w:line="252" w:lineRule="auto"/>
            </w:pPr>
            <w:r>
              <w:rPr>
                <w:sz w:val="17"/>
              </w:rPr>
              <w:t>Anmeldung am Touch-Client, Dashboard erscheint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F4</w:t>
            </w:r>
          </w:p>
        </w:tc>
        <w:tc>
          <w:tcPr>
            <w:tcW w:type="dxa" w:w="3742"/>
          </w:tcPr>
          <w:p>
            <w:pPr>
              <w:spacing w:after="0" w:line="252" w:lineRule="auto"/>
            </w:pPr>
            <w:r>
              <w:rPr>
                <w:sz w:val="17"/>
              </w:rPr>
              <w:t>Tablar anfordern und retournieren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F5</w:t>
            </w:r>
          </w:p>
        </w:tc>
        <w:tc>
          <w:tcPr>
            <w:tcW w:type="dxa" w:w="3742"/>
          </w:tcPr>
          <w:p>
            <w:pPr>
              <w:spacing w:after="0" w:line="252" w:lineRule="auto"/>
            </w:pPr>
            <w:r>
              <w:rPr>
                <w:sz w:val="17"/>
              </w:rPr>
              <w:t>Testbuchung Einlagern und Entnehmen, Bestand korrekt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F6</w:t>
            </w:r>
          </w:p>
        </w:tc>
        <w:tc>
          <w:tcPr>
            <w:tcW w:type="dxa" w:w="3742"/>
          </w:tcPr>
          <w:p>
            <w:pPr>
              <w:spacing w:after="0" w:line="252" w:lineRule="auto"/>
            </w:pPr>
            <w:r>
              <w:rPr>
                <w:sz w:val="17"/>
              </w:rPr>
              <w:t>RDP auf IPC über Port 3389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F7</w:t>
            </w:r>
          </w:p>
        </w:tc>
        <w:tc>
          <w:tcPr>
            <w:tcW w:type="dxa" w:w="3742"/>
          </w:tcPr>
          <w:p>
            <w:pPr>
              <w:spacing w:after="0" w:line="252" w:lineRule="auto"/>
            </w:pPr>
            <w:r>
              <w:rPr>
                <w:sz w:val="17"/>
              </w:rPr>
              <w:t>VNC auf SPS über Port 5900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F8</w:t>
            </w:r>
          </w:p>
        </w:tc>
        <w:tc>
          <w:tcPr>
            <w:tcW w:type="dxa" w:w="3742"/>
          </w:tcPr>
          <w:p>
            <w:pPr>
              <w:spacing w:after="0" w:line="252" w:lineRule="auto"/>
            </w:pPr>
            <w:r>
              <w:rPr>
                <w:sz w:val="17"/>
              </w:rPr>
              <w:t>Desktop-Client: Anmeldung, Übersicht Tablare, DI002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F9</w:t>
            </w:r>
          </w:p>
        </w:tc>
        <w:tc>
          <w:tcPr>
            <w:tcW w:type="dxa" w:w="374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Testdruck Beleg / Etikett (Sprache nur Deutsch </w:t>
            </w:r>
            <w:r>
              <w:rPr>
                <w:rFonts w:ascii="Consolas" w:hAnsi="Consolas" w:cs="Consolas" w:eastAsia="Consolas"/>
                <w:sz w:val="15"/>
              </w:rPr>
              <w:t>ger</w:t>
            </w:r>
            <w:r>
              <w:rPr>
                <w:sz w:val="17"/>
              </w:rPr>
              <w:t>)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F10</w:t>
            </w:r>
          </w:p>
        </w:tc>
        <w:tc>
          <w:tcPr>
            <w:tcW w:type="dxa" w:w="3742"/>
          </w:tcPr>
          <w:p>
            <w:pPr>
              <w:spacing w:after="0" w:line="252" w:lineRule="auto"/>
            </w:pPr>
            <w:r>
              <w:rPr>
                <w:sz w:val="17"/>
              </w:rPr>
              <w:t>Uhrzeit Server, IPC und Firewall stimmen überein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</w:p>
        </w:tc>
      </w:tr>
      <w:tr>
        <w:trPr>
          <w:trHeight w:val="283" w:hRule="atLeast"/>
          <w:cantSplit w:val="true"/>
        </w:trPr>
        <w:tc>
          <w:tcPr>
            <w:tcW w:type="dxa" w:w="624"/>
          </w:tcPr>
          <w:p>
            <w:pPr>
              <w:spacing w:after="0" w:line="252" w:lineRule="auto"/>
            </w:pPr>
            <w:r>
              <w:rPr>
                <w:sz w:val="17"/>
              </w:rPr>
              <w:t>F11</w:t>
            </w:r>
          </w:p>
        </w:tc>
        <w:tc>
          <w:tcPr>
            <w:tcW w:type="dxa" w:w="3742"/>
          </w:tcPr>
          <w:p>
            <w:pPr>
              <w:spacing w:after="0" w:line="252" w:lineRule="auto"/>
            </w:pPr>
            <w:r>
              <w:rPr>
                <w:sz w:val="17"/>
              </w:rPr>
              <w:t>Verbindung nach Neustart der Firewall wieder aufgebaut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191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850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  <w:tc>
          <w:tcPr>
            <w:tcW w:type="dxa" w:w="1928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p>
      <w:pPr>
        <w:pStyle w:val="Heading1"/>
      </w:pPr>
      <w:r>
        <w:t>6 Offene Punkte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10"/>
        <w:gridCol w:w="4762"/>
        <w:gridCol w:w="1757"/>
        <w:gridCol w:w="1247"/>
        <w:gridCol w:w="1247"/>
      </w:tblGrid>
      <w:tr>
        <w:trPr>
          <w:tblHeader w:val="true"/>
          <w:cantSplit w:val="true"/>
        </w:trPr>
        <w:tc>
          <w:tcPr>
            <w:tcW w:type="dxa" w:w="5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476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Offener Punkt</w:t>
            </w:r>
          </w:p>
        </w:tc>
        <w:tc>
          <w:tcPr>
            <w:tcW w:type="dxa" w:w="17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Verantwortlich</w:t>
            </w:r>
          </w:p>
        </w:tc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Termin</w:t>
            </w:r>
          </w:p>
        </w:tc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erledigt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DHCP-Reservierung (oder feste Adresse) für FW1 und FW2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IT Stumatec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NTP auf beiden Firewalls einrichten (Zeitquelle [auszufüllen])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SSI / IT Stumatec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IPC-Adresse 192.168.80.11 bestätigen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SSI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Port 2011/2012 an FW1, Port 2012 an FW2 testen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SSI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  <w:r>
              <w:rPr>
                <w:sz w:val="17"/>
              </w:rPr>
              <w:t>Seriennummer FW2 eintragen</w:t>
            </w:r>
          </w:p>
        </w:tc>
        <w:tc>
          <w:tcPr>
            <w:tcW w:type="dxa" w:w="1757"/>
          </w:tcPr>
          <w:p>
            <w:pPr>
              <w:spacing w:after="0" w:line="252" w:lineRule="auto"/>
            </w:pPr>
            <w:r>
              <w:rPr>
                <w:sz w:val="17"/>
              </w:rPr>
              <w:t>SSI</w:t>
            </w: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rPr>
          <w:trHeight w:val="351" w:hRule="atLeast"/>
          <w:cantSplit w:val="true"/>
        </w:trPr>
        <w:tc>
          <w:tcPr>
            <w:tcW w:type="dxa" w:w="510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4762"/>
          </w:tcPr>
          <w:p>
            <w:pPr>
              <w:spacing w:after="0" w:line="252" w:lineRule="auto"/>
            </w:pPr>
          </w:p>
        </w:tc>
        <w:tc>
          <w:tcPr>
            <w:tcW w:type="dxa" w:w="175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</w:tbl>
    <w:p>
      <w:pPr>
        <w:spacing w:after="40"/>
      </w:pPr>
    </w:p>
    <w:p>
      <w:pPr>
        <w:pStyle w:val="Heading1"/>
      </w:pPr>
      <w:r>
        <w:t>7 Bestätigung</w:t>
      </w:r>
    </w:p>
    <w:p>
      <w:r>
        <w:t>Mit der Unterschrift bestätigen die Parteien die Prüfung gemäss Checkliste. Offene Punkte werden wie oben vereinbart nachbearbeitet.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3572"/>
        <w:gridCol w:w="3572"/>
      </w:tblGrid>
      <w:tr>
        <w:trPr>
          <w:tblHeader w:val="true"/>
          <w:cantSplit w:val="true"/>
        </w:trPr>
        <w:tc>
          <w:tcPr>
            <w:tcW w:type="dxa" w:w="2381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</w:r>
          </w:p>
        </w:tc>
        <w:tc>
          <w:tcPr>
            <w:tcW w:type="dxa" w:w="3572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Stumatec</w:t>
            </w:r>
          </w:p>
        </w:tc>
        <w:tc>
          <w:tcPr>
            <w:tcW w:type="dxa" w:w="3572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SSI SCHÄFER</w:t>
            </w: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keepNext/>
              <w:spacing w:after="0" w:line="252" w:lineRule="auto"/>
            </w:pPr>
            <w:r>
              <w:rPr>
                <w:sz w:val="17"/>
              </w:rPr>
              <w:t>Name</w:t>
            </w: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keepNext/>
              <w:spacing w:after="0" w:line="252" w:lineRule="auto"/>
            </w:pPr>
            <w:r>
              <w:rPr>
                <w:sz w:val="17"/>
              </w:rPr>
              <w:t>Rolle / Funktion</w:t>
            </w: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keepNext/>
              <w:spacing w:after="0" w:line="252" w:lineRule="auto"/>
            </w:pPr>
            <w:r>
              <w:rPr>
                <w:sz w:val="17"/>
              </w:rPr>
              <w:t>Ort, Datum</w:t>
            </w: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  <w:tc>
          <w:tcPr>
            <w:tcW w:type="dxa" w:w="3572"/>
          </w:tcPr>
          <w:p>
            <w:pPr>
              <w:keepNext/>
              <w:spacing w:after="0" w:line="252" w:lineRule="auto"/>
            </w:pPr>
          </w:p>
        </w:tc>
      </w:tr>
      <w:tr>
        <w:trPr>
          <w:trHeight w:val="567" w:hRule="atLeast"/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Unterschrift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</w:p>
        </w:tc>
        <w:tc>
          <w:tcPr>
            <w:tcW w:type="dxa" w:w="3572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sectPr w:rsidR="00FC693F" w:rsidRPr="0006063C" w:rsidSect="00034616">
      <w:headerReference w:type="default" r:id="rId9"/>
      <w:footerReference w:type="default" r:id="rId10"/>
      <w:pgSz w:w="11906" w:h="16838"/>
      <w:pgMar w:top="1474" w:right="1134" w:bottom="1474" w:left="1247" w:header="567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1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1" name="Bild 101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Stumatec · Inbetriebnahmeprotokoll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Protokoll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Stumatec – Inbetriebnahmeprotokoll WAMAS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 w:val="0"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Inbetriebnahmeprotokoll WAMAS</dc:title>
  <dc:subject>Server, Netzwerk, LOGIMAT-Anbindung und Funktionstests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