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drawing>
          <wp:anchor distT="0" distB="0" distL="0" distR="0" simplePos="0" relativeHeight="251658341" behindDoc="1" locked="0" layoutInCell="1" allowOverlap="1">
            <wp:simplePos x="0" y="0"/>
            <wp:positionH relativeFrom="page">
              <wp:posOffset>0</wp:posOffset>
            </wp:positionH>
            <wp:positionV relativeFrom="page">
              <wp:posOffset>0</wp:posOffset>
            </wp:positionV>
            <wp:extent cx="7560000" cy="10692000"/>
            <wp:effectExtent l="0" t="0" r="0" b="0"/>
            <wp:wrapNone/>
            <wp:docPr id="101" name="Bild 101"/>
            <wp:cNvGraphicFramePr/>
            <a:graphic xmlns:a="http://schemas.openxmlformats.org/drawingml/2006/main" xmlns:pic="http://schemas.openxmlformats.org/drawingml/2006/picture">
              <a:graphicData uri="http://schemas.openxmlformats.org/drawingml/2006/picture">
                <pic:pic>
                  <pic:nvPicPr>
                    <pic:cNvPr id="0" name="logimat_titelfoto.jpg"/>
                    <pic:cNvPicPr/>
                  </pic:nvPicPr>
                  <pic:blipFill>
                    <a:blip r:embed="rId9"/>
                    <a:stretch>
                      <a:fillRect/>
                    </a:stretch>
                  </pic:blipFill>
                  <pic:spPr>
                    <a:xfrm>
                      <a:off x="0" y="0"/>
                      <a:ext cx="7560000" cy="10692000"/>
                    </a:xfrm>
                    <a:prstGeom prst="rect"/>
                  </pic:spPr>
                </pic:pic>
              </a:graphicData>
            </a:graphic>
          </wp:anchor>
        </w:drawing>
      </w:r>
      <w:r>
        <w:drawing>
          <wp:anchor distT="0" distB="0" distL="0" distR="0" simplePos="0" relativeHeight="251658342" behindDoc="0" locked="0" layoutInCell="1" allowOverlap="1">
            <wp:simplePos x="0" y="0"/>
            <wp:positionH relativeFrom="page">
              <wp:posOffset>2736000</wp:posOffset>
            </wp:positionH>
            <wp:positionV relativeFrom="page">
              <wp:posOffset>9846000</wp:posOffset>
            </wp:positionV>
            <wp:extent cx="1655999" cy="246394"/>
            <wp:effectExtent l="0" t="0" r="0" b="0"/>
            <wp:wrapNone/>
            <wp:docPr id="102" name="Bild 102"/>
            <wp:cNvGraphicFramePr/>
            <a:graphic xmlns:a="http://schemas.openxmlformats.org/drawingml/2006/main" xmlns:pic="http://schemas.openxmlformats.org/drawingml/2006/picture">
              <a:graphicData uri="http://schemas.openxmlformats.org/drawingml/2006/picture">
                <pic:pic>
                  <pic:nvPicPr>
                    <pic:cNvPr id="0" name="wamas_logo.png"/>
                    <pic:cNvPicPr/>
                  </pic:nvPicPr>
                  <pic:blipFill>
                    <a:blip r:embed="rId10"/>
                    <a:stretch>
                      <a:fillRect/>
                    </a:stretch>
                  </pic:blipFill>
                  <pic:spPr>
                    <a:xfrm>
                      <a:off x="0" y="0"/>
                      <a:ext cx="1655999" cy="246394"/>
                    </a:xfrm>
                    <a:prstGeom prst="rect"/>
                  </pic:spPr>
                </pic:pic>
              </a:graphicData>
            </a:graphic>
          </wp:anchor>
        </w:drawing>
      </w:r>
      <w:r>
        <w:drawing>
          <wp:anchor distT="0" distB="0" distL="0" distR="0" simplePos="0" relativeHeight="251658343" behindDoc="0" locked="0" layoutInCell="1" allowOverlap="1">
            <wp:simplePos x="0" y="0"/>
            <wp:positionH relativeFrom="page">
              <wp:posOffset>4680000</wp:posOffset>
            </wp:positionH>
            <wp:positionV relativeFrom="page">
              <wp:posOffset>9576000</wp:posOffset>
            </wp:positionV>
            <wp:extent cx="2376000" cy="508527"/>
            <wp:effectExtent l="0" t="0" r="0" b="0"/>
            <wp:wrapNone/>
            <wp:docPr id="103" name="Bild 103"/>
            <wp:cNvGraphicFramePr/>
            <a:graphic xmlns:a="http://schemas.openxmlformats.org/drawingml/2006/main" xmlns:pic="http://schemas.openxmlformats.org/drawingml/2006/picture">
              <a:graphicData uri="http://schemas.openxmlformats.org/drawingml/2006/picture">
                <pic:pic>
                  <pic:nvPicPr>
                    <pic:cNvPr id="0" name="ssi_logo.png"/>
                    <pic:cNvPicPr/>
                  </pic:nvPicPr>
                  <pic:blipFill>
                    <a:blip r:embed="rId11"/>
                    <a:stretch>
                      <a:fillRect/>
                    </a:stretch>
                  </pic:blipFill>
                  <pic:spPr>
                    <a:xfrm>
                      <a:off x="0" y="0"/>
                      <a:ext cx="2376000" cy="508527"/>
                    </a:xfrm>
                    <a:prstGeom prst="rect"/>
                  </pic:spPr>
                </pic:pic>
              </a:graphicData>
            </a:graphic>
          </wp:anchor>
        </w:drawing>
      </w:r>
    </w:p>
    <w:p>
      <w:pPr>
        <w:spacing w:after="0"/>
      </w:pPr>
    </w:p>
    <w:tbl>
      <w:tblPr>
        <w:tblLook w:firstColumn="1" w:firstRow="1" w:lastColumn="0" w:lastRow="0" w:noHBand="0" w:noVBand="1" w:val="04A0"/>
        <w:tblW w:w="7938" w:type="dxa"/>
        <w:tblLayout w:type="fixed"/>
      </w:tblPr>
      <w:tblGrid>
        <w:gridCol w:w="7938"/>
      </w:tblGrid>
      <w:tr>
        <w:tc>
          <w:tcPr>
            <w:tcW w:type="dxa" w:w="7937"/>
            <w:shd w:val="clear" w:color="auto" w:fill="FEEE19"/>
            <w:tcMar>
              <w:top w:w="300" w:type="dxa"/>
              <w:bottom w:w="300" w:type="dxa"/>
              <w:start w:w="300" w:type="dxa"/>
              <w:end w:w="300" w:type="dxa"/>
              <w:left w:w="300" w:type="dxa"/>
              <w:right w:w="300" w:type="dxa"/>
            </w:tcMar>
          </w:tcPr>
          <w:p>
            <w:pPr>
              <w:spacing w:after="360"/>
            </w:pPr>
            <w:r>
              <w:rPr>
                <w:b w:val="0"/>
                <w:sz w:val="40"/>
              </w:rPr>
              <w:t>Entscheidungsgrundlage</w:t>
            </w:r>
          </w:p>
          <w:p>
            <w:pPr>
              <w:spacing w:after="120"/>
            </w:pPr>
            <w:r>
              <w:rPr>
                <w:b/>
                <w:sz w:val="48"/>
              </w:rPr>
              <w:t>Entscheidungsgrundlage Wareneigentümer</w:t>
            </w:r>
          </w:p>
          <w:p>
            <w:pPr>
              <w:spacing w:after="360"/>
            </w:pPr>
            <w:r>
              <w:rPr>
                <w:b w:val="0"/>
                <w:sz w:val="32"/>
              </w:rPr>
              <w:t>WAMAS Lift &amp; Store 2.8 · SSI LOGIMAT</w:t>
            </w:r>
          </w:p>
          <w:p>
            <w:pPr>
              <w:spacing w:after="0"/>
            </w:pPr>
            <w:r>
              <w:rPr>
                <w:b w:val="0"/>
                <w:sz w:val="22"/>
              </w:rPr>
              <w:t>Kundendokument Stumatec  ·  Deutsch (de-DE)</w:t>
            </w:r>
          </w:p>
        </w:tc>
      </w:tr>
    </w:tbl>
    <w:tbl>
      <w:tblPr>
        <w:tblLook w:firstColumn="1" w:firstRow="1" w:lastColumn="0" w:lastRow="0" w:noHBand="0" w:noVBand="1" w:val="04A0"/>
        <w:tblW w:w="7938" w:type="dxa"/>
        <w:tblLayout w:type="fixed"/>
      </w:tblPr>
      <w:tblGrid>
        <w:gridCol w:w="7938"/>
      </w:tblGrid>
      <w:tr>
        <w:tc>
          <w:tcPr>
            <w:tcW w:type="dxa" w:w="7937"/>
            <w:shd w:val="clear" w:color="auto" w:fill="FFFFFF"/>
            <w:tcMar>
              <w:top w:w="200" w:type="dxa"/>
              <w:bottom w:w="400" w:type="dxa"/>
              <w:start w:w="300" w:type="dxa"/>
              <w:end w:w="300" w:type="dxa"/>
              <w:left w:w="300" w:type="dxa"/>
              <w:right w:w="300" w:type="dxa"/>
            </w:tcMar>
          </w:tcPr>
          <w:p>
            <w:pPr>
              <w:spacing w:after="80"/>
            </w:pPr>
            <w:r>
              <w:rPr>
                <w:b w:val="0"/>
                <w:sz w:val="21"/>
              </w:rPr>
              <w:t>Lösungsvorschlag für zwei Firmen in WAMAS LS 2.8</w:t>
            </w:r>
          </w:p>
          <w:p>
            <w:pPr>
              <w:spacing w:after="0"/>
            </w:pPr>
            <w:r>
              <w:rPr>
                <w:b w:val="0"/>
                <w:color w:val="555555"/>
                <w:sz w:val="18"/>
              </w:rPr>
              <w:t>Stumatec · Schulung 26.10.2026 · SSI SCHÄFER</w:t>
            </w:r>
          </w:p>
        </w:tc>
      </w:tr>
    </w:tbl>
    <w:p>
      <w:pPr>
        <w:spacing w:before="6520"/>
      </w:pPr>
      <w:r>
        <w:rPr>
          <w:sz w:val="18"/>
        </w:rPr>
        <w:t>V 1.0  ·  26.10.2026</w:t>
        <w:br w:type="page"/>
      </w:r>
    </w:p>
    <w:p>
      <w:r>
        <w:rPr>
          <w:b/>
          <w:sz w:val="28"/>
        </w:rPr>
        <w:t>Inhaltsverzeichnis</w:t>
      </w:r>
    </w:p>
    <w:p/>
    <w:p>
      <w:pPr>
        <w:pStyle w:val="TOC1"/>
        <w:tabs>
          <w:tab w:pos="9524" w:val="right" w:leader="dot"/>
        </w:tabs>
      </w:pPr>
      <w:r>
        <w:fldChar w:fldCharType="begin"/>
      </w:r>
      <w:r>
        <w:instrText xml:space="preserve"> TOC \o "1-2" \h \z \u </w:instrText>
      </w:r>
      <w:r>
        <w:fldChar w:fldCharType="separate"/>
      </w:r>
      <w:r>
        <w:t>1 Über dieses Dokument</w:t>
        <w:tab/>
        <w:t>3</w:t>
      </w:r>
    </w:p>
    <w:p>
      <w:pPr>
        <w:pStyle w:val="TOC2"/>
        <w:tabs>
          <w:tab w:pos="9524" w:val="right" w:leader="dot"/>
        </w:tabs>
      </w:pPr>
      <w:r>
        <w:t>1.1 Zweck</w:t>
        <w:tab/>
        <w:t>3</w:t>
      </w:r>
    </w:p>
    <w:p>
      <w:pPr>
        <w:pStyle w:val="TOC2"/>
        <w:tabs>
          <w:tab w:pos="9524" w:val="right" w:leader="dot"/>
        </w:tabs>
      </w:pPr>
      <w:r>
        <w:t>1.2 Ausgangslage</w:t>
        <w:tab/>
        <w:t>3</w:t>
      </w:r>
    </w:p>
    <w:p>
      <w:pPr>
        <w:pStyle w:val="TOC2"/>
        <w:tabs>
          <w:tab w:pos="9524" w:val="right" w:leader="dot"/>
        </w:tabs>
      </w:pPr>
      <w:r>
        <w:t>1.3 So lesen Sie dieses Dokument</w:t>
        <w:tab/>
        <w:t>3</w:t>
      </w:r>
    </w:p>
    <w:p>
      <w:pPr>
        <w:pStyle w:val="TOC2"/>
        <w:tabs>
          <w:tab w:pos="9524" w:val="right" w:leader="dot"/>
        </w:tabs>
      </w:pPr>
      <w:r>
        <w:t>1.4 Dokumentinformationen</w:t>
        <w:tab/>
        <w:t>3</w:t>
      </w:r>
    </w:p>
    <w:p>
      <w:pPr>
        <w:pStyle w:val="TOC1"/>
        <w:tabs>
          <w:tab w:pos="9524" w:val="right" w:leader="dot"/>
        </w:tabs>
      </w:pPr>
      <w:r>
        <w:t>2 Auf einen Blick</w:t>
        <w:tab/>
        <w:t>4</w:t>
      </w:r>
    </w:p>
    <w:p>
      <w:pPr>
        <w:pStyle w:val="TOC1"/>
        <w:tabs>
          <w:tab w:pos="9524" w:val="right" w:leader="dot"/>
        </w:tabs>
      </w:pPr>
      <w:r>
        <w:t>3 Begriffe in WAMAS</w:t>
        <w:tab/>
        <w:t>5</w:t>
      </w:r>
    </w:p>
    <w:p>
      <w:pPr>
        <w:pStyle w:val="TOC1"/>
        <w:tabs>
          <w:tab w:pos="9524" w:val="right" w:leader="dot"/>
        </w:tabs>
      </w:pPr>
      <w:r>
        <w:t>4 Die Varianten im Überblick</w:t>
        <w:tab/>
        <w:t>6</w:t>
      </w:r>
    </w:p>
    <w:p>
      <w:pPr>
        <w:pStyle w:val="TOC1"/>
        <w:tabs>
          <w:tab w:pos="9524" w:val="right" w:leader="dot"/>
        </w:tabs>
      </w:pPr>
      <w:r>
        <w:t>5 Variante A – mehrere Klienten</w:t>
        <w:tab/>
        <w:t>7</w:t>
      </w:r>
    </w:p>
    <w:p>
      <w:pPr>
        <w:pStyle w:val="TOC2"/>
        <w:tabs>
          <w:tab w:pos="9524" w:val="right" w:leader="dot"/>
        </w:tabs>
      </w:pPr>
      <w:r>
        <w:t>5.1 Prinzip und Ablauf</w:t>
        <w:tab/>
        <w:t>7</w:t>
      </w:r>
    </w:p>
    <w:p>
      <w:pPr>
        <w:pStyle w:val="TOC2"/>
        <w:tabs>
          <w:tab w:pos="9524" w:val="right" w:leader="dot"/>
        </w:tabs>
      </w:pPr>
      <w:r>
        <w:t>5.2 Nötige Regeln und Prozess</w:t>
        <w:tab/>
        <w:t>7</w:t>
      </w:r>
    </w:p>
    <w:p>
      <w:pPr>
        <w:pStyle w:val="TOC2"/>
        <w:tabs>
          <w:tab w:pos="9524" w:val="right" w:leader="dot"/>
        </w:tabs>
      </w:pPr>
      <w:r>
        <w:t>5.3 Auswirkungen</w:t>
        <w:tab/>
        <w:t>7</w:t>
      </w:r>
    </w:p>
    <w:p>
      <w:pPr>
        <w:pStyle w:val="TOC2"/>
        <w:tabs>
          <w:tab w:pos="9524" w:val="right" w:leader="dot"/>
        </w:tabs>
      </w:pPr>
      <w:r>
        <w:t>5.4 Vor- und Nachteile</w:t>
        <w:tab/>
        <w:t>8</w:t>
      </w:r>
    </w:p>
    <w:p>
      <w:pPr>
        <w:pStyle w:val="TOC1"/>
        <w:tabs>
          <w:tab w:pos="9524" w:val="right" w:leader="dot"/>
        </w:tabs>
      </w:pPr>
      <w:r>
        <w:t>6 Variante B – ein Klient mit zwei Wareneigentümern</w:t>
        <w:tab/>
        <w:t>9</w:t>
      </w:r>
    </w:p>
    <w:p>
      <w:pPr>
        <w:pStyle w:val="TOC2"/>
        <w:tabs>
          <w:tab w:pos="9524" w:val="right" w:leader="dot"/>
        </w:tabs>
      </w:pPr>
      <w:r>
        <w:t>6.1 Prinzip und Ablauf</w:t>
        <w:tab/>
        <w:t>9</w:t>
      </w:r>
    </w:p>
    <w:p>
      <w:pPr>
        <w:pStyle w:val="TOC2"/>
        <w:tabs>
          <w:tab w:pos="9524" w:val="right" w:leader="dot"/>
        </w:tabs>
      </w:pPr>
      <w:r>
        <w:t>6.2 Nötige Regeln und Prozess</w:t>
        <w:tab/>
        <w:t>9</w:t>
      </w:r>
    </w:p>
    <w:p>
      <w:pPr>
        <w:pStyle w:val="TOC2"/>
        <w:tabs>
          <w:tab w:pos="9524" w:val="right" w:leader="dot"/>
        </w:tabs>
      </w:pPr>
      <w:r>
        <w:t>6.3 Auswirkungen</w:t>
        <w:tab/>
        <w:t>10</w:t>
      </w:r>
    </w:p>
    <w:p>
      <w:pPr>
        <w:pStyle w:val="TOC2"/>
        <w:tabs>
          <w:tab w:pos="9524" w:val="right" w:leader="dot"/>
        </w:tabs>
      </w:pPr>
      <w:r>
        <w:t>6.4 Vor- und Nachteile</w:t>
        <w:tab/>
        <w:t>10</w:t>
      </w:r>
    </w:p>
    <w:p>
      <w:pPr>
        <w:pStyle w:val="TOC1"/>
        <w:tabs>
          <w:tab w:pos="9524" w:val="right" w:leader="dot"/>
        </w:tabs>
      </w:pPr>
      <w:r>
        <w:t>7 Variante C – weitere Möglichkeiten</w:t>
        <w:tab/>
        <w:t>11</w:t>
      </w:r>
    </w:p>
    <w:p>
      <w:pPr>
        <w:pStyle w:val="TOC2"/>
        <w:tabs>
          <w:tab w:pos="9524" w:val="right" w:leader="dot"/>
        </w:tabs>
      </w:pPr>
      <w:r>
        <w:t>7.1 Trennung über den Artikelstamm (C1–C3)</w:t>
        <w:tab/>
        <w:t>11</w:t>
      </w:r>
    </w:p>
    <w:p>
      <w:pPr>
        <w:pStyle w:val="TOC2"/>
        <w:tabs>
          <w:tab w:pos="9524" w:val="right" w:leader="dot"/>
        </w:tabs>
      </w:pPr>
      <w:r>
        <w:t>7.2 Physische Trennung (C4, Zusatz zu A oder B)</w:t>
        <w:tab/>
        <w:t>11</w:t>
      </w:r>
    </w:p>
    <w:p>
      <w:pPr>
        <w:pStyle w:val="TOC1"/>
        <w:tabs>
          <w:tab w:pos="9524" w:val="right" w:leader="dot"/>
        </w:tabs>
      </w:pPr>
      <w:r>
        <w:t>8 Gesamtvergleich</w:t>
        <w:tab/>
        <w:t>12</w:t>
      </w:r>
    </w:p>
    <w:p>
      <w:pPr>
        <w:pStyle w:val="TOC1"/>
        <w:tabs>
          <w:tab w:pos="9524" w:val="right" w:leader="dot"/>
        </w:tabs>
      </w:pPr>
      <w:r>
        <w:t>9 Weg zum getrennten Lager</w:t>
        <w:tab/>
        <w:t>13</w:t>
      </w:r>
    </w:p>
    <w:p>
      <w:pPr>
        <w:pStyle w:val="TOC1"/>
        <w:tabs>
          <w:tab w:pos="9524" w:val="right" w:leader="dot"/>
        </w:tabs>
      </w:pPr>
      <w:r>
        <w:t>10 Entscheidungsbaum und Fragen an die Stumatec</w:t>
        <w:tab/>
        <w:t>14</w:t>
      </w:r>
    </w:p>
    <w:p>
      <w:pPr>
        <w:pStyle w:val="TOC1"/>
        <w:tabs>
          <w:tab w:pos="9524" w:val="right" w:leader="dot"/>
        </w:tabs>
      </w:pPr>
      <w:r>
        <w:t>11 Nächste Schritte und zu verifizieren</w:t>
        <w:tab/>
        <w:t>15</w:t>
      </w:r>
    </w:p>
    <w:p>
      <w:pPr>
        <w:pStyle w:val="TOC1"/>
        <w:tabs>
          <w:tab w:pos="9524" w:val="right" w:leader="dot"/>
        </w:tabs>
      </w:pPr>
      <w:r>
        <w:t>12 Quellenverzeichnis</w:t>
        <w:tab/>
        <w:t>16</w:t>
      </w:r>
      <w:r>
        <w:fldChar w:fldCharType="end"/>
      </w:r>
    </w:p>
    <w:p>
      <w:pPr>
        <w:pStyle w:val="Heading1"/>
      </w:pPr>
      <w:r>
        <w:t>1 Über dieses Dokument</w:t>
      </w:r>
    </w:p>
    <w:p>
      <w:pPr>
        <w:pStyle w:val="Heading2"/>
      </w:pPr>
      <w:r>
        <w:t>1.1 Zweck</w:t>
      </w:r>
    </w:p>
    <w:p>
      <w:r>
        <w:t xml:space="preserve">Die Stumatec führt Ware von </w:t>
      </w:r>
      <w:r>
        <w:rPr>
          <w:b/>
        </w:rPr>
        <w:t>zwei Firmen</w:t>
      </w:r>
      <w:r>
        <w:t xml:space="preserve"> (Wareneigentümern) bzw. braucht </w:t>
      </w:r>
      <w:r>
        <w:rPr>
          <w:b/>
        </w:rPr>
        <w:t>getrennte Lager</w:t>
      </w:r>
      <w:r>
        <w:t>. Dieses Dokument zeigt, wie sich das in WAMAS Lift &amp; Store 2.8 abbilden lässt, mit Vor- und Nachteilen und den Folgen für Stammdaten, Bestand, Rechte, Schnittstellen, Auswertungen, Inventur, Aufwand und spätere Änderungen.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Keine Entscheidung</w:t>
            </w:r>
          </w:p>
          <w:p>
            <w:pPr>
              <w:spacing w:after="40"/>
            </w:pPr>
            <w:r>
              <w:rPr>
                <w:sz w:val="19"/>
              </w:rPr>
              <w:t xml:space="preserve">Das Dokument ist eine </w:t>
            </w:r>
            <w:r>
              <w:rPr>
                <w:b/>
                <w:sz w:val="19"/>
              </w:rPr>
              <w:t>Entscheidungsgrundlage</w:t>
            </w:r>
            <w:r>
              <w:rPr>
                <w:sz w:val="19"/>
              </w:rPr>
              <w:t xml:space="preserve"> und ein </w:t>
            </w:r>
            <w:r>
              <w:rPr>
                <w:b/>
                <w:sz w:val="19"/>
              </w:rPr>
              <w:t>Lösungsvorschlag</w:t>
            </w:r>
            <w:r>
              <w:rPr>
                <w:sz w:val="19"/>
              </w:rPr>
              <w:t xml:space="preserve">. Es trifft </w:t>
            </w:r>
            <w:r>
              <w:rPr>
                <w:b/>
                <w:sz w:val="19"/>
              </w:rPr>
              <w:t>keine Entscheidung</w:t>
            </w:r>
            <w:r>
              <w:rPr>
                <w:sz w:val="19"/>
              </w:rPr>
              <w:t>. Entscheiden muss die Stumatec, nachdem die Fragen in Kapitel 10 beantwortet sind.</w:t>
            </w:r>
          </w:p>
        </w:tc>
      </w:tr>
    </w:tbl>
    <w:p>
      <w:pPr>
        <w:spacing w:after="40"/>
      </w:pPr>
    </w:p>
    <w:p>
      <w:pPr>
        <w:pStyle w:val="Heading2"/>
      </w:pPr>
      <w:r>
        <w:t>1.2 Ausgangslage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42"/>
        <w:gridCol w:w="7283"/>
      </w:tblGrid>
      <w:tr>
        <w:trPr>
          <w:tblHeader w:val="true"/>
          <w:cantSplit w:val="true"/>
        </w:trPr>
        <w:tc>
          <w:tcPr>
            <w:tcW w:type="dxa" w:w="2242"/>
            <w:shd w:val="clear" w:color="auto" w:fill="FEEE19"/>
          </w:tcPr>
          <w:p>
            <w:pPr>
              <w:spacing w:after="0"/>
            </w:pPr>
            <w:r>
              <w:rPr>
                <w:b/>
                <w:sz w:val="17"/>
              </w:rPr>
              <w:t>Punkt</w:t>
            </w:r>
          </w:p>
        </w:tc>
        <w:tc>
          <w:tcPr>
            <w:tcW w:type="dxa" w:w="7282"/>
            <w:shd w:val="clear" w:color="auto" w:fill="FEEE19"/>
          </w:tcPr>
          <w:p>
            <w:pPr>
              <w:spacing w:after="0"/>
            </w:pPr>
            <w:r>
              <w:rPr>
                <w:b/>
                <w:sz w:val="17"/>
              </w:rPr>
              <w:t>Stand</w:t>
            </w:r>
          </w:p>
        </w:tc>
      </w:tr>
      <w:tr>
        <w:trPr>
          <w:cantSplit w:val="true"/>
        </w:trPr>
        <w:tc>
          <w:tcPr>
            <w:tcW w:type="dxa" w:w="2242"/>
          </w:tcPr>
          <w:p>
            <w:pPr>
              <w:spacing w:after="0" w:line="252" w:lineRule="auto"/>
            </w:pPr>
            <w:r>
              <w:rPr>
                <w:sz w:val="17"/>
              </w:rPr>
              <w:t>Firmen (Wareneigentümer)</w:t>
            </w:r>
          </w:p>
        </w:tc>
        <w:tc>
          <w:tcPr>
            <w:tcW w:type="dxa" w:w="7282"/>
          </w:tcPr>
          <w:p>
            <w:pPr>
              <w:spacing w:after="0" w:line="252" w:lineRule="auto"/>
            </w:pPr>
            <w:r>
              <w:rPr>
                <w:sz w:val="17"/>
              </w:rPr>
              <w:t xml:space="preserve">Firma 1 und Firma 2, Namen </w:t>
            </w:r>
            <w:r>
              <w:rPr>
                <w:b/>
                <w:sz w:val="17"/>
              </w:rPr>
              <w:t>[auszufüllen]</w:t>
            </w:r>
          </w:p>
        </w:tc>
      </w:tr>
      <w:tr>
        <w:trPr>
          <w:cantSplit w:val="true"/>
        </w:trPr>
        <w:tc>
          <w:tcPr>
            <w:tcW w:type="dxa" w:w="2242"/>
          </w:tcPr>
          <w:p>
            <w:pPr>
              <w:spacing w:after="0" w:line="252" w:lineRule="auto"/>
            </w:pPr>
            <w:r>
              <w:rPr>
                <w:sz w:val="17"/>
              </w:rPr>
              <w:t>Anforderung (Gespräch 22.10.2026)</w:t>
            </w:r>
          </w:p>
        </w:tc>
        <w:tc>
          <w:tcPr>
            <w:tcW w:type="dxa" w:w="7282"/>
          </w:tcPr>
          <w:p>
            <w:pPr>
              <w:spacing w:after="0" w:line="252" w:lineRule="auto"/>
            </w:pPr>
            <w:r>
              <w:rPr>
                <w:sz w:val="17"/>
              </w:rPr>
              <w:t xml:space="preserve">beide Firmen nutzen </w:t>
            </w:r>
            <w:r>
              <w:rPr>
                <w:b/>
                <w:sz w:val="17"/>
              </w:rPr>
              <w:t>dieselben Artikel im selben Lager</w:t>
            </w:r>
            <w:r>
              <w:rPr>
                <w:sz w:val="17"/>
              </w:rPr>
              <w:t xml:space="preserve">; Bestand muss je Firma zuordenbar sein; nach der Inventur Menge je Firma </w:t>
            </w:r>
            <w:r>
              <w:rPr>
                <w:b/>
                <w:sz w:val="17"/>
              </w:rPr>
              <w:t>[zu bestätigen]</w:t>
            </w:r>
          </w:p>
        </w:tc>
      </w:tr>
      <w:tr>
        <w:trPr>
          <w:cantSplit w:val="true"/>
        </w:trPr>
        <w:tc>
          <w:tcPr>
            <w:tcW w:type="dxa" w:w="2242"/>
          </w:tcPr>
          <w:p>
            <w:pPr>
              <w:spacing w:after="0" w:line="252" w:lineRule="auto"/>
            </w:pPr>
            <w:r>
              <w:rPr>
                <w:sz w:val="17"/>
              </w:rPr>
              <w:t>Warenwert</w:t>
            </w:r>
          </w:p>
        </w:tc>
        <w:tc>
          <w:tcPr>
            <w:tcW w:type="dxa" w:w="7282"/>
          </w:tcPr>
          <w:p>
            <w:pPr>
              <w:spacing w:after="0" w:line="252" w:lineRule="auto"/>
            </w:pPr>
            <w:r>
              <w:rPr>
                <w:sz w:val="17"/>
              </w:rPr>
              <w:t xml:space="preserve">wird </w:t>
            </w:r>
            <w:r>
              <w:rPr>
                <w:b/>
                <w:sz w:val="17"/>
              </w:rPr>
              <w:t>ausserhalb</w:t>
            </w:r>
            <w:r>
              <w:rPr>
                <w:sz w:val="17"/>
              </w:rPr>
              <w:t xml:space="preserve"> von WAMAS berechnet (Menge × Preis, z. B. Excel oder ERP) </w:t>
            </w:r>
            <w:r>
              <w:rPr>
                <w:b/>
                <w:sz w:val="17"/>
              </w:rPr>
              <w:t>[zu bestätigen]</w:t>
            </w:r>
          </w:p>
        </w:tc>
      </w:tr>
      <w:tr>
        <w:trPr>
          <w:cantSplit w:val="true"/>
        </w:trPr>
        <w:tc>
          <w:tcPr>
            <w:tcW w:type="dxa" w:w="2242"/>
          </w:tcPr>
          <w:p>
            <w:pPr>
              <w:spacing w:after="0" w:line="252" w:lineRule="auto"/>
            </w:pPr>
            <w:r>
              <w:rPr>
                <w:sz w:val="17"/>
              </w:rPr>
              <w:t>Lager</w:t>
            </w:r>
          </w:p>
        </w:tc>
        <w:tc>
          <w:tcPr>
            <w:tcW w:type="dxa" w:w="7282"/>
          </w:tcPr>
          <w:p>
            <w:pPr>
              <w:spacing w:after="0" w:line="252" w:lineRule="auto"/>
            </w:pPr>
            <w:r>
              <w:rPr>
                <w:sz w:val="17"/>
              </w:rPr>
              <w:t>zwei SSI LOGIMAT, ein WAMAS-Server</w:t>
            </w:r>
          </w:p>
        </w:tc>
      </w:tr>
      <w:tr>
        <w:trPr>
          <w:cantSplit w:val="true"/>
        </w:trPr>
        <w:tc>
          <w:tcPr>
            <w:tcW w:type="dxa" w:w="2242"/>
          </w:tcPr>
          <w:p>
            <w:pPr>
              <w:spacing w:after="0" w:line="252" w:lineRule="auto"/>
            </w:pPr>
            <w:r>
              <w:rPr>
                <w:sz w:val="17"/>
              </w:rPr>
              <w:t>„Getrenntes Lager“ heisst konkret</w:t>
            </w:r>
          </w:p>
        </w:tc>
        <w:tc>
          <w:tcPr>
            <w:tcW w:type="dxa" w:w="7282"/>
          </w:tcPr>
          <w:p>
            <w:pPr>
              <w:spacing w:after="0" w:line="252" w:lineRule="auto"/>
            </w:pPr>
            <w:r>
              <w:rPr>
                <w:sz w:val="17"/>
              </w:rPr>
              <w:t xml:space="preserve">nur getrennter Bestand, eigene Tablare oder eigener LOGIMAT je Firma? </w:t>
            </w:r>
            <w:r>
              <w:rPr>
                <w:b/>
                <w:sz w:val="17"/>
              </w:rPr>
              <w:t>[auszufüllen]</w:t>
            </w:r>
          </w:p>
        </w:tc>
      </w:tr>
      <w:tr>
        <w:trPr>
          <w:cantSplit w:val="true"/>
        </w:trPr>
        <w:tc>
          <w:tcPr>
            <w:tcW w:type="dxa" w:w="2242"/>
          </w:tcPr>
          <w:p>
            <w:pPr>
              <w:spacing w:after="0" w:line="252" w:lineRule="auto"/>
            </w:pPr>
            <w:r>
              <w:rPr>
                <w:sz w:val="17"/>
              </w:rPr>
              <w:t>ERP / Hostsystem</w:t>
            </w:r>
          </w:p>
        </w:tc>
        <w:tc>
          <w:tcPr>
            <w:tcW w:type="dxa" w:w="7282"/>
          </w:tcPr>
          <w:p>
            <w:pPr>
              <w:spacing w:after="0" w:line="252" w:lineRule="auto"/>
            </w:pPr>
            <w:r>
              <w:rPr>
                <w:b/>
                <w:sz w:val="17"/>
              </w:rPr>
              <w:t>[auszufüllen]</w:t>
            </w:r>
          </w:p>
        </w:tc>
      </w:tr>
    </w:tbl>
    <w:p>
      <w:pPr>
        <w:pStyle w:val="BeschriftungSSI"/>
      </w:pPr>
      <w:r>
        <w:t>Tab. 1: Ausgangslage</w:t>
      </w:r>
    </w:p>
    <w:p>
      <w:pPr>
        <w:pStyle w:val="Heading2"/>
      </w:pPr>
      <w:r>
        <w:t>1.3 So lesen Sie dieses Dokument</w:t>
      </w:r>
    </w:p>
    <w:p>
      <w:pPr>
        <w:pStyle w:val="ListBullet"/>
      </w:pPr>
      <w:r>
        <w:rPr>
          <w:b/>
        </w:rPr>
        <w:t>[BELEGT]</w:t>
      </w:r>
      <w:r>
        <w:t>: auf dem SSI-Testsystem srv01 gesehen oder protokolliert.</w:t>
      </w:r>
    </w:p>
    <w:p>
      <w:pPr>
        <w:pStyle w:val="ListBullet"/>
      </w:pPr>
      <w:r>
        <w:rPr>
          <w:b/>
        </w:rPr>
        <w:t>zu verifizieren</w:t>
      </w:r>
      <w:r>
        <w:t>: aus Handbuch oder Datenmodell abgeleitet, nicht getestet.</w:t>
      </w:r>
    </w:p>
    <w:p>
      <w:pPr>
        <w:pStyle w:val="ListBullet"/>
      </w:pPr>
      <w:r>
        <w:rPr>
          <w:b/>
        </w:rPr>
        <w:t>in 2.8 zu prüfen</w:t>
      </w:r>
      <w:r>
        <w:t>: Aussage aus Unterlagen zu WAMAS 2.7.</w:t>
      </w:r>
    </w:p>
    <w:p>
      <w:pPr>
        <w:pStyle w:val="ListBullet"/>
      </w:pPr>
      <w:r>
        <w:rPr>
          <w:b/>
        </w:rPr>
        <w:t>[auszufüllen]</w:t>
      </w:r>
      <w:r>
        <w:t>: Angabe der Stumatec fehlt noch.</w:t>
      </w:r>
    </w:p>
    <w:p>
      <w:pPr>
        <w:pStyle w:val="ListBullet"/>
      </w:pPr>
      <w:r>
        <w:t>Die Varianten A, B und C entsprechen den Testmodellen auf dem SSI-Testsystem: A = Modell 3, B = Modell 4, C1 = Modell 1, C2 = Modell 2.</w:t>
      </w:r>
    </w:p>
    <w:p>
      <w:pPr>
        <w:pStyle w:val="Heading2"/>
      </w:pPr>
      <w:r>
        <w:t>1.4 Dokumentinformationen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68"/>
        <w:gridCol w:w="7257"/>
      </w:tblGrid>
      <w:tr>
        <w:trPr>
          <w:tblHeader w:val="true"/>
          <w:cantSplit w:val="true"/>
        </w:trPr>
        <w:tc>
          <w:tcPr>
            <w:tcW w:type="dxa" w:w="2268"/>
            <w:shd w:val="clear" w:color="auto" w:fill="FEEE19"/>
          </w:tcPr>
          <w:p>
            <w:pPr>
              <w:spacing w:after="0"/>
            </w:pPr>
            <w:r>
              <w:rPr>
                <w:b/>
                <w:sz w:val="17"/>
              </w:rPr>
              <w:t>Merkmal</w:t>
            </w:r>
          </w:p>
        </w:tc>
        <w:tc>
          <w:tcPr>
            <w:tcW w:type="dxa" w:w="7257"/>
            <w:shd w:val="clear" w:color="auto" w:fill="FEEE19"/>
          </w:tcPr>
          <w:p>
            <w:pPr>
              <w:spacing w:after="0"/>
            </w:pPr>
            <w:r>
              <w:rPr>
                <w:b/>
                <w:sz w:val="17"/>
              </w:rPr>
              <w:t>Angabe</w:t>
            </w:r>
          </w:p>
        </w:tc>
      </w:tr>
      <w:tr>
        <w:trPr>
          <w:cantSplit w:val="true"/>
        </w:trPr>
        <w:tc>
          <w:tcPr>
            <w:tcW w:type="dxa" w:w="2268"/>
          </w:tcPr>
          <w:p>
            <w:pPr>
              <w:spacing w:after="0" w:line="252" w:lineRule="auto"/>
            </w:pPr>
            <w:r>
              <w:rPr>
                <w:b/>
                <w:sz w:val="17"/>
              </w:rPr>
              <w:t>Titel</w:t>
            </w:r>
          </w:p>
        </w:tc>
        <w:tc>
          <w:tcPr>
            <w:tcW w:type="dxa" w:w="7257"/>
          </w:tcPr>
          <w:p>
            <w:pPr>
              <w:spacing w:after="0" w:line="252" w:lineRule="auto"/>
            </w:pPr>
            <w:r>
              <w:rPr>
                <w:sz w:val="17"/>
              </w:rPr>
              <w:t>Entscheidungsgrundlage Wareneigentümer</w:t>
            </w:r>
          </w:p>
        </w:tc>
      </w:tr>
      <w:tr>
        <w:trPr>
          <w:cantSplit w:val="true"/>
        </w:trPr>
        <w:tc>
          <w:tcPr>
            <w:tcW w:type="dxa" w:w="2268"/>
          </w:tcPr>
          <w:p>
            <w:pPr>
              <w:spacing w:after="0" w:line="252" w:lineRule="auto"/>
            </w:pPr>
            <w:r>
              <w:rPr>
                <w:b/>
                <w:sz w:val="17"/>
              </w:rPr>
              <w:t>Produkt / Release</w:t>
            </w:r>
          </w:p>
        </w:tc>
        <w:tc>
          <w:tcPr>
            <w:tcW w:type="dxa" w:w="7257"/>
          </w:tcPr>
          <w:p>
            <w:pPr>
              <w:spacing w:after="0" w:line="252" w:lineRule="auto"/>
            </w:pPr>
            <w:r>
              <w:rPr>
                <w:sz w:val="17"/>
              </w:rPr>
              <w:t>WAMAS Lift &amp; Store 2.8 · SSI LOGIMAT</w:t>
            </w:r>
          </w:p>
        </w:tc>
      </w:tr>
      <w:tr>
        <w:trPr>
          <w:cantSplit w:val="true"/>
        </w:trPr>
        <w:tc>
          <w:tcPr>
            <w:tcW w:type="dxa" w:w="2268"/>
          </w:tcPr>
          <w:p>
            <w:pPr>
              <w:spacing w:after="0" w:line="252" w:lineRule="auto"/>
            </w:pPr>
            <w:r>
              <w:rPr>
                <w:b/>
                <w:sz w:val="17"/>
              </w:rPr>
              <w:t>Dokumentversion</w:t>
            </w:r>
          </w:p>
        </w:tc>
        <w:tc>
          <w:tcPr>
            <w:tcW w:type="dxa" w:w="7257"/>
          </w:tcPr>
          <w:p>
            <w:pPr>
              <w:spacing w:after="0" w:line="252" w:lineRule="auto"/>
            </w:pPr>
            <w:r>
              <w:rPr>
                <w:sz w:val="17"/>
              </w:rPr>
              <w:t>1.0</w:t>
            </w:r>
          </w:p>
        </w:tc>
      </w:tr>
      <w:tr>
        <w:trPr>
          <w:cantSplit w:val="true"/>
        </w:trPr>
        <w:tc>
          <w:tcPr>
            <w:tcW w:type="dxa" w:w="2268"/>
          </w:tcPr>
          <w:p>
            <w:pPr>
              <w:spacing w:after="0" w:line="252" w:lineRule="auto"/>
            </w:pPr>
            <w:r>
              <w:rPr>
                <w:b/>
                <w:sz w:val="17"/>
              </w:rPr>
              <w:t>Stand</w:t>
            </w:r>
          </w:p>
        </w:tc>
        <w:tc>
          <w:tcPr>
            <w:tcW w:type="dxa" w:w="7257"/>
          </w:tcPr>
          <w:p>
            <w:pPr>
              <w:spacing w:after="0" w:line="252" w:lineRule="auto"/>
            </w:pPr>
            <w:r>
              <w:rPr>
                <w:sz w:val="17"/>
              </w:rPr>
              <w:t>26.10.2026</w:t>
            </w:r>
          </w:p>
        </w:tc>
      </w:tr>
      <w:tr>
        <w:trPr>
          <w:cantSplit w:val="true"/>
        </w:trPr>
        <w:tc>
          <w:tcPr>
            <w:tcW w:type="dxa" w:w="2268"/>
          </w:tcPr>
          <w:p>
            <w:pPr>
              <w:spacing w:after="0" w:line="252" w:lineRule="auto"/>
            </w:pPr>
            <w:r>
              <w:rPr>
                <w:b/>
                <w:sz w:val="17"/>
              </w:rPr>
              <w:t>Autor</w:t>
            </w:r>
          </w:p>
        </w:tc>
        <w:tc>
          <w:tcPr>
            <w:tcW w:type="dxa" w:w="7257"/>
          </w:tcPr>
          <w:p>
            <w:pPr>
              <w:spacing w:after="0" w:line="252" w:lineRule="auto"/>
            </w:pPr>
            <w:r>
              <w:rPr>
                <w:sz w:val="17"/>
              </w:rPr>
              <w:t>SSI SCHÄFER</w:t>
            </w:r>
          </w:p>
        </w:tc>
      </w:tr>
      <w:tr>
        <w:trPr>
          <w:cantSplit w:val="true"/>
        </w:trPr>
        <w:tc>
          <w:tcPr>
            <w:tcW w:type="dxa" w:w="2268"/>
          </w:tcPr>
          <w:p>
            <w:pPr>
              <w:spacing w:after="0" w:line="252" w:lineRule="auto"/>
            </w:pPr>
            <w:r>
              <w:rPr>
                <w:b/>
                <w:sz w:val="17"/>
              </w:rPr>
              <w:t>Zielgruppe</w:t>
            </w:r>
          </w:p>
        </w:tc>
        <w:tc>
          <w:tcPr>
            <w:tcW w:type="dxa" w:w="7257"/>
          </w:tcPr>
          <w:p>
            <w:pPr>
              <w:spacing w:after="0" w:line="252" w:lineRule="auto"/>
            </w:pPr>
            <w:r>
              <w:rPr>
                <w:sz w:val="17"/>
              </w:rPr>
              <w:t>Geschäftsleitung, Projektleitung und Key-User der Stumatec</w:t>
            </w:r>
          </w:p>
        </w:tc>
      </w:tr>
      <w:tr>
        <w:trPr>
          <w:cantSplit w:val="true"/>
        </w:trPr>
        <w:tc>
          <w:tcPr>
            <w:tcW w:type="dxa" w:w="2268"/>
          </w:tcPr>
          <w:p>
            <w:pPr>
              <w:spacing w:after="0" w:line="252" w:lineRule="auto"/>
            </w:pPr>
            <w:r>
              <w:rPr>
                <w:b/>
                <w:sz w:val="17"/>
              </w:rPr>
              <w:t>Grundlage</w:t>
            </w:r>
          </w:p>
        </w:tc>
        <w:tc>
          <w:tcPr>
            <w:tcW w:type="dxa" w:w="7257"/>
          </w:tcPr>
          <w:p>
            <w:pPr>
              <w:spacing w:after="0" w:line="252" w:lineRule="auto"/>
            </w:pPr>
            <w:r>
              <w:rPr>
                <w:sz w:val="17"/>
              </w:rPr>
              <w:t>How-to Klient pflegen 2.8 V 1.2, How-to Klienten, Lieferanten und Partner 2.7 V 1.1 (Inhalte in 2.8 zu prüfen), Telegramm-Anleitung 2.8 V 1.0, Druckdokumente 2.8 V 1.1, Tests auf dem SSI-Testsystem srv01 (20.–23.10.2026), Administrator Manual 2.7/2.8</w:t>
            </w:r>
          </w:p>
        </w:tc>
      </w:tr>
    </w:tbl>
    <w:p>
      <w:pPr>
        <w:spacing w:after="40"/>
      </w:pP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932"/>
        <w:gridCol w:w="1247"/>
        <w:gridCol w:w="7345"/>
      </w:tblGrid>
      <w:tr>
        <w:trPr>
          <w:tblHeader w:val="true"/>
          <w:cantSplit w:val="true"/>
        </w:trPr>
        <w:tc>
          <w:tcPr>
            <w:tcW w:type="dxa" w:w="933"/>
            <w:shd w:val="clear" w:color="auto" w:fill="FEEE19"/>
          </w:tcPr>
          <w:p>
            <w:pPr>
              <w:spacing w:after="0"/>
            </w:pPr>
            <w:r>
              <w:rPr>
                <w:b/>
                <w:sz w:val="17"/>
              </w:rPr>
              <w:t>Version</w:t>
            </w:r>
          </w:p>
        </w:tc>
        <w:tc>
          <w:tcPr>
            <w:tcW w:type="dxa" w:w="1247"/>
            <w:shd w:val="clear" w:color="auto" w:fill="FEEE19"/>
          </w:tcPr>
          <w:p>
            <w:pPr>
              <w:spacing w:after="0"/>
            </w:pPr>
            <w:r>
              <w:rPr>
                <w:b/>
                <w:sz w:val="17"/>
              </w:rPr>
              <w:t>Datum</w:t>
            </w:r>
          </w:p>
        </w:tc>
        <w:tc>
          <w:tcPr>
            <w:tcW w:type="dxa" w:w="7345"/>
            <w:shd w:val="clear" w:color="auto" w:fill="FEEE19"/>
          </w:tcPr>
          <w:p>
            <w:pPr>
              <w:spacing w:after="0"/>
            </w:pPr>
            <w:r>
              <w:rPr>
                <w:b/>
                <w:sz w:val="17"/>
              </w:rPr>
              <w:t>Änderungen</w:t>
            </w:r>
          </w:p>
        </w:tc>
      </w:tr>
      <w:tr>
        <w:trPr>
          <w:cantSplit w:val="true"/>
        </w:trPr>
        <w:tc>
          <w:tcPr>
            <w:tcW w:type="dxa" w:w="933"/>
          </w:tcPr>
          <w:p>
            <w:pPr>
              <w:spacing w:after="0" w:line="252" w:lineRule="auto"/>
            </w:pPr>
            <w:r>
              <w:rPr>
                <w:sz w:val="17"/>
              </w:rPr>
              <w:t>1.0</w:t>
            </w:r>
          </w:p>
        </w:tc>
        <w:tc>
          <w:tcPr>
            <w:tcW w:type="dxa" w:w="1247"/>
          </w:tcPr>
          <w:p>
            <w:pPr>
              <w:spacing w:after="0" w:line="252" w:lineRule="auto"/>
            </w:pPr>
            <w:r>
              <w:rPr>
                <w:sz w:val="17"/>
              </w:rPr>
              <w:t>26.10.2026</w:t>
            </w:r>
          </w:p>
        </w:tc>
        <w:tc>
          <w:tcPr>
            <w:tcW w:type="dxa" w:w="7345"/>
          </w:tcPr>
          <w:p>
            <w:pPr>
              <w:spacing w:after="0" w:line="252" w:lineRule="auto"/>
            </w:pPr>
            <w:r>
              <w:rPr>
                <w:sz w:val="17"/>
              </w:rPr>
              <w:t>Erste Fassung für den Termin bei der Stumatec: Varianten A, B, C, Ampelmatrix, Abläufe, Weg zum getrennten Lager, Entscheidungsbaum.</w:t>
            </w:r>
          </w:p>
        </w:tc>
      </w:tr>
    </w:tbl>
    <w:p>
      <w:pPr>
        <w:pStyle w:val="BeschriftungSSI"/>
      </w:pPr>
      <w:r>
        <w:t>Tab. 2: Versionshistorie</w:t>
      </w:r>
    </w:p>
    <w:p>
      <w:pPr>
        <w:pStyle w:val="Heading1"/>
      </w:pPr>
      <w:r>
        <w:t>2 Auf einen Blick</w:t>
      </w:r>
    </w:p>
    <w:p>
      <w:pPr>
        <w:keepNext/>
      </w:pPr>
      <w:r>
        <w:drawing>
          <wp:inline xmlns:a="http://schemas.openxmlformats.org/drawingml/2006/main" xmlns:pic="http://schemas.openxmlformats.org/drawingml/2006/picture">
            <wp:extent cx="5940000" cy="3888000"/>
            <wp:docPr id="104" name="Picture 104"/>
            <wp:cNvGraphicFramePr>
              <a:graphicFrameLocks noChangeAspect="1"/>
            </wp:cNvGraphicFramePr>
            <a:graphic>
              <a:graphicData uri="http://schemas.openxmlformats.org/drawingml/2006/picture">
                <pic:pic>
                  <pic:nvPicPr>
                    <pic:cNvPr id="0" name="ampelmatrix.png"/>
                    <pic:cNvPicPr/>
                  </pic:nvPicPr>
                  <pic:blipFill>
                    <a:blip r:embed="rId14"/>
                    <a:stretch>
                      <a:fillRect/>
                    </a:stretch>
                  </pic:blipFill>
                  <pic:spPr>
                    <a:xfrm>
                      <a:off x="0" y="0"/>
                      <a:ext cx="5940000" cy="3888000"/>
                    </a:xfrm>
                    <a:prstGeom prst="rect"/>
                  </pic:spPr>
                </pic:pic>
              </a:graphicData>
            </a:graphic>
          </wp:inline>
        </w:drawing>
      </w:r>
    </w:p>
    <w:p>
      <w:pPr>
        <w:pStyle w:val="BeschriftungSSI"/>
      </w:pPr>
      <w:r>
        <w:t>Abb. 1: Ampelmatrix der Varianten (Einschätzung, keine Entscheidung) (Grafik SSI SCHÄFER)</w:t>
      </w:r>
    </w:p>
    <w:p>
      <w:r>
        <w:rPr>
          <w:b/>
        </w:rPr>
        <w:t>Lösungsvorschlag (bedingt):</w:t>
      </w:r>
    </w:p>
    <w:p>
      <w:pPr>
        <w:pStyle w:val="ListBullet"/>
      </w:pPr>
      <w:r>
        <w:rPr>
          <w:b/>
        </w:rPr>
        <w:t>Variante B</w:t>
      </w:r>
      <w:r>
        <w:t xml:space="preserve"> (ein Klient, zwei Wareneigentümer) passt, </w:t>
      </w:r>
      <w:r>
        <w:rPr>
          <w:b/>
        </w:rPr>
        <w:t>wenn</w:t>
      </w:r>
      <w:r>
        <w:t xml:space="preserve"> beide Firmen wirklich dieselben Artikel nutzen, keine eigenen Tablare brauchen und die Einlagerungen über Aufträge (ERP oder Import) kommen. Sie hat den kleinsten Einrichtungsaufwand. Offen ist der Nachweis von Bestand, Reservierung und Inventur je Wareneigentümer.</w:t>
      </w:r>
    </w:p>
    <w:p>
      <w:pPr>
        <w:pStyle w:val="ListBullet"/>
      </w:pPr>
      <w:r>
        <w:rPr>
          <w:b/>
        </w:rPr>
        <w:t>Variante A</w:t>
      </w:r>
      <w:r>
        <w:t xml:space="preserve"> (mehrere Klienten) passt, </w:t>
      </w:r>
      <w:r>
        <w:rPr>
          <w:b/>
        </w:rPr>
        <w:t>wenn</w:t>
      </w:r>
      <w:r>
        <w:t xml:space="preserve"> die Firmen eigene Stammdaten, eigene Tablare bzw. einen eigenen LOGIMAT, eigene Belege oder getrennte Benutzer brauchen. Sie trennt am stärksten, verdoppelt aber Artikelstamm und Klientenkonfiguration.</w:t>
      </w:r>
    </w:p>
    <w:p>
      <w:pPr>
        <w:pStyle w:val="ListBullet"/>
      </w:pPr>
      <w:r>
        <w:rPr>
          <w:b/>
        </w:rPr>
        <w:t>Variante C</w:t>
      </w:r>
      <w:r>
        <w:t xml:space="preserve"> (Variante, Warengruppe oder Präfix) ist nur ein Behelf, wenn A und B nicht passen. Keine dieser Lösungen ist getestet.</w:t>
      </w:r>
    </w:p>
    <w:p>
      <w:pPr>
        <w:pStyle w:val="Heading1"/>
      </w:pPr>
      <w:r>
        <w:t>3 Begriffe in WAMAS</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118"/>
        <w:gridCol w:w="4635"/>
        <w:gridCol w:w="1771"/>
      </w:tblGrid>
      <w:tr>
        <w:trPr>
          <w:tblHeader w:val="true"/>
          <w:cantSplit w:val="true"/>
        </w:trPr>
        <w:tc>
          <w:tcPr>
            <w:tcW w:type="dxa" w:w="3118"/>
            <w:shd w:val="clear" w:color="auto" w:fill="FEEE19"/>
          </w:tcPr>
          <w:p>
            <w:pPr>
              <w:spacing w:after="0"/>
            </w:pPr>
            <w:r>
              <w:rPr>
                <w:b/>
                <w:sz w:val="17"/>
              </w:rPr>
              <w:t>Begriff</w:t>
            </w:r>
          </w:p>
        </w:tc>
        <w:tc>
          <w:tcPr>
            <w:tcW w:type="dxa" w:w="4635"/>
            <w:shd w:val="clear" w:color="auto" w:fill="FEEE19"/>
          </w:tcPr>
          <w:p>
            <w:pPr>
              <w:spacing w:after="0"/>
            </w:pPr>
            <w:r>
              <w:rPr>
                <w:b/>
                <w:sz w:val="17"/>
              </w:rPr>
              <w:t>Bedeutung in WAMAS LS</w:t>
            </w:r>
          </w:p>
        </w:tc>
        <w:tc>
          <w:tcPr>
            <w:tcW w:type="dxa" w:w="1772"/>
            <w:shd w:val="clear" w:color="auto" w:fill="FEEE19"/>
          </w:tcPr>
          <w:p>
            <w:pPr>
              <w:spacing w:after="0"/>
            </w:pPr>
            <w:r>
              <w:rPr>
                <w:b/>
                <w:sz w:val="17"/>
              </w:rPr>
              <w:t>Dialog</w:t>
            </w:r>
          </w:p>
        </w:tc>
      </w:tr>
      <w:tr>
        <w:trPr>
          <w:cantSplit w:val="true"/>
        </w:trPr>
        <w:tc>
          <w:tcPr>
            <w:tcW w:type="dxa" w:w="3118"/>
          </w:tcPr>
          <w:p>
            <w:pPr>
              <w:spacing w:after="0" w:line="252" w:lineRule="auto"/>
            </w:pPr>
            <w:r>
              <w:rPr>
                <w:b/>
                <w:sz w:val="17"/>
              </w:rPr>
              <w:t>Klient</w:t>
            </w:r>
          </w:p>
        </w:tc>
        <w:tc>
          <w:tcPr>
            <w:tcW w:type="dxa" w:w="4635"/>
          </w:tcPr>
          <w:p>
            <w:pPr>
              <w:spacing w:after="0" w:line="252" w:lineRule="auto"/>
            </w:pPr>
            <w:r>
              <w:rPr>
                <w:sz w:val="17"/>
              </w:rPr>
              <w:t xml:space="preserve">Vertragspartner des Lagers oder der Lagerbetreiber selbst; umgangssprachlich „Mandant“. Ein Lager kann mehrere Klienten haben. Ein Artikel ist eindeutig über </w:t>
            </w:r>
            <w:r>
              <w:rPr>
                <w:b/>
                <w:sz w:val="17"/>
              </w:rPr>
              <w:t>Klient + Artikelnummer + Variante</w:t>
            </w:r>
            <w:r>
              <w:rPr>
                <w:sz w:val="17"/>
              </w:rPr>
              <w:t>.</w:t>
            </w:r>
          </w:p>
        </w:tc>
        <w:tc>
          <w:tcPr>
            <w:tcW w:type="dxa" w:w="1772"/>
          </w:tcPr>
          <w:p>
            <w:pPr>
              <w:spacing w:after="0" w:line="252" w:lineRule="auto"/>
            </w:pPr>
            <w:r>
              <w:rPr>
                <w:sz w:val="17"/>
              </w:rPr>
              <w:t>MD017</w:t>
            </w:r>
          </w:p>
        </w:tc>
      </w:tr>
      <w:tr>
        <w:trPr>
          <w:cantSplit w:val="true"/>
        </w:trPr>
        <w:tc>
          <w:tcPr>
            <w:tcW w:type="dxa" w:w="3118"/>
          </w:tcPr>
          <w:p>
            <w:pPr>
              <w:spacing w:after="0" w:line="252" w:lineRule="auto"/>
            </w:pPr>
            <w:r>
              <w:rPr>
                <w:b/>
                <w:sz w:val="17"/>
              </w:rPr>
              <w:t>Partner</w:t>
            </w:r>
          </w:p>
        </w:tc>
        <w:tc>
          <w:tcPr>
            <w:tcW w:type="dxa" w:w="4635"/>
          </w:tcPr>
          <w:p>
            <w:pPr>
              <w:spacing w:after="0" w:line="252" w:lineRule="auto"/>
            </w:pPr>
            <w:r>
              <w:rPr>
                <w:sz w:val="17"/>
              </w:rPr>
              <w:t>Geschäftspartner eines Klienten (Lieferant, Kunde, Wareneigentümer …); die Art wird per Checkbox gewählt</w:t>
            </w:r>
          </w:p>
        </w:tc>
        <w:tc>
          <w:tcPr>
            <w:tcW w:type="dxa" w:w="1772"/>
          </w:tcPr>
          <w:p>
            <w:pPr>
              <w:spacing w:after="0" w:line="252" w:lineRule="auto"/>
            </w:pPr>
            <w:r>
              <w:rPr>
                <w:sz w:val="17"/>
              </w:rPr>
              <w:t>MD018</w:t>
            </w:r>
          </w:p>
        </w:tc>
      </w:tr>
      <w:tr>
        <w:trPr>
          <w:cantSplit w:val="true"/>
        </w:trPr>
        <w:tc>
          <w:tcPr>
            <w:tcW w:type="dxa" w:w="3118"/>
          </w:tcPr>
          <w:p>
            <w:pPr>
              <w:spacing w:after="0" w:line="252" w:lineRule="auto"/>
            </w:pPr>
            <w:r>
              <w:rPr>
                <w:b/>
                <w:sz w:val="17"/>
              </w:rPr>
              <w:t>Wareneigentümer</w:t>
            </w:r>
          </w:p>
        </w:tc>
        <w:tc>
          <w:tcPr>
            <w:tcW w:type="dxa" w:w="4635"/>
          </w:tcPr>
          <w:p>
            <w:pPr>
              <w:spacing w:after="0" w:line="252" w:lineRule="auto"/>
            </w:pPr>
            <w:r>
              <w:rPr>
                <w:sz w:val="17"/>
              </w:rPr>
              <w:t xml:space="preserve">Partner, der beim Klienten als Eigentümer eingetragen ist; einer davon ist Standard. Wird je Bedarfszeile mitgeführt, in der Schnittstelle Feld </w:t>
            </w:r>
            <w:r>
              <w:rPr>
                <w:rFonts w:ascii="Consolas" w:hAnsi="Consolas" w:cs="Consolas" w:eastAsia="Consolas"/>
                <w:sz w:val="15"/>
              </w:rPr>
              <w:t>gow</w:t>
            </w:r>
            <w:r>
              <w:rPr>
                <w:sz w:val="17"/>
              </w:rPr>
              <w:t>.</w:t>
            </w:r>
          </w:p>
        </w:tc>
        <w:tc>
          <w:tcPr>
            <w:tcW w:type="dxa" w:w="1772"/>
          </w:tcPr>
          <w:p>
            <w:pPr>
              <w:spacing w:after="0" w:line="252" w:lineRule="auto"/>
            </w:pPr>
            <w:r>
              <w:rPr>
                <w:sz w:val="17"/>
              </w:rPr>
              <w:t>MD017, Registerkarte Wareneigentümer</w:t>
            </w:r>
          </w:p>
        </w:tc>
      </w:tr>
      <w:tr>
        <w:trPr>
          <w:cantSplit w:val="true"/>
        </w:trPr>
        <w:tc>
          <w:tcPr>
            <w:tcW w:type="dxa" w:w="3118"/>
          </w:tcPr>
          <w:p>
            <w:pPr>
              <w:spacing w:after="0" w:line="252" w:lineRule="auto"/>
            </w:pPr>
            <w:r>
              <w:rPr>
                <w:b/>
                <w:sz w:val="17"/>
              </w:rPr>
              <w:t>Systempartner</w:t>
            </w:r>
          </w:p>
        </w:tc>
        <w:tc>
          <w:tcPr>
            <w:tcW w:type="dxa" w:w="4635"/>
          </w:tcPr>
          <w:p>
            <w:pPr>
              <w:spacing w:after="0" w:line="252" w:lineRule="auto"/>
            </w:pPr>
            <w:r>
              <w:rPr>
                <w:sz w:val="17"/>
              </w:rPr>
              <w:t xml:space="preserve">angeschlossenes IT-System, z. B. ERP </w:t>
            </w:r>
            <w:r>
              <w:rPr>
                <w:rFonts w:ascii="Consolas" w:hAnsi="Consolas" w:cs="Consolas" w:eastAsia="Consolas"/>
                <w:sz w:val="15"/>
              </w:rPr>
              <w:t>HOST</w:t>
            </w:r>
            <w:r>
              <w:rPr>
                <w:sz w:val="17"/>
              </w:rPr>
              <w:t xml:space="preserve">. </w:t>
            </w:r>
            <w:r>
              <w:rPr>
                <w:b/>
                <w:sz w:val="17"/>
              </w:rPr>
              <w:t>Kein</w:t>
            </w:r>
            <w:r>
              <w:rPr>
                <w:sz w:val="17"/>
              </w:rPr>
              <w:t xml:space="preserve"> Wareneigentümer.</w:t>
            </w:r>
          </w:p>
        </w:tc>
        <w:tc>
          <w:tcPr>
            <w:tcW w:type="dxa" w:w="1772"/>
          </w:tcPr>
          <w:p>
            <w:pPr>
              <w:spacing w:after="0" w:line="252" w:lineRule="auto"/>
            </w:pPr>
            <w:r>
              <w:rPr>
                <w:sz w:val="17"/>
              </w:rPr>
              <w:t>MD021</w:t>
            </w:r>
          </w:p>
        </w:tc>
      </w:tr>
      <w:tr>
        <w:trPr>
          <w:cantSplit w:val="true"/>
        </w:trPr>
        <w:tc>
          <w:tcPr>
            <w:tcW w:type="dxa" w:w="3118"/>
          </w:tcPr>
          <w:p>
            <w:pPr>
              <w:spacing w:after="0" w:line="252" w:lineRule="auto"/>
            </w:pPr>
            <w:r>
              <w:rPr>
                <w:b/>
                <w:sz w:val="17"/>
              </w:rPr>
              <w:t>Lagerstandort</w:t>
            </w:r>
          </w:p>
        </w:tc>
        <w:tc>
          <w:tcPr>
            <w:tcW w:type="dxa" w:w="4635"/>
          </w:tcPr>
          <w:p>
            <w:pPr>
              <w:spacing w:after="0" w:line="252" w:lineRule="auto"/>
            </w:pPr>
            <w:r>
              <w:rPr>
                <w:sz w:val="17"/>
              </w:rPr>
              <w:t>Lagerort; ein LOGIMAT gehört zu genau einem Lagerstandort; kein Klientenfeld</w:t>
            </w:r>
          </w:p>
        </w:tc>
        <w:tc>
          <w:tcPr>
            <w:tcW w:type="dxa" w:w="1772"/>
          </w:tcPr>
          <w:p>
            <w:pPr>
              <w:spacing w:after="0" w:line="252" w:lineRule="auto"/>
            </w:pPr>
            <w:r>
              <w:rPr>
                <w:sz w:val="17"/>
              </w:rPr>
              <w:t>WH018</w:t>
            </w:r>
          </w:p>
        </w:tc>
      </w:tr>
      <w:tr>
        <w:trPr>
          <w:cantSplit w:val="true"/>
        </w:trPr>
        <w:tc>
          <w:tcPr>
            <w:tcW w:type="dxa" w:w="3118"/>
          </w:tcPr>
          <w:p>
            <w:pPr>
              <w:spacing w:after="0" w:line="252" w:lineRule="auto"/>
            </w:pPr>
            <w:r>
              <w:rPr>
                <w:b/>
                <w:sz w:val="17"/>
              </w:rPr>
              <w:t>Tablar-zu-Klient-Einschränkung</w:t>
            </w:r>
          </w:p>
        </w:tc>
        <w:tc>
          <w:tcPr>
            <w:tcW w:type="dxa" w:w="4635"/>
          </w:tcPr>
          <w:p>
            <w:pPr>
              <w:spacing w:after="0" w:line="252" w:lineRule="auto"/>
            </w:pPr>
            <w:r>
              <w:rPr>
                <w:sz w:val="17"/>
              </w:rPr>
              <w:t>reserviert Tablare für einen Klienten; gibt es nur je Klient</w:t>
            </w:r>
          </w:p>
        </w:tc>
        <w:tc>
          <w:tcPr>
            <w:tcW w:type="dxa" w:w="1772"/>
          </w:tcPr>
          <w:p>
            <w:pPr>
              <w:spacing w:after="0" w:line="252" w:lineRule="auto"/>
            </w:pPr>
            <w:r>
              <w:rPr>
                <w:sz w:val="17"/>
              </w:rPr>
              <w:t>MD017</w:t>
            </w:r>
          </w:p>
        </w:tc>
      </w:tr>
      <w:tr>
        <w:trPr>
          <w:cantSplit w:val="true"/>
        </w:trPr>
        <w:tc>
          <w:tcPr>
            <w:tcW w:type="dxa" w:w="3118"/>
          </w:tcPr>
          <w:p>
            <w:pPr>
              <w:spacing w:after="0" w:line="252" w:lineRule="auto"/>
            </w:pPr>
            <w:r>
              <w:rPr>
                <w:b/>
                <w:sz w:val="17"/>
              </w:rPr>
              <w:t>Homogenität</w:t>
            </w:r>
          </w:p>
        </w:tc>
        <w:tc>
          <w:tcPr>
            <w:tcW w:type="dxa" w:w="4635"/>
          </w:tcPr>
          <w:p>
            <w:pPr>
              <w:spacing w:after="0" w:line="252" w:lineRule="auto"/>
            </w:pPr>
            <w:r>
              <w:rPr>
                <w:sz w:val="17"/>
              </w:rPr>
              <w:t>verhindert, dass Bestand mit unterschiedlichen Merkmalen (z. B. Klient) im selben Fach gemischt wird</w:t>
            </w:r>
          </w:p>
        </w:tc>
        <w:tc>
          <w:tcPr>
            <w:tcW w:type="dxa" w:w="1772"/>
          </w:tcPr>
          <w:p>
            <w:pPr>
              <w:spacing w:after="0" w:line="252" w:lineRule="auto"/>
            </w:pPr>
            <w:r>
              <w:rPr>
                <w:sz w:val="17"/>
              </w:rPr>
              <w:t>LM040 (2.8), SM041/SM042 (2.7)</w:t>
            </w:r>
          </w:p>
        </w:tc>
      </w:tr>
    </w:tbl>
    <w:p>
      <w:pPr>
        <w:pStyle w:val="BeschriftungSSI"/>
      </w:pPr>
      <w:r>
        <w:t>Tab. 3: Begriffe</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Systempartner ist kein Eigentümer</w:t>
            </w:r>
          </w:p>
          <w:p>
            <w:pPr>
              <w:spacing w:after="40"/>
            </w:pPr>
            <w:r>
              <w:rPr>
                <w:sz w:val="19"/>
              </w:rPr>
              <w:t xml:space="preserve">Die Variante „Systempartner / Eigentümer innerhalb eines Klienten“ heisst in WAMAS </w:t>
            </w:r>
            <w:r>
              <w:rPr>
                <w:b/>
                <w:sz w:val="19"/>
              </w:rPr>
              <w:t>Wareneigentümer</w:t>
            </w:r>
            <w:r>
              <w:rPr>
                <w:sz w:val="19"/>
              </w:rPr>
              <w:t xml:space="preserve">. Ein </w:t>
            </w:r>
            <w:r>
              <w:rPr>
                <w:b/>
                <w:sz w:val="19"/>
              </w:rPr>
              <w:t>Systempartner</w:t>
            </w:r>
            <w:r>
              <w:rPr>
                <w:sz w:val="19"/>
              </w:rPr>
              <w:t xml:space="preserve"> (MD021) ist ein IT-System und trennt keinen Bestand. Er kann Daten für mehrere Klienten senden, weil der Klient in jeder Satzart steht.</w:t>
            </w:r>
          </w:p>
        </w:tc>
      </w:tr>
    </w:tbl>
    <w:p>
      <w:pPr>
        <w:spacing w:after="40"/>
      </w:pPr>
    </w:p>
    <w:p>
      <w:pPr>
        <w:pStyle w:val="Quelle"/>
      </w:pPr>
      <w:r>
        <w:rPr>
          <w:b/>
        </w:rPr>
        <w:t xml:space="preserve">Quelle: </w:t>
      </w:r>
      <w:r>
        <w:rPr>
          <w:sz w:val="17"/>
        </w:rPr>
        <w:t>KP28 Kap. 2, 3.2, 3.4; KLP Kap. 2.3, 3.2 (in 2.8 zu prüfen)</w:t>
      </w:r>
    </w:p>
    <w:p>
      <w:pPr>
        <w:pStyle w:val="Heading1"/>
      </w:pPr>
      <w:r>
        <w:t>4 Die Varianten im Überblick</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771"/>
        <w:gridCol w:w="3656"/>
        <w:gridCol w:w="4097"/>
      </w:tblGrid>
      <w:tr>
        <w:trPr>
          <w:tblHeader w:val="true"/>
          <w:cantSplit w:val="true"/>
        </w:trPr>
        <w:tc>
          <w:tcPr>
            <w:tcW w:type="dxa" w:w="1772"/>
            <w:shd w:val="clear" w:color="auto" w:fill="FEEE19"/>
          </w:tcPr>
          <w:p>
            <w:pPr>
              <w:spacing w:after="0"/>
            </w:pPr>
            <w:r>
              <w:rPr>
                <w:b/>
                <w:sz w:val="17"/>
              </w:rPr>
              <w:t>Variante</w:t>
            </w:r>
          </w:p>
        </w:tc>
        <w:tc>
          <w:tcPr>
            <w:tcW w:type="dxa" w:w="3656"/>
            <w:shd w:val="clear" w:color="auto" w:fill="FEEE19"/>
          </w:tcPr>
          <w:p>
            <w:pPr>
              <w:spacing w:after="0"/>
            </w:pPr>
            <w:r>
              <w:rPr>
                <w:b/>
                <w:sz w:val="17"/>
              </w:rPr>
              <w:t>Prinzip</w:t>
            </w:r>
          </w:p>
        </w:tc>
        <w:tc>
          <w:tcPr>
            <w:tcW w:type="dxa" w:w="4097"/>
            <w:shd w:val="clear" w:color="auto" w:fill="FEEE19"/>
          </w:tcPr>
          <w:p>
            <w:pPr>
              <w:spacing w:after="0"/>
            </w:pPr>
            <w:r>
              <w:rPr>
                <w:b/>
                <w:sz w:val="17"/>
              </w:rPr>
              <w:t>Teststand SSI-Testsystem</w:t>
            </w:r>
          </w:p>
        </w:tc>
      </w:tr>
      <w:tr>
        <w:trPr>
          <w:cantSplit w:val="true"/>
        </w:trPr>
        <w:tc>
          <w:tcPr>
            <w:tcW w:type="dxa" w:w="1772"/>
          </w:tcPr>
          <w:p>
            <w:pPr>
              <w:spacing w:after="0" w:line="252" w:lineRule="auto"/>
            </w:pPr>
            <w:r>
              <w:rPr>
                <w:b/>
                <w:sz w:val="17"/>
              </w:rPr>
              <w:t>A</w:t>
            </w:r>
            <w:r>
              <w:rPr>
                <w:sz w:val="17"/>
              </w:rPr>
              <w:t xml:space="preserve"> Mehrere Klienten</w:t>
            </w:r>
          </w:p>
        </w:tc>
        <w:tc>
          <w:tcPr>
            <w:tcW w:type="dxa" w:w="3656"/>
          </w:tcPr>
          <w:p>
            <w:pPr>
              <w:spacing w:after="0" w:line="252" w:lineRule="auto"/>
            </w:pPr>
            <w:r>
              <w:rPr>
                <w:sz w:val="17"/>
              </w:rPr>
              <w:t>je Firma ein eigener Klient; Artikel und Bestand je Klient getrennt</w:t>
            </w:r>
          </w:p>
        </w:tc>
        <w:tc>
          <w:tcPr>
            <w:tcW w:type="dxa" w:w="4097"/>
          </w:tcPr>
          <w:p>
            <w:pPr>
              <w:spacing w:after="0" w:line="252" w:lineRule="auto"/>
            </w:pPr>
            <w:r>
              <w:rPr>
                <w:sz w:val="17"/>
              </w:rPr>
              <w:t xml:space="preserve">[BELEGT] zwei Testklienten mit je 10 Artikeln, Einlagerung 21.10.2026; </w:t>
            </w:r>
            <w:r>
              <w:rPr>
                <w:b/>
                <w:sz w:val="17"/>
              </w:rPr>
              <w:t>Blocker</w:t>
            </w:r>
            <w:r>
              <w:rPr>
                <w:sz w:val="17"/>
              </w:rPr>
              <w:t>: Warenausgangs-Auftragstyp liess sich nicht anlegen</w:t>
            </w:r>
          </w:p>
        </w:tc>
      </w:tr>
      <w:tr>
        <w:trPr>
          <w:cantSplit w:val="true"/>
        </w:trPr>
        <w:tc>
          <w:tcPr>
            <w:tcW w:type="dxa" w:w="1772"/>
          </w:tcPr>
          <w:p>
            <w:pPr>
              <w:spacing w:after="0" w:line="252" w:lineRule="auto"/>
            </w:pPr>
            <w:r>
              <w:rPr>
                <w:b/>
                <w:sz w:val="17"/>
              </w:rPr>
              <w:t>B</w:t>
            </w:r>
            <w:r>
              <w:rPr>
                <w:sz w:val="17"/>
              </w:rPr>
              <w:t xml:space="preserve"> Ein Klient + Wareneigentümer</w:t>
            </w:r>
          </w:p>
        </w:tc>
        <w:tc>
          <w:tcPr>
            <w:tcW w:type="dxa" w:w="3656"/>
          </w:tcPr>
          <w:p>
            <w:pPr>
              <w:spacing w:after="0" w:line="252" w:lineRule="auto"/>
            </w:pPr>
            <w:r>
              <w:rPr>
                <w:sz w:val="17"/>
              </w:rPr>
              <w:t>ein Artikel; der Bestand trägt den Wareneigentümer Firma 1 oder Firma 2</w:t>
            </w:r>
          </w:p>
        </w:tc>
        <w:tc>
          <w:tcPr>
            <w:tcW w:type="dxa" w:w="4097"/>
          </w:tcPr>
          <w:p>
            <w:pPr>
              <w:spacing w:after="0" w:line="252" w:lineRule="auto"/>
            </w:pPr>
            <w:r>
              <w:rPr>
                <w:sz w:val="17"/>
              </w:rPr>
              <w:t xml:space="preserve">[BELEGT] Partner und Wareneigentümer angelegt (22.10.), zwei Einlageraufträge mit </w:t>
            </w:r>
            <w:r>
              <w:rPr>
                <w:rFonts w:ascii="Consolas" w:hAnsi="Consolas" w:cs="Consolas" w:eastAsia="Consolas"/>
                <w:sz w:val="15"/>
              </w:rPr>
              <w:t>gow</w:t>
            </w:r>
            <w:r>
              <w:rPr>
                <w:sz w:val="17"/>
              </w:rPr>
              <w:t xml:space="preserve"> importiert (23.10.); Bestand, Reservierung, Inventur je Eigentümer offen</w:t>
            </w:r>
          </w:p>
        </w:tc>
      </w:tr>
      <w:tr>
        <w:trPr>
          <w:cantSplit w:val="true"/>
        </w:trPr>
        <w:tc>
          <w:tcPr>
            <w:tcW w:type="dxa" w:w="1772"/>
          </w:tcPr>
          <w:p>
            <w:pPr>
              <w:spacing w:after="0" w:line="252" w:lineRule="auto"/>
            </w:pPr>
            <w:r>
              <w:rPr>
                <w:b/>
                <w:sz w:val="17"/>
              </w:rPr>
              <w:t>C1</w:t>
            </w:r>
            <w:r>
              <w:rPr>
                <w:sz w:val="17"/>
              </w:rPr>
              <w:t xml:space="preserve"> Variante je Firma</w:t>
            </w:r>
          </w:p>
        </w:tc>
        <w:tc>
          <w:tcPr>
            <w:tcW w:type="dxa" w:w="3656"/>
          </w:tcPr>
          <w:p>
            <w:pPr>
              <w:spacing w:after="0" w:line="252" w:lineRule="auto"/>
            </w:pPr>
            <w:r>
              <w:rPr>
                <w:sz w:val="17"/>
              </w:rPr>
              <w:t xml:space="preserve">gleiche Artikelnummer, Variante z. B. </w:t>
            </w:r>
            <w:r>
              <w:rPr>
                <w:rFonts w:ascii="Consolas" w:hAnsi="Consolas" w:cs="Consolas" w:eastAsia="Consolas"/>
                <w:sz w:val="15"/>
              </w:rPr>
              <w:t>00001</w:t>
            </w:r>
            <w:r>
              <w:rPr>
                <w:sz w:val="17"/>
              </w:rPr>
              <w:t xml:space="preserve"> / </w:t>
            </w:r>
            <w:r>
              <w:rPr>
                <w:rFonts w:ascii="Consolas" w:hAnsi="Consolas" w:cs="Consolas" w:eastAsia="Consolas"/>
                <w:sz w:val="15"/>
              </w:rPr>
              <w:t>00002</w:t>
            </w:r>
          </w:p>
        </w:tc>
        <w:tc>
          <w:tcPr>
            <w:tcW w:type="dxa" w:w="4097"/>
          </w:tcPr>
          <w:p>
            <w:pPr>
              <w:spacing w:after="0" w:line="252" w:lineRule="auto"/>
            </w:pPr>
            <w:r>
              <w:rPr>
                <w:sz w:val="17"/>
              </w:rPr>
              <w:t>nicht getestet</w:t>
            </w:r>
          </w:p>
        </w:tc>
      </w:tr>
      <w:tr>
        <w:trPr>
          <w:cantSplit w:val="true"/>
        </w:trPr>
        <w:tc>
          <w:tcPr>
            <w:tcW w:type="dxa" w:w="1772"/>
          </w:tcPr>
          <w:p>
            <w:pPr>
              <w:spacing w:after="0" w:line="252" w:lineRule="auto"/>
            </w:pPr>
            <w:r>
              <w:rPr>
                <w:b/>
                <w:sz w:val="17"/>
              </w:rPr>
              <w:t>C2</w:t>
            </w:r>
            <w:r>
              <w:rPr>
                <w:sz w:val="17"/>
              </w:rPr>
              <w:t xml:space="preserve"> Warengruppe je Firma</w:t>
            </w:r>
          </w:p>
        </w:tc>
        <w:tc>
          <w:tcPr>
            <w:tcW w:type="dxa" w:w="3656"/>
          </w:tcPr>
          <w:p>
            <w:pPr>
              <w:spacing w:after="0" w:line="252" w:lineRule="auto"/>
            </w:pPr>
            <w:r>
              <w:rPr>
                <w:sz w:val="17"/>
              </w:rPr>
              <w:t>Artikel je Firma einer Warengruppe zugeordnet</w:t>
            </w:r>
          </w:p>
        </w:tc>
        <w:tc>
          <w:tcPr>
            <w:tcW w:type="dxa" w:w="4097"/>
          </w:tcPr>
          <w:p>
            <w:pPr>
              <w:spacing w:after="0" w:line="252" w:lineRule="auto"/>
            </w:pPr>
            <w:r>
              <w:rPr>
                <w:sz w:val="17"/>
              </w:rPr>
              <w:t>nicht getestet</w:t>
            </w:r>
          </w:p>
        </w:tc>
      </w:tr>
      <w:tr>
        <w:trPr>
          <w:cantSplit w:val="true"/>
        </w:trPr>
        <w:tc>
          <w:tcPr>
            <w:tcW w:type="dxa" w:w="1772"/>
          </w:tcPr>
          <w:p>
            <w:pPr>
              <w:spacing w:after="0" w:line="252" w:lineRule="auto"/>
            </w:pPr>
            <w:r>
              <w:rPr>
                <w:b/>
                <w:sz w:val="17"/>
              </w:rPr>
              <w:t>C3</w:t>
            </w:r>
            <w:r>
              <w:rPr>
                <w:sz w:val="17"/>
              </w:rPr>
              <w:t xml:space="preserve"> Artikel-Präfix</w:t>
            </w:r>
          </w:p>
        </w:tc>
        <w:tc>
          <w:tcPr>
            <w:tcW w:type="dxa" w:w="3656"/>
          </w:tcPr>
          <w:p>
            <w:pPr>
              <w:spacing w:after="0" w:line="252" w:lineRule="auto"/>
            </w:pPr>
            <w:r>
              <w:rPr>
                <w:sz w:val="17"/>
              </w:rPr>
              <w:t xml:space="preserve">eigene Artikelnummer je Firma, z. B. </w:t>
            </w:r>
            <w:r>
              <w:rPr>
                <w:rFonts w:ascii="Consolas" w:hAnsi="Consolas" w:cs="Consolas" w:eastAsia="Consolas"/>
                <w:sz w:val="15"/>
              </w:rPr>
              <w:t>S1-4711</w:t>
            </w:r>
            <w:r>
              <w:rPr>
                <w:sz w:val="17"/>
              </w:rPr>
              <w:t xml:space="preserve"> / </w:t>
            </w:r>
            <w:r>
              <w:rPr>
                <w:rFonts w:ascii="Consolas" w:hAnsi="Consolas" w:cs="Consolas" w:eastAsia="Consolas"/>
                <w:sz w:val="15"/>
              </w:rPr>
              <w:t>S2-4711</w:t>
            </w:r>
          </w:p>
        </w:tc>
        <w:tc>
          <w:tcPr>
            <w:tcW w:type="dxa" w:w="4097"/>
          </w:tcPr>
          <w:p>
            <w:pPr>
              <w:spacing w:after="0" w:line="252" w:lineRule="auto"/>
            </w:pPr>
            <w:r>
              <w:rPr>
                <w:sz w:val="17"/>
              </w:rPr>
              <w:t>nicht getestet (abgeleitet)</w:t>
            </w:r>
          </w:p>
        </w:tc>
      </w:tr>
      <w:tr>
        <w:trPr>
          <w:cantSplit w:val="true"/>
        </w:trPr>
        <w:tc>
          <w:tcPr>
            <w:tcW w:type="dxa" w:w="1772"/>
          </w:tcPr>
          <w:p>
            <w:pPr>
              <w:spacing w:after="0" w:line="252" w:lineRule="auto"/>
            </w:pPr>
            <w:r>
              <w:rPr>
                <w:b/>
                <w:sz w:val="17"/>
              </w:rPr>
              <w:t>C4</w:t>
            </w:r>
            <w:r>
              <w:rPr>
                <w:sz w:val="17"/>
              </w:rPr>
              <w:t xml:space="preserve"> Physische Trennung</w:t>
            </w:r>
          </w:p>
        </w:tc>
        <w:tc>
          <w:tcPr>
            <w:tcW w:type="dxa" w:w="3656"/>
          </w:tcPr>
          <w:p>
            <w:pPr>
              <w:spacing w:after="0" w:line="252" w:lineRule="auto"/>
            </w:pPr>
            <w:r>
              <w:rPr>
                <w:sz w:val="17"/>
              </w:rPr>
              <w:t>Zusatz zu A oder B: Homogenität, Tablare, externe Plätze, LOGIMAT je Firma</w:t>
            </w:r>
          </w:p>
        </w:tc>
        <w:tc>
          <w:tcPr>
            <w:tcW w:type="dxa" w:w="4097"/>
          </w:tcPr>
          <w:p>
            <w:pPr>
              <w:spacing w:after="0" w:line="252" w:lineRule="auto"/>
            </w:pPr>
            <w:r>
              <w:rPr>
                <w:sz w:val="17"/>
              </w:rPr>
              <w:t>teilweise dokumentiert, nicht getestet</w:t>
            </w:r>
          </w:p>
        </w:tc>
      </w:tr>
    </w:tbl>
    <w:p>
      <w:pPr>
        <w:pStyle w:val="BeschriftungSSI"/>
      </w:pPr>
      <w:r>
        <w:t>Tab. 4: Varianten</w:t>
      </w:r>
    </w:p>
    <w:p>
      <w:pPr>
        <w:pStyle w:val="Heading1"/>
      </w:pPr>
      <w:r>
        <w:t>5 Variante A – mehrere Klienten</w:t>
      </w:r>
    </w:p>
    <w:p>
      <w:pPr>
        <w:pStyle w:val="Heading2"/>
      </w:pPr>
      <w:r>
        <w:t>5.1 Prinzip und Ablauf</w:t>
      </w:r>
    </w:p>
    <w:p>
      <w:r>
        <w:t xml:space="preserve">Jede Firma bekommt einen eigenen Klienten (Klient-ID höchstens 10 Zeichen, </w:t>
      </w:r>
      <w:r>
        <w:rPr>
          <w:b/>
        </w:rPr>
        <w:t>[auszufüllen]</w:t>
      </w:r>
      <w:r>
        <w:t>). Lagerstandort, Zone und LOGIMATs werden gemeinsam genutzt. Der Bestand ist getrennt, weil jedes Bestandsobjekt den Klienten im Artikelschlüssel trägt.</w:t>
      </w:r>
    </w:p>
    <w:p>
      <w:pPr>
        <w:keepNext/>
      </w:pPr>
      <w:r>
        <w:drawing>
          <wp:inline xmlns:a="http://schemas.openxmlformats.org/drawingml/2006/main" xmlns:pic="http://schemas.openxmlformats.org/drawingml/2006/picture">
            <wp:extent cx="5940000" cy="2322000"/>
            <wp:docPr id="105" name="Picture 105"/>
            <wp:cNvGraphicFramePr>
              <a:graphicFrameLocks noChangeAspect="1"/>
            </wp:cNvGraphicFramePr>
            <a:graphic>
              <a:graphicData uri="http://schemas.openxmlformats.org/drawingml/2006/picture">
                <pic:pic>
                  <pic:nvPicPr>
                    <pic:cNvPr id="0" name="fluss_A.png"/>
                    <pic:cNvPicPr/>
                  </pic:nvPicPr>
                  <pic:blipFill>
                    <a:blip r:embed="rId15"/>
                    <a:stretch>
                      <a:fillRect/>
                    </a:stretch>
                  </pic:blipFill>
                  <pic:spPr>
                    <a:xfrm>
                      <a:off x="0" y="0"/>
                      <a:ext cx="5940000" cy="2322000"/>
                    </a:xfrm>
                    <a:prstGeom prst="rect"/>
                  </pic:spPr>
                </pic:pic>
              </a:graphicData>
            </a:graphic>
          </wp:inline>
        </w:drawing>
      </w:r>
    </w:p>
    <w:p>
      <w:pPr>
        <w:pStyle w:val="BeschriftungSSI"/>
      </w:pPr>
      <w:r>
        <w:t>Abb. 2: Ablauf Variante A (Grafik SSI SCHÄFER)</w:t>
      </w:r>
    </w:p>
    <w:p>
      <w:pPr>
        <w:pStyle w:val="Heading2"/>
      </w:pPr>
      <w:r>
        <w:t>5.2 Nötige Regeln und Prozess</w:t>
      </w:r>
    </w:p>
    <w:p>
      <w:pPr>
        <w:tabs>
          <w:tab w:pos="425" w:val="left"/>
        </w:tabs>
        <w:spacing w:after="60"/>
        <w:ind w:left="425" w:hanging="425"/>
      </w:pPr>
      <w:r>
        <w:rPr>
          <w:b/>
        </w:rPr>
        <w:t>1.</w:t>
        <w:tab/>
      </w:r>
      <w:r>
        <w:t xml:space="preserve">Klient je Firma in </w:t>
      </w:r>
      <w:r>
        <w:rPr>
          <w:b/>
        </w:rPr>
        <w:t>MD017</w:t>
      </w:r>
      <w:r>
        <w:t xml:space="preserve"> anlegen und </w:t>
      </w:r>
      <w:r>
        <w:rPr>
          <w:b/>
        </w:rPr>
        <w:t>vollständig</w:t>
      </w:r>
      <w:r>
        <w:t xml:space="preserve"> einrichten: Mengeneinheiten, Artikeltypen, Warengruppen, Buchungsschlüssel, Bestandsklassifizierung, Einlager-, Kommissionier- und Inventurbedarfstypen, Wareneigentümer (rund 20 Schritte, Checkliste KP28 Kap. 8). Nichts wird vom Klienten </w:t>
      </w:r>
      <w:r>
        <w:rPr>
          <w:rFonts w:ascii="Consolas" w:hAnsi="Consolas" w:cs="Consolas" w:eastAsia="Consolas"/>
          <w:sz w:val="18"/>
        </w:rPr>
        <w:t>DEFAULT</w:t>
      </w:r>
      <w:r>
        <w:t xml:space="preserve"> geerbt, es gibt keine Kopierfunktion.</w:t>
      </w:r>
    </w:p>
    <w:p>
      <w:pPr>
        <w:tabs>
          <w:tab w:pos="425" w:val="left"/>
        </w:tabs>
        <w:spacing w:after="60"/>
        <w:ind w:left="425" w:hanging="425"/>
      </w:pPr>
      <w:r>
        <w:rPr>
          <w:b/>
        </w:rPr>
        <w:t>2.</w:t>
        <w:tab/>
      </w:r>
      <w:r>
        <w:t xml:space="preserve">Partner (Lieferanten, Kunden) je Klient in </w:t>
      </w:r>
      <w:r>
        <w:rPr>
          <w:b/>
        </w:rPr>
        <w:t>MD018</w:t>
      </w:r>
      <w:r>
        <w:t xml:space="preserve"> anlegen.</w:t>
      </w:r>
    </w:p>
    <w:p>
      <w:pPr>
        <w:tabs>
          <w:tab w:pos="425" w:val="left"/>
        </w:tabs>
        <w:spacing w:after="60"/>
        <w:ind w:left="425" w:hanging="425"/>
      </w:pPr>
      <w:r>
        <w:rPr>
          <w:b/>
        </w:rPr>
        <w:t>3.</w:t>
        <w:tab/>
      </w:r>
      <w:r>
        <w:t xml:space="preserve">Artikel je Klient anlegen bzw. importieren (Spalte </w:t>
      </w:r>
      <w:r>
        <w:rPr>
          <w:b/>
        </w:rPr>
        <w:t>Mandant (clientId)</w:t>
      </w:r>
      <w:r>
        <w:t xml:space="preserve"> in V5; </w:t>
      </w:r>
      <w:r>
        <w:rPr>
          <w:rFonts w:ascii="Consolas" w:hAnsi="Consolas" w:cs="Consolas" w:eastAsia="Consolas"/>
          <w:sz w:val="18"/>
        </w:rPr>
        <w:t>clientId</w:t>
      </w:r>
      <w:r>
        <w:t xml:space="preserve"> in jeder Satzart).</w:t>
      </w:r>
    </w:p>
    <w:p>
      <w:pPr>
        <w:tabs>
          <w:tab w:pos="425" w:val="left"/>
        </w:tabs>
        <w:spacing w:after="60"/>
        <w:ind w:left="425" w:hanging="425"/>
      </w:pPr>
      <w:r>
        <w:rPr>
          <w:b/>
        </w:rPr>
        <w:t>4.</w:t>
        <w:tab/>
      </w:r>
      <w:r>
        <w:t xml:space="preserve">Optional: </w:t>
      </w:r>
      <w:r>
        <w:rPr>
          <w:b/>
        </w:rPr>
        <w:t>Tablar-zu-Klient-Einschränkung</w:t>
      </w:r>
      <w:r>
        <w:t xml:space="preserve"> (eigene Tablare), </w:t>
      </w:r>
      <w:r>
        <w:rPr>
          <w:b/>
        </w:rPr>
        <w:t>Homogenität</w:t>
      </w:r>
      <w:r>
        <w:t xml:space="preserve"> nach Klient (LM040), eigene Belege (</w:t>
      </w:r>
      <w:r>
        <w:rPr>
          <w:b/>
        </w:rPr>
        <w:t>RM010</w:t>
      </w:r>
      <w:r>
        <w:t>), eigene Nummernkreise (</w:t>
      </w:r>
      <w:r>
        <w:rPr>
          <w:b/>
        </w:rPr>
        <w:t>MD027</w:t>
      </w:r>
      <w:r>
        <w:t>).</w:t>
      </w:r>
    </w:p>
    <w:p>
      <w:pPr>
        <w:tabs>
          <w:tab w:pos="425" w:val="left"/>
        </w:tabs>
        <w:spacing w:after="60"/>
        <w:ind w:left="425" w:hanging="425"/>
      </w:pPr>
      <w:r>
        <w:rPr>
          <w:b/>
        </w:rPr>
        <w:t>5.</w:t>
        <w:tab/>
      </w:r>
      <w:r>
        <w:t>Benutzer: Standard-Klient in den Benutzereinstellungen setzen.</w:t>
      </w:r>
    </w:p>
    <w:p>
      <w:pPr>
        <w:tabs>
          <w:tab w:pos="425" w:val="left"/>
        </w:tabs>
        <w:spacing w:after="60"/>
        <w:ind w:left="425" w:hanging="425"/>
      </w:pPr>
      <w:r>
        <w:rPr>
          <w:b/>
        </w:rPr>
        <w:t>6.</w:t>
        <w:tab/>
      </w:r>
      <w:r>
        <w:t xml:space="preserve">Regel für die Bedienung: am Touch immer den Artikel </w:t>
      </w:r>
      <w:r>
        <w:rPr>
          <w:b/>
        </w:rPr>
        <w:t>des richtigen Klienten</w:t>
      </w:r>
      <w:r>
        <w:t xml:space="preserve"> wählen.</w:t>
      </w:r>
    </w:p>
    <w:p>
      <w:pPr>
        <w:keepNext/>
      </w:pPr>
      <w:r>
        <w:drawing>
          <wp:inline xmlns:a="http://schemas.openxmlformats.org/drawingml/2006/main" xmlns:pic="http://schemas.openxmlformats.org/drawingml/2006/picture">
            <wp:extent cx="5940000" cy="888661"/>
            <wp:docPr id="106" name="Picture 106"/>
            <wp:cNvGraphicFramePr>
              <a:graphicFrameLocks noChangeAspect="1"/>
            </wp:cNvGraphicFramePr>
            <a:graphic>
              <a:graphicData uri="http://schemas.openxmlformats.org/drawingml/2006/picture">
                <pic:pic>
                  <pic:nvPicPr>
                    <pic:cNvPr id="0" name="MD017_Klient_STUMATEC.png"/>
                    <pic:cNvPicPr/>
                  </pic:nvPicPr>
                  <pic:blipFill>
                    <a:blip r:embed="rId16"/>
                    <a:stretch>
                      <a:fillRect/>
                    </a:stretch>
                  </pic:blipFill>
                  <pic:spPr>
                    <a:xfrm>
                      <a:off x="0" y="0"/>
                      <a:ext cx="5940000" cy="888661"/>
                    </a:xfrm>
                    <a:prstGeom prst="rect"/>
                  </pic:spPr>
                </pic:pic>
              </a:graphicData>
            </a:graphic>
          </wp:inline>
        </w:drawing>
      </w:r>
    </w:p>
    <w:p>
      <w:pPr>
        <w:pStyle w:val="BeschriftungSSI"/>
      </w:pPr>
      <w:r>
        <w:t>Abb. 3: Klient pflegen (MD017) eines Testklienten – jede Registerkarte ist je Klient zu pflegen (SSI-Testsystem srv01, Testklient vom 20.10.2026)</w:t>
      </w:r>
    </w:p>
    <w:p>
      <w:pPr>
        <w:pStyle w:val="Heading2"/>
      </w:pPr>
      <w:r>
        <w:t>5.3 Auswirkungen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666"/>
        <w:gridCol w:w="7858"/>
      </w:tblGrid>
      <w:tr>
        <w:trPr>
          <w:tblHeader w:val="true"/>
          <w:cantSplit w:val="true"/>
        </w:trPr>
        <w:tc>
          <w:tcPr>
            <w:tcW w:type="dxa" w:w="1667"/>
            <w:shd w:val="clear" w:color="auto" w:fill="FEEE19"/>
          </w:tcPr>
          <w:p>
            <w:pPr>
              <w:spacing w:after="0"/>
            </w:pPr>
            <w:r>
              <w:rPr>
                <w:b/>
                <w:sz w:val="17"/>
              </w:rPr>
              <w:t>Bereich</w:t>
            </w:r>
          </w:p>
        </w:tc>
        <w:tc>
          <w:tcPr>
            <w:tcW w:type="dxa" w:w="7858"/>
            <w:shd w:val="clear" w:color="auto" w:fill="FEEE19"/>
          </w:tcPr>
          <w:p>
            <w:pPr>
              <w:spacing w:after="0"/>
            </w:pPr>
            <w:r>
              <w:rPr>
                <w:b/>
                <w:sz w:val="17"/>
              </w:rPr>
              <w:t>Auswirkung</w:t>
            </w:r>
          </w:p>
        </w:tc>
      </w:tr>
      <w:tr>
        <w:trPr>
          <w:cantSplit w:val="true"/>
        </w:trPr>
        <w:tc>
          <w:tcPr>
            <w:tcW w:type="dxa" w:w="1667"/>
          </w:tcPr>
          <w:p>
            <w:pPr>
              <w:spacing w:after="0" w:line="252" w:lineRule="auto"/>
            </w:pPr>
            <w:r>
              <w:rPr>
                <w:sz w:val="17"/>
              </w:rPr>
              <w:t>Stammdaten</w:t>
            </w:r>
          </w:p>
        </w:tc>
        <w:tc>
          <w:tcPr>
            <w:tcW w:type="dxa" w:w="7858"/>
          </w:tcPr>
          <w:p>
            <w:pPr>
              <w:spacing w:after="0" w:line="252" w:lineRule="auto"/>
            </w:pPr>
            <w:r>
              <w:rPr>
                <w:sz w:val="17"/>
              </w:rPr>
              <w:t xml:space="preserve">Artikel </w:t>
            </w:r>
            <w:r>
              <w:rPr>
                <w:b/>
                <w:sz w:val="17"/>
              </w:rPr>
              <w:t>je Klient doppelt</w:t>
            </w:r>
            <w:r>
              <w:rPr>
                <w:sz w:val="17"/>
              </w:rPr>
              <w:t>; Klientenkonfiguration doppelt [BELEGT]</w:t>
            </w:r>
          </w:p>
        </w:tc>
      </w:tr>
      <w:tr>
        <w:trPr>
          <w:cantSplit w:val="true"/>
        </w:trPr>
        <w:tc>
          <w:tcPr>
            <w:tcW w:type="dxa" w:w="1667"/>
          </w:tcPr>
          <w:p>
            <w:pPr>
              <w:spacing w:after="0" w:line="252" w:lineRule="auto"/>
            </w:pPr>
            <w:r>
              <w:rPr>
                <w:sz w:val="17"/>
              </w:rPr>
              <w:t>Bestand</w:t>
            </w:r>
          </w:p>
        </w:tc>
        <w:tc>
          <w:tcPr>
            <w:tcW w:type="dxa" w:w="7858"/>
          </w:tcPr>
          <w:p>
            <w:pPr>
              <w:spacing w:after="0" w:line="252" w:lineRule="auto"/>
            </w:pPr>
            <w:r>
              <w:rPr>
                <w:sz w:val="17"/>
              </w:rPr>
              <w:t>getrennt über den Klienten [BELEGT, Einlagerung 21.10.2026]</w:t>
            </w:r>
          </w:p>
        </w:tc>
      </w:tr>
      <w:tr>
        <w:trPr>
          <w:cantSplit w:val="true"/>
        </w:trPr>
        <w:tc>
          <w:tcPr>
            <w:tcW w:type="dxa" w:w="1667"/>
          </w:tcPr>
          <w:p>
            <w:pPr>
              <w:spacing w:after="0" w:line="252" w:lineRule="auto"/>
            </w:pPr>
            <w:r>
              <w:rPr>
                <w:sz w:val="17"/>
              </w:rPr>
              <w:t>Rechte / Benutzer</w:t>
            </w:r>
          </w:p>
        </w:tc>
        <w:tc>
          <w:tcPr>
            <w:tcW w:type="dxa" w:w="7858"/>
          </w:tcPr>
          <w:p>
            <w:pPr>
              <w:spacing w:after="0" w:line="252" w:lineRule="auto"/>
            </w:pPr>
            <w:r>
              <w:rPr>
                <w:sz w:val="17"/>
              </w:rPr>
              <w:t>Standard-Klient je Benutzer (Voreinstellung, keine Sperre); Einschränkung per Datenzugriffsprofil nicht dokumentiert (</w:t>
            </w:r>
            <w:r>
              <w:rPr>
                <w:b/>
                <w:sz w:val="17"/>
              </w:rPr>
              <w:t>zu verifizieren</w:t>
            </w:r>
            <w:r>
              <w:rPr>
                <w:sz w:val="17"/>
              </w:rPr>
              <w:t>)</w:t>
            </w:r>
          </w:p>
        </w:tc>
      </w:tr>
      <w:tr>
        <w:trPr>
          <w:cantSplit w:val="true"/>
        </w:trPr>
        <w:tc>
          <w:tcPr>
            <w:tcW w:type="dxa" w:w="1667"/>
          </w:tcPr>
          <w:p>
            <w:pPr>
              <w:spacing w:after="0" w:line="252" w:lineRule="auto"/>
            </w:pPr>
            <w:r>
              <w:rPr>
                <w:sz w:val="17"/>
              </w:rPr>
              <w:t>Schnittstellen / ERP</w:t>
            </w:r>
          </w:p>
        </w:tc>
        <w:tc>
          <w:tcPr>
            <w:tcW w:type="dxa" w:w="7858"/>
          </w:tcPr>
          <w:p>
            <w:pPr>
              <w:spacing w:after="0" w:line="252" w:lineRule="auto"/>
            </w:pPr>
            <w:r>
              <w:rPr>
                <w:rFonts w:ascii="Consolas" w:hAnsi="Consolas" w:cs="Consolas" w:eastAsia="Consolas"/>
                <w:sz w:val="15"/>
              </w:rPr>
              <w:t>clientId</w:t>
            </w:r>
            <w:r>
              <w:rPr>
                <w:sz w:val="17"/>
              </w:rPr>
              <w:t xml:space="preserve"> in jeder Satzart; ein HOST kann mehrere Klienten bedienen; Quittierungsfilter je Klient in MD096; ERP-Zuordnung für neue Klienten prüfen (</w:t>
            </w:r>
            <w:r>
              <w:rPr>
                <w:b/>
                <w:sz w:val="17"/>
              </w:rPr>
              <w:t>zu verifizieren</w:t>
            </w:r>
            <w:r>
              <w:rPr>
                <w:sz w:val="17"/>
              </w:rPr>
              <w:t>)</w:t>
            </w:r>
          </w:p>
        </w:tc>
      </w:tr>
      <w:tr>
        <w:trPr>
          <w:cantSplit w:val="true"/>
        </w:trPr>
        <w:tc>
          <w:tcPr>
            <w:tcW w:type="dxa" w:w="1667"/>
          </w:tcPr>
          <w:p>
            <w:pPr>
              <w:spacing w:after="0" w:line="252" w:lineRule="auto"/>
            </w:pPr>
            <w:r>
              <w:rPr>
                <w:sz w:val="17"/>
              </w:rPr>
              <w:t>Reporting / Belege</w:t>
            </w:r>
          </w:p>
        </w:tc>
        <w:tc>
          <w:tcPr>
            <w:tcW w:type="dxa" w:w="7858"/>
          </w:tcPr>
          <w:p>
            <w:pPr>
              <w:spacing w:after="0" w:line="252" w:lineRule="auto"/>
            </w:pPr>
            <w:r>
              <w:rPr>
                <w:sz w:val="17"/>
              </w:rPr>
              <w:t>Auswertung je Klient; eigene Beleg-Konfiguration je Klient in RM010 (gilt nicht beim manuellen Druck)</w:t>
            </w:r>
          </w:p>
        </w:tc>
      </w:tr>
      <w:tr>
        <w:trPr>
          <w:cantSplit w:val="true"/>
        </w:trPr>
        <w:tc>
          <w:tcPr>
            <w:tcW w:type="dxa" w:w="1667"/>
          </w:tcPr>
          <w:p>
            <w:pPr>
              <w:spacing w:after="0" w:line="252" w:lineRule="auto"/>
            </w:pPr>
            <w:r>
              <w:rPr>
                <w:sz w:val="17"/>
              </w:rPr>
              <w:t>Inventur</w:t>
            </w:r>
          </w:p>
        </w:tc>
        <w:tc>
          <w:tcPr>
            <w:tcW w:type="dxa" w:w="7858"/>
          </w:tcPr>
          <w:p>
            <w:pPr>
              <w:spacing w:after="0" w:line="252" w:lineRule="auto"/>
            </w:pPr>
            <w:r>
              <w:rPr>
                <w:sz w:val="17"/>
              </w:rPr>
              <w:t>Inventurbedarfstyp je Klient nötig; Inventur je Klient nicht getestet (</w:t>
            </w:r>
            <w:r>
              <w:rPr>
                <w:b/>
                <w:sz w:val="17"/>
              </w:rPr>
              <w:t>zu verifizieren</w:t>
            </w:r>
            <w:r>
              <w:rPr>
                <w:sz w:val="17"/>
              </w:rPr>
              <w:t>)</w:t>
            </w:r>
          </w:p>
        </w:tc>
      </w:tr>
      <w:tr>
        <w:trPr>
          <w:cantSplit w:val="true"/>
        </w:trPr>
        <w:tc>
          <w:tcPr>
            <w:tcW w:type="dxa" w:w="1667"/>
          </w:tcPr>
          <w:p>
            <w:pPr>
              <w:spacing w:after="0" w:line="252" w:lineRule="auto"/>
            </w:pPr>
            <w:r>
              <w:rPr>
                <w:sz w:val="17"/>
              </w:rPr>
              <w:t>Aufwand</w:t>
            </w:r>
          </w:p>
        </w:tc>
        <w:tc>
          <w:tcPr>
            <w:tcW w:type="dxa" w:w="7858"/>
          </w:tcPr>
          <w:p>
            <w:pPr>
              <w:spacing w:after="0" w:line="252" w:lineRule="auto"/>
            </w:pPr>
            <w:r>
              <w:rPr>
                <w:sz w:val="17"/>
              </w:rPr>
              <w:t>hoch: Einrichtung je Klient, jede Stammdatenänderung zweimal</w:t>
            </w:r>
          </w:p>
        </w:tc>
      </w:tr>
      <w:tr>
        <w:trPr>
          <w:cantSplit w:val="true"/>
        </w:trPr>
        <w:tc>
          <w:tcPr>
            <w:tcW w:type="dxa" w:w="1667"/>
          </w:tcPr>
          <w:p>
            <w:pPr>
              <w:spacing w:after="0" w:line="252" w:lineRule="auto"/>
            </w:pPr>
            <w:r>
              <w:rPr>
                <w:sz w:val="17"/>
              </w:rPr>
              <w:t>Spätere Änderbarkeit</w:t>
            </w:r>
          </w:p>
        </w:tc>
        <w:tc>
          <w:tcPr>
            <w:tcW w:type="dxa" w:w="7858"/>
          </w:tcPr>
          <w:p>
            <w:pPr>
              <w:spacing w:after="0" w:line="252" w:lineRule="auto"/>
            </w:pPr>
            <w:r>
              <w:rPr>
                <w:sz w:val="17"/>
              </w:rPr>
              <w:t>schwer: ob ein Klient mit Historie gelöscht werden kann, ist offen; Bestand zwischen Klienten umbuchen ist nicht dokumentiert (</w:t>
            </w:r>
            <w:r>
              <w:rPr>
                <w:b/>
                <w:sz w:val="17"/>
              </w:rPr>
              <w:t>zu verifizieren</w:t>
            </w:r>
            <w:r>
              <w:rPr>
                <w:sz w:val="17"/>
              </w:rPr>
              <w:t>)</w:t>
            </w:r>
          </w:p>
        </w:tc>
      </w:tr>
    </w:tbl>
    <w:p>
      <w:pPr>
        <w:pStyle w:val="BeschriftungSSI"/>
      </w:pPr>
      <w:r>
        <w:t>Tab. 5: Auswirkungen Variante A</w:t>
      </w:r>
    </w:p>
    <w:p>
      <w:pPr>
        <w:pStyle w:val="Heading2"/>
      </w:pPr>
      <w:r>
        <w:t>5.4 Vor- und Nachteile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193"/>
        <w:gridCol w:w="5331"/>
      </w:tblGrid>
      <w:tr>
        <w:trPr>
          <w:tblHeader w:val="true"/>
          <w:cantSplit w:val="true"/>
        </w:trPr>
        <w:tc>
          <w:tcPr>
            <w:tcW w:type="dxa" w:w="4193"/>
            <w:shd w:val="clear" w:color="auto" w:fill="FEEE19"/>
          </w:tcPr>
          <w:p>
            <w:pPr>
              <w:spacing w:after="0"/>
            </w:pPr>
            <w:r>
              <w:rPr>
                <w:b/>
                <w:sz w:val="17"/>
              </w:rPr>
              <w:t>Vorteile</w:t>
            </w:r>
          </w:p>
        </w:tc>
        <w:tc>
          <w:tcPr>
            <w:tcW w:type="dxa" w:w="5331"/>
            <w:shd w:val="clear" w:color="auto" w:fill="FEEE19"/>
          </w:tcPr>
          <w:p>
            <w:pPr>
              <w:spacing w:after="0"/>
            </w:pPr>
            <w:r>
              <w:rPr>
                <w:b/>
                <w:sz w:val="17"/>
              </w:rPr>
              <w:t>Nachteile</w:t>
            </w:r>
          </w:p>
        </w:tc>
      </w:tr>
      <w:tr>
        <w:trPr>
          <w:cantSplit w:val="true"/>
        </w:trPr>
        <w:tc>
          <w:tcPr>
            <w:tcW w:type="dxa" w:w="4193"/>
          </w:tcPr>
          <w:p>
            <w:pPr>
              <w:spacing w:after="0" w:line="252" w:lineRule="auto"/>
            </w:pPr>
            <w:r>
              <w:rPr>
                <w:sz w:val="17"/>
              </w:rPr>
              <w:t>stärkste Trennung von Stammdaten und Bestand</w:t>
            </w:r>
          </w:p>
        </w:tc>
        <w:tc>
          <w:tcPr>
            <w:tcW w:type="dxa" w:w="5331"/>
          </w:tcPr>
          <w:p>
            <w:pPr>
              <w:spacing w:after="0" w:line="252" w:lineRule="auto"/>
            </w:pPr>
            <w:r>
              <w:rPr>
                <w:sz w:val="17"/>
              </w:rPr>
              <w:t>„dieselben Artikel“ technisch nicht möglich: je Klient ein eigener Artikel</w:t>
            </w:r>
          </w:p>
        </w:tc>
      </w:tr>
      <w:tr>
        <w:trPr>
          <w:cantSplit w:val="true"/>
        </w:trPr>
        <w:tc>
          <w:tcPr>
            <w:tcW w:type="dxa" w:w="4193"/>
          </w:tcPr>
          <w:p>
            <w:pPr>
              <w:spacing w:after="0" w:line="252" w:lineRule="auto"/>
            </w:pPr>
            <w:r>
              <w:rPr>
                <w:sz w:val="17"/>
              </w:rPr>
              <w:t>eigene Tablare (Tablar-zu-Klient) und Homogenität nach Klient möglich</w:t>
            </w:r>
          </w:p>
        </w:tc>
        <w:tc>
          <w:tcPr>
            <w:tcW w:type="dxa" w:w="5331"/>
          </w:tcPr>
          <w:p>
            <w:pPr>
              <w:spacing w:after="0" w:line="252" w:lineRule="auto"/>
            </w:pPr>
            <w:r>
              <w:rPr>
                <w:sz w:val="17"/>
              </w:rPr>
              <w:t>doppelte Pflege, hoher Einrichtungsaufwand</w:t>
            </w:r>
          </w:p>
        </w:tc>
      </w:tr>
      <w:tr>
        <w:trPr>
          <w:cantSplit w:val="true"/>
        </w:trPr>
        <w:tc>
          <w:tcPr>
            <w:tcW w:type="dxa" w:w="4193"/>
          </w:tcPr>
          <w:p>
            <w:pPr>
              <w:spacing w:after="0" w:line="252" w:lineRule="auto"/>
            </w:pPr>
            <w:r>
              <w:rPr>
                <w:sz w:val="17"/>
              </w:rPr>
              <w:t>eigene Bedarfstypen, Buchungsschlüssel, Belege, Nummernkreise</w:t>
            </w:r>
          </w:p>
        </w:tc>
        <w:tc>
          <w:tcPr>
            <w:tcW w:type="dxa" w:w="5331"/>
          </w:tcPr>
          <w:p>
            <w:pPr>
              <w:spacing w:after="0" w:line="252" w:lineRule="auto"/>
            </w:pPr>
            <w:r>
              <w:rPr>
                <w:sz w:val="17"/>
              </w:rPr>
              <w:t>Blocker im Test: Warenausgangs-Auftragstyp nicht anlegbar (Auswahl Auslieferungstyp leer)</w:t>
            </w:r>
          </w:p>
        </w:tc>
      </w:tr>
      <w:tr>
        <w:trPr>
          <w:cantSplit w:val="true"/>
        </w:trPr>
        <w:tc>
          <w:tcPr>
            <w:tcW w:type="dxa" w:w="4193"/>
          </w:tcPr>
          <w:p>
            <w:pPr>
              <w:spacing w:after="0" w:line="252" w:lineRule="auto"/>
            </w:pPr>
            <w:r>
              <w:rPr>
                <w:sz w:val="17"/>
              </w:rPr>
              <w:t>Auswertung je Klient einfach</w:t>
            </w:r>
          </w:p>
        </w:tc>
        <w:tc>
          <w:tcPr>
            <w:tcW w:type="dxa" w:w="5331"/>
          </w:tcPr>
          <w:p>
            <w:pPr>
              <w:spacing w:after="0" w:line="252" w:lineRule="auto"/>
            </w:pPr>
            <w:r>
              <w:rPr>
                <w:sz w:val="17"/>
              </w:rPr>
              <w:t>Bediener müssen den richtigen Klienten-Artikel wählen</w:t>
            </w:r>
          </w:p>
        </w:tc>
      </w:tr>
    </w:tbl>
    <w:p>
      <w:pPr>
        <w:pStyle w:val="BeschriftungSSI"/>
      </w:pPr>
      <w:r>
        <w:t>Tab. 6: Vor- und Nachteile Variante A</w:t>
      </w:r>
    </w:p>
    <w:p>
      <w:pPr>
        <w:pStyle w:val="Quelle"/>
      </w:pPr>
      <w:r>
        <w:rPr>
          <w:b/>
        </w:rPr>
        <w:t xml:space="preserve">Quelle: </w:t>
      </w:r>
      <w:r>
        <w:rPr>
          <w:sz w:val="17"/>
        </w:rPr>
        <w:t>KP28 Kap. 3.4, 3.6, 8; KLP Kap. 3.3, 7 (in 2.8 zu prüfen); Testablauf Modelle 3/4; Klienten-Recherche F6–F8</w:t>
      </w:r>
    </w:p>
    <w:p>
      <w:pPr>
        <w:pStyle w:val="Heading1"/>
      </w:pPr>
      <w:r>
        <w:t>6 Variante B – ein Klient mit zwei Wareneigentümern</w:t>
      </w:r>
    </w:p>
    <w:p>
      <w:pPr>
        <w:pStyle w:val="Heading2"/>
      </w:pPr>
      <w:r>
        <w:t>6.1 Prinzip und Ablauf</w:t>
      </w:r>
    </w:p>
    <w:p>
      <w:r>
        <w:t xml:space="preserve">Es gibt nur einen Klienten und jeden Artikel nur einmal. Beide Firmen werden als </w:t>
      </w:r>
      <w:r>
        <w:rPr>
          <w:b/>
        </w:rPr>
        <w:t>Partner</w:t>
      </w:r>
      <w:r>
        <w:t xml:space="preserve"> angelegt und beim Klienten als </w:t>
      </w:r>
      <w:r>
        <w:rPr>
          <w:b/>
        </w:rPr>
        <w:t>Wareneigentümer</w:t>
      </w:r>
      <w:r>
        <w:t xml:space="preserve"> eingetragen. Der Wareneigentümer steht in jeder Bedarfszeile (Feld </w:t>
      </w:r>
      <w:r>
        <w:rPr>
          <w:rFonts w:ascii="Consolas" w:hAnsi="Consolas" w:cs="Consolas" w:eastAsia="Consolas"/>
          <w:sz w:val="18"/>
        </w:rPr>
        <w:t>gow</w:t>
      </w:r>
      <w:r>
        <w:t>) und wird im Bestand mitgeführt.</w:t>
      </w:r>
    </w:p>
    <w:p>
      <w:pPr>
        <w:keepNext/>
      </w:pPr>
      <w:r>
        <w:drawing>
          <wp:inline xmlns:a="http://schemas.openxmlformats.org/drawingml/2006/main" xmlns:pic="http://schemas.openxmlformats.org/drawingml/2006/picture">
            <wp:extent cx="5940000" cy="2322000"/>
            <wp:docPr id="107" name="Picture 107"/>
            <wp:cNvGraphicFramePr>
              <a:graphicFrameLocks noChangeAspect="1"/>
            </wp:cNvGraphicFramePr>
            <a:graphic>
              <a:graphicData uri="http://schemas.openxmlformats.org/drawingml/2006/picture">
                <pic:pic>
                  <pic:nvPicPr>
                    <pic:cNvPr id="0" name="fluss_B.png"/>
                    <pic:cNvPicPr/>
                  </pic:nvPicPr>
                  <pic:blipFill>
                    <a:blip r:embed="rId17"/>
                    <a:stretch>
                      <a:fillRect/>
                    </a:stretch>
                  </pic:blipFill>
                  <pic:spPr>
                    <a:xfrm>
                      <a:off x="0" y="0"/>
                      <a:ext cx="5940000" cy="2322000"/>
                    </a:xfrm>
                    <a:prstGeom prst="rect"/>
                  </pic:spPr>
                </pic:pic>
              </a:graphicData>
            </a:graphic>
          </wp:inline>
        </w:drawing>
      </w:r>
    </w:p>
    <w:p>
      <w:pPr>
        <w:pStyle w:val="BeschriftungSSI"/>
      </w:pPr>
      <w:r>
        <w:t>Abb. 4: Ablauf Variante B (Grafik SSI SCHÄFER)</w:t>
      </w:r>
    </w:p>
    <w:p>
      <w:pPr>
        <w:pStyle w:val="Heading2"/>
      </w:pPr>
      <w:r>
        <w:t>6.2 Nötige Regeln und Prozess</w:t>
      </w:r>
    </w:p>
    <w:p>
      <w:pPr>
        <w:tabs>
          <w:tab w:pos="425" w:val="left"/>
        </w:tabs>
        <w:spacing w:after="60"/>
        <w:ind w:left="425" w:hanging="425"/>
      </w:pPr>
      <w:r>
        <w:rPr>
          <w:b/>
        </w:rPr>
        <w:t>1.</w:t>
        <w:tab/>
      </w:r>
      <w:r>
        <w:t xml:space="preserve">Partner Firma 1 und Firma 2 in </w:t>
      </w:r>
      <w:r>
        <w:rPr>
          <w:b/>
        </w:rPr>
        <w:t>MD018</w:t>
      </w:r>
      <w:r>
        <w:t xml:space="preserve"> anlegen (Partner-IDs </w:t>
      </w:r>
      <w:r>
        <w:rPr>
          <w:b/>
        </w:rPr>
        <w:t>[auszufüllen]</w:t>
      </w:r>
      <w:r>
        <w:t xml:space="preserve">), danach in </w:t>
      </w:r>
      <w:r>
        <w:rPr>
          <w:b/>
        </w:rPr>
        <w:t>MD017</w:t>
      </w:r>
      <w:r>
        <w:t xml:space="preserve"> auf der Registerkarte </w:t>
      </w:r>
      <w:r>
        <w:rPr>
          <w:b/>
        </w:rPr>
        <w:t>Wareneigentümer</w:t>
      </w:r>
      <w:r>
        <w:t xml:space="preserve"> eintragen; einen als Standard markieren.</w:t>
      </w:r>
    </w:p>
    <w:p>
      <w:pPr>
        <w:tabs>
          <w:tab w:pos="425" w:val="left"/>
        </w:tabs>
        <w:spacing w:after="60"/>
        <w:ind w:left="425" w:hanging="425"/>
      </w:pPr>
      <w:r>
        <w:rPr>
          <w:b/>
        </w:rPr>
        <w:t>2.</w:t>
        <w:tab/>
      </w:r>
      <w:r>
        <w:rPr>
          <w:b/>
        </w:rPr>
        <w:t>Regel: Einlagern nur über Aufträge.</w:t>
      </w:r>
      <w:r>
        <w:t xml:space="preserve"> Jeder Einlagerauftrag (ERP oder Import, Satzart </w:t>
      </w:r>
      <w:r>
        <w:rPr>
          <w:rFonts w:ascii="Consolas" w:hAnsi="Consolas" w:cs="Consolas" w:eastAsia="Consolas"/>
          <w:sz w:val="18"/>
        </w:rPr>
        <w:t>WLSSD002</w:t>
      </w:r>
      <w:r>
        <w:t xml:space="preserve">) trägt je Zeile den Wareneigentümer </w:t>
      </w:r>
      <w:r>
        <w:rPr>
          <w:rFonts w:ascii="Consolas" w:hAnsi="Consolas" w:cs="Consolas" w:eastAsia="Consolas"/>
          <w:sz w:val="18"/>
        </w:rPr>
        <w:t>gow</w:t>
      </w:r>
      <w:r>
        <w:t xml:space="preserve"> (Dokument 04, Kapitel 8).</w:t>
      </w:r>
    </w:p>
    <w:p>
      <w:pPr>
        <w:tabs>
          <w:tab w:pos="425" w:val="left"/>
        </w:tabs>
        <w:spacing w:after="60"/>
        <w:ind w:left="425" w:hanging="425"/>
      </w:pPr>
      <w:r>
        <w:rPr>
          <w:b/>
        </w:rPr>
        <w:t>3.</w:t>
        <w:tab/>
      </w:r>
      <w:r>
        <w:t xml:space="preserve">Manuelles Einlagern am Touch nur nach Regel des Key-Users: Ein Wareneigentümer lässt sich dort </w:t>
      </w:r>
      <w:r>
        <w:rPr>
          <w:b/>
        </w:rPr>
        <w:t>nicht</w:t>
      </w:r>
      <w:r>
        <w:t xml:space="preserve"> wählen [BELEGT 22.10.2026]; der Bestand bekäme vermutlich den Standard-Eigentümer (</w:t>
      </w:r>
      <w:r>
        <w:rPr>
          <w:b/>
        </w:rPr>
        <w:t>zu verifizieren</w:t>
      </w:r>
      <w:r>
        <w:t>).</w:t>
      </w:r>
    </w:p>
    <w:p>
      <w:pPr>
        <w:tabs>
          <w:tab w:pos="425" w:val="left"/>
        </w:tabs>
        <w:spacing w:after="60"/>
        <w:ind w:left="425" w:hanging="425"/>
      </w:pPr>
      <w:r>
        <w:rPr>
          <w:b/>
        </w:rPr>
        <w:t>4.</w:t>
        <w:tab/>
      </w:r>
      <w:r>
        <w:t xml:space="preserve">Kommissionieraufträge tragen den Wareneigentümer je Zeile; ob die Reservierung nur Bestand dieses Eigentümers nimmt, ist </w:t>
      </w:r>
      <w:r>
        <w:rPr>
          <w:b/>
        </w:rPr>
        <w:t>zu verifizieren</w:t>
      </w:r>
      <w:r>
        <w:t>.</w:t>
      </w:r>
    </w:p>
    <w:p>
      <w:pPr>
        <w:tabs>
          <w:tab w:pos="425" w:val="left"/>
        </w:tabs>
        <w:spacing w:after="60"/>
        <w:ind w:left="425" w:hanging="425"/>
      </w:pPr>
      <w:r>
        <w:rPr>
          <w:b/>
        </w:rPr>
        <w:t>5.</w:t>
        <w:tab/>
      </w:r>
      <w:r>
        <w:t>Auswertung und Inventur je Wareneigentümer; Warenwert extern (Excel-Vorlage Menge × Preis).</w:t>
      </w:r>
    </w:p>
    <w:p>
      <w:pPr>
        <w:keepNext/>
      </w:pPr>
      <w:r>
        <w:drawing>
          <wp:inline xmlns:a="http://schemas.openxmlformats.org/drawingml/2006/main" xmlns:pic="http://schemas.openxmlformats.org/drawingml/2006/picture">
            <wp:extent cx="5400000" cy="3375000"/>
            <wp:docPr id="108" name="Picture 108"/>
            <wp:cNvGraphicFramePr>
              <a:graphicFrameLocks noChangeAspect="1"/>
            </wp:cNvGraphicFramePr>
            <a:graphic>
              <a:graphicData uri="http://schemas.openxmlformats.org/drawingml/2006/picture">
                <pic:pic>
                  <pic:nvPicPr>
                    <pic:cNvPr id="0" name="KLIENT_DEFAULT_MD017_Wareneigentuemer.png"/>
                    <pic:cNvPicPr/>
                  </pic:nvPicPr>
                  <pic:blipFill>
                    <a:blip r:embed="rId18"/>
                    <a:stretch>
                      <a:fillRect/>
                    </a:stretch>
                  </pic:blipFill>
                  <pic:spPr>
                    <a:xfrm>
                      <a:off x="0" y="0"/>
                      <a:ext cx="5400000" cy="3375000"/>
                    </a:xfrm>
                    <a:prstGeom prst="rect"/>
                  </pic:spPr>
                </pic:pic>
              </a:graphicData>
            </a:graphic>
          </wp:inline>
        </w:drawing>
      </w:r>
    </w:p>
    <w:p>
      <w:pPr>
        <w:pStyle w:val="BeschriftungSSI"/>
      </w:pPr>
      <w:r>
        <w:t>Abb. 5: Klient pflegen (MD017), Registerkarte Wareneigentümer mit Standard-Eigentümer (SSI-Testsystem) (SSI-Testsystem srv01, Stand vor Ergänzung der Testpartner)</w:t>
      </w:r>
    </w:p>
    <w:p>
      <w:pPr>
        <w:pStyle w:val="Heading2"/>
      </w:pPr>
      <w:r>
        <w:t>6.3 Auswirkungen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666"/>
        <w:gridCol w:w="7858"/>
      </w:tblGrid>
      <w:tr>
        <w:trPr>
          <w:tblHeader w:val="true"/>
          <w:cantSplit w:val="true"/>
        </w:trPr>
        <w:tc>
          <w:tcPr>
            <w:tcW w:type="dxa" w:w="1667"/>
            <w:shd w:val="clear" w:color="auto" w:fill="FEEE19"/>
          </w:tcPr>
          <w:p>
            <w:pPr>
              <w:spacing w:after="0"/>
            </w:pPr>
            <w:r>
              <w:rPr>
                <w:b/>
                <w:sz w:val="17"/>
              </w:rPr>
              <w:t>Bereich</w:t>
            </w:r>
          </w:p>
        </w:tc>
        <w:tc>
          <w:tcPr>
            <w:tcW w:type="dxa" w:w="7858"/>
            <w:shd w:val="clear" w:color="auto" w:fill="FEEE19"/>
          </w:tcPr>
          <w:p>
            <w:pPr>
              <w:spacing w:after="0"/>
            </w:pPr>
            <w:r>
              <w:rPr>
                <w:b/>
                <w:sz w:val="17"/>
              </w:rPr>
              <w:t>Auswirkung</w:t>
            </w:r>
          </w:p>
        </w:tc>
      </w:tr>
      <w:tr>
        <w:trPr>
          <w:cantSplit w:val="true"/>
        </w:trPr>
        <w:tc>
          <w:tcPr>
            <w:tcW w:type="dxa" w:w="1667"/>
          </w:tcPr>
          <w:p>
            <w:pPr>
              <w:spacing w:after="0" w:line="252" w:lineRule="auto"/>
            </w:pPr>
            <w:r>
              <w:rPr>
                <w:sz w:val="17"/>
              </w:rPr>
              <w:t>Stammdaten</w:t>
            </w:r>
          </w:p>
        </w:tc>
        <w:tc>
          <w:tcPr>
            <w:tcW w:type="dxa" w:w="7858"/>
          </w:tcPr>
          <w:p>
            <w:pPr>
              <w:spacing w:after="0" w:line="252" w:lineRule="auto"/>
            </w:pPr>
            <w:r>
              <w:rPr>
                <w:sz w:val="17"/>
              </w:rPr>
              <w:t>ein Artikelstamm; nur zwei Partner zusätzlich [BELEGT 22.10.2026]</w:t>
            </w:r>
          </w:p>
        </w:tc>
      </w:tr>
      <w:tr>
        <w:trPr>
          <w:cantSplit w:val="true"/>
        </w:trPr>
        <w:tc>
          <w:tcPr>
            <w:tcW w:type="dxa" w:w="1667"/>
          </w:tcPr>
          <w:p>
            <w:pPr>
              <w:spacing w:after="0" w:line="252" w:lineRule="auto"/>
            </w:pPr>
            <w:r>
              <w:rPr>
                <w:sz w:val="17"/>
              </w:rPr>
              <w:t>Bestand</w:t>
            </w:r>
          </w:p>
        </w:tc>
        <w:tc>
          <w:tcPr>
            <w:tcW w:type="dxa" w:w="7858"/>
          </w:tcPr>
          <w:p>
            <w:pPr>
              <w:spacing w:after="0" w:line="252" w:lineRule="auto"/>
            </w:pPr>
            <w:r>
              <w:rPr>
                <w:sz w:val="17"/>
              </w:rPr>
              <w:t xml:space="preserve">Wareneigentümer im Bestandsobjekt; Anzeige und Trennung je Eigentümer </w:t>
            </w:r>
            <w:r>
              <w:rPr>
                <w:b/>
                <w:sz w:val="17"/>
              </w:rPr>
              <w:t>zu verifizieren</w:t>
            </w:r>
          </w:p>
        </w:tc>
      </w:tr>
      <w:tr>
        <w:trPr>
          <w:cantSplit w:val="true"/>
        </w:trPr>
        <w:tc>
          <w:tcPr>
            <w:tcW w:type="dxa" w:w="1667"/>
          </w:tcPr>
          <w:p>
            <w:pPr>
              <w:spacing w:after="0" w:line="252" w:lineRule="auto"/>
            </w:pPr>
            <w:r>
              <w:rPr>
                <w:sz w:val="17"/>
              </w:rPr>
              <w:t>Rechte / Benutzer</w:t>
            </w:r>
          </w:p>
        </w:tc>
        <w:tc>
          <w:tcPr>
            <w:tcW w:type="dxa" w:w="7858"/>
          </w:tcPr>
          <w:p>
            <w:pPr>
              <w:spacing w:after="0" w:line="252" w:lineRule="auto"/>
            </w:pPr>
            <w:r>
              <w:rPr>
                <w:sz w:val="17"/>
              </w:rPr>
              <w:t>keine Einschränkung je Wareneigentümer dokumentiert</w:t>
            </w:r>
          </w:p>
        </w:tc>
      </w:tr>
      <w:tr>
        <w:trPr>
          <w:cantSplit w:val="true"/>
        </w:trPr>
        <w:tc>
          <w:tcPr>
            <w:tcW w:type="dxa" w:w="1667"/>
          </w:tcPr>
          <w:p>
            <w:pPr>
              <w:spacing w:after="0" w:line="252" w:lineRule="auto"/>
            </w:pPr>
            <w:r>
              <w:rPr>
                <w:sz w:val="17"/>
              </w:rPr>
              <w:t>Schnittstellen / ERP</w:t>
            </w:r>
          </w:p>
        </w:tc>
        <w:tc>
          <w:tcPr>
            <w:tcW w:type="dxa" w:w="7858"/>
          </w:tcPr>
          <w:p>
            <w:pPr>
              <w:spacing w:after="0" w:line="252" w:lineRule="auto"/>
            </w:pPr>
            <w:r>
              <w:rPr>
                <w:sz w:val="17"/>
              </w:rPr>
              <w:t xml:space="preserve">ERP muss </w:t>
            </w:r>
            <w:r>
              <w:rPr>
                <w:rFonts w:ascii="Consolas" w:hAnsi="Consolas" w:cs="Consolas" w:eastAsia="Consolas"/>
                <w:sz w:val="15"/>
              </w:rPr>
              <w:t>gow</w:t>
            </w:r>
            <w:r>
              <w:rPr>
                <w:sz w:val="17"/>
              </w:rPr>
              <w:t xml:space="preserve"> je Zeile senden; Quittierungsfilter je Wareneigentümer in MD096; Import getestet (InSPM 2016/2017 Fertiggestellt) [BELEGT 23.10.2026]</w:t>
            </w:r>
          </w:p>
        </w:tc>
      </w:tr>
      <w:tr>
        <w:trPr>
          <w:cantSplit w:val="true"/>
        </w:trPr>
        <w:tc>
          <w:tcPr>
            <w:tcW w:type="dxa" w:w="1667"/>
          </w:tcPr>
          <w:p>
            <w:pPr>
              <w:spacing w:after="0" w:line="252" w:lineRule="auto"/>
            </w:pPr>
            <w:r>
              <w:rPr>
                <w:sz w:val="17"/>
              </w:rPr>
              <w:t>Reporting / Belege</w:t>
            </w:r>
          </w:p>
        </w:tc>
        <w:tc>
          <w:tcPr>
            <w:tcW w:type="dxa" w:w="7858"/>
          </w:tcPr>
          <w:p>
            <w:pPr>
              <w:spacing w:after="0" w:line="252" w:lineRule="auto"/>
            </w:pPr>
            <w:r>
              <w:rPr>
                <w:sz w:val="17"/>
              </w:rPr>
              <w:t xml:space="preserve">Belege je Partner über RM010 möglich (gilt nicht beim manuellen Druck); Bestandsliste je Eigentümer </w:t>
            </w:r>
            <w:r>
              <w:rPr>
                <w:b/>
                <w:sz w:val="17"/>
              </w:rPr>
              <w:t>zu verifizieren</w:t>
            </w:r>
          </w:p>
        </w:tc>
      </w:tr>
      <w:tr>
        <w:trPr>
          <w:cantSplit w:val="true"/>
        </w:trPr>
        <w:tc>
          <w:tcPr>
            <w:tcW w:type="dxa" w:w="1667"/>
          </w:tcPr>
          <w:p>
            <w:pPr>
              <w:spacing w:after="0" w:line="252" w:lineRule="auto"/>
            </w:pPr>
            <w:r>
              <w:rPr>
                <w:sz w:val="17"/>
              </w:rPr>
              <w:t>Inventur</w:t>
            </w:r>
          </w:p>
        </w:tc>
        <w:tc>
          <w:tcPr>
            <w:tcW w:type="dxa" w:w="7858"/>
          </w:tcPr>
          <w:p>
            <w:pPr>
              <w:spacing w:after="0" w:line="252" w:lineRule="auto"/>
            </w:pPr>
            <w:r>
              <w:rPr>
                <w:sz w:val="17"/>
              </w:rPr>
              <w:t xml:space="preserve">Differenzen werden je Klient, Artikel, Variante, Verpackungsversion, </w:t>
            </w:r>
            <w:r>
              <w:rPr>
                <w:b/>
                <w:sz w:val="17"/>
              </w:rPr>
              <w:t>Wareneigentümer</w:t>
            </w:r>
            <w:r>
              <w:rPr>
                <w:sz w:val="17"/>
              </w:rPr>
              <w:t xml:space="preserve"> und Bestandsklassifizierung zusammengefasst (in 2.8 zu prüfen); Inventur je Eigentümer nicht getestet</w:t>
            </w:r>
          </w:p>
        </w:tc>
      </w:tr>
      <w:tr>
        <w:trPr>
          <w:cantSplit w:val="true"/>
        </w:trPr>
        <w:tc>
          <w:tcPr>
            <w:tcW w:type="dxa" w:w="1667"/>
          </w:tcPr>
          <w:p>
            <w:pPr>
              <w:spacing w:after="0" w:line="252" w:lineRule="auto"/>
            </w:pPr>
            <w:r>
              <w:rPr>
                <w:sz w:val="17"/>
              </w:rPr>
              <w:t>Aufwand</w:t>
            </w:r>
          </w:p>
        </w:tc>
        <w:tc>
          <w:tcPr>
            <w:tcW w:type="dxa" w:w="7858"/>
          </w:tcPr>
          <w:p>
            <w:pPr>
              <w:spacing w:after="0" w:line="252" w:lineRule="auto"/>
            </w:pPr>
            <w:r>
              <w:rPr>
                <w:sz w:val="17"/>
              </w:rPr>
              <w:t>gering</w:t>
            </w:r>
          </w:p>
        </w:tc>
      </w:tr>
      <w:tr>
        <w:trPr>
          <w:cantSplit w:val="true"/>
        </w:trPr>
        <w:tc>
          <w:tcPr>
            <w:tcW w:type="dxa" w:w="1667"/>
          </w:tcPr>
          <w:p>
            <w:pPr>
              <w:spacing w:after="0" w:line="252" w:lineRule="auto"/>
            </w:pPr>
            <w:r>
              <w:rPr>
                <w:sz w:val="17"/>
              </w:rPr>
              <w:t>Spätere Änderbarkeit</w:t>
            </w:r>
          </w:p>
        </w:tc>
        <w:tc>
          <w:tcPr>
            <w:tcW w:type="dxa" w:w="7858"/>
          </w:tcPr>
          <w:p>
            <w:pPr>
              <w:spacing w:after="0" w:line="252" w:lineRule="auto"/>
            </w:pPr>
            <w:r>
              <w:rPr>
                <w:sz w:val="17"/>
              </w:rPr>
              <w:t xml:space="preserve">Ausbau zu Variante A später möglich, aber aufwendig (neue Klienten, Artikel neu, Bestand umbuchen; </w:t>
            </w:r>
            <w:r>
              <w:rPr>
                <w:b/>
                <w:sz w:val="17"/>
              </w:rPr>
              <w:t>zu verifizieren</w:t>
            </w:r>
            <w:r>
              <w:rPr>
                <w:sz w:val="17"/>
              </w:rPr>
              <w:t>)</w:t>
            </w:r>
          </w:p>
        </w:tc>
      </w:tr>
    </w:tbl>
    <w:p>
      <w:pPr>
        <w:pStyle w:val="BeschriftungSSI"/>
      </w:pPr>
      <w:r>
        <w:t>Tab. 7: Auswirkungen Variante B</w:t>
      </w:r>
    </w:p>
    <w:p>
      <w:pPr>
        <w:pStyle w:val="Heading2"/>
      </w:pPr>
      <w:r>
        <w:t>6.4 Vor- und Nachteile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317"/>
        <w:gridCol w:w="5208"/>
      </w:tblGrid>
      <w:tr>
        <w:trPr>
          <w:tblHeader w:val="true"/>
          <w:cantSplit w:val="true"/>
        </w:trPr>
        <w:tc>
          <w:tcPr>
            <w:tcW w:type="dxa" w:w="4317"/>
            <w:shd w:val="clear" w:color="auto" w:fill="FEEE19"/>
          </w:tcPr>
          <w:p>
            <w:pPr>
              <w:spacing w:after="0"/>
            </w:pPr>
            <w:r>
              <w:rPr>
                <w:b/>
                <w:sz w:val="17"/>
              </w:rPr>
              <w:t>Vorteile</w:t>
            </w:r>
          </w:p>
        </w:tc>
        <w:tc>
          <w:tcPr>
            <w:tcW w:type="dxa" w:w="5208"/>
            <w:shd w:val="clear" w:color="auto" w:fill="FEEE19"/>
          </w:tcPr>
          <w:p>
            <w:pPr>
              <w:spacing w:after="0"/>
            </w:pPr>
            <w:r>
              <w:rPr>
                <w:b/>
                <w:sz w:val="17"/>
              </w:rPr>
              <w:t>Nachteile</w:t>
            </w:r>
          </w:p>
        </w:tc>
      </w:tr>
      <w:tr>
        <w:trPr>
          <w:cantSplit w:val="true"/>
        </w:trPr>
        <w:tc>
          <w:tcPr>
            <w:tcW w:type="dxa" w:w="4317"/>
          </w:tcPr>
          <w:p>
            <w:pPr>
              <w:spacing w:after="0" w:line="252" w:lineRule="auto"/>
            </w:pPr>
            <w:r>
              <w:rPr>
                <w:sz w:val="17"/>
              </w:rPr>
              <w:t>erfüllt „dieselben Artikel im selben Lager“</w:t>
            </w:r>
          </w:p>
        </w:tc>
        <w:tc>
          <w:tcPr>
            <w:tcW w:type="dxa" w:w="5208"/>
          </w:tcPr>
          <w:p>
            <w:pPr>
              <w:spacing w:after="0" w:line="252" w:lineRule="auto"/>
            </w:pPr>
            <w:r>
              <w:rPr>
                <w:sz w:val="17"/>
              </w:rPr>
              <w:t>manuelles Einlagern am Touch ohne Wareneigentümer</w:t>
            </w:r>
          </w:p>
        </w:tc>
      </w:tr>
      <w:tr>
        <w:trPr>
          <w:cantSplit w:val="true"/>
        </w:trPr>
        <w:tc>
          <w:tcPr>
            <w:tcW w:type="dxa" w:w="4317"/>
          </w:tcPr>
          <w:p>
            <w:pPr>
              <w:spacing w:after="0" w:line="252" w:lineRule="auto"/>
            </w:pPr>
            <w:r>
              <w:rPr>
                <w:sz w:val="17"/>
              </w:rPr>
              <w:t>kleinster Einrichtungs- und Pflegeaufwand</w:t>
            </w:r>
          </w:p>
        </w:tc>
        <w:tc>
          <w:tcPr>
            <w:tcW w:type="dxa" w:w="5208"/>
          </w:tcPr>
          <w:p>
            <w:pPr>
              <w:spacing w:after="0" w:line="252" w:lineRule="auto"/>
            </w:pPr>
            <w:r>
              <w:rPr>
                <w:sz w:val="17"/>
              </w:rPr>
              <w:t>keine eigenen Tablare je Firma (Tablar-zu-Klient gibt es nicht je Eigentümer)</w:t>
            </w:r>
          </w:p>
        </w:tc>
      </w:tr>
      <w:tr>
        <w:trPr>
          <w:cantSplit w:val="true"/>
        </w:trPr>
        <w:tc>
          <w:tcPr>
            <w:tcW w:type="dxa" w:w="4317"/>
          </w:tcPr>
          <w:p>
            <w:pPr>
              <w:spacing w:after="0" w:line="252" w:lineRule="auto"/>
            </w:pPr>
            <w:r>
              <w:rPr>
                <w:sz w:val="17"/>
              </w:rPr>
              <w:t>ein Artikelstamm, ein Satz Bedarfstypen und Buchungsschlüssel</w:t>
            </w:r>
          </w:p>
        </w:tc>
        <w:tc>
          <w:tcPr>
            <w:tcW w:type="dxa" w:w="5208"/>
          </w:tcPr>
          <w:p>
            <w:pPr>
              <w:spacing w:after="0" w:line="252" w:lineRule="auto"/>
            </w:pPr>
            <w:r>
              <w:rPr>
                <w:sz w:val="17"/>
              </w:rPr>
              <w:t>keine Rechte je Firma</w:t>
            </w:r>
          </w:p>
        </w:tc>
      </w:tr>
      <w:tr>
        <w:trPr>
          <w:cantSplit w:val="true"/>
        </w:trPr>
        <w:tc>
          <w:tcPr>
            <w:tcW w:type="dxa" w:w="4317"/>
          </w:tcPr>
          <w:p>
            <w:pPr>
              <w:spacing w:after="0" w:line="252" w:lineRule="auto"/>
            </w:pPr>
            <w:r>
              <w:rPr>
                <w:sz w:val="17"/>
              </w:rPr>
              <w:t xml:space="preserve">ERP-Schnittstelle mit </w:t>
            </w:r>
            <w:r>
              <w:rPr>
                <w:rFonts w:ascii="Consolas" w:hAnsi="Consolas" w:cs="Consolas" w:eastAsia="Consolas"/>
                <w:sz w:val="15"/>
              </w:rPr>
              <w:t>gow</w:t>
            </w:r>
            <w:r>
              <w:rPr>
                <w:sz w:val="17"/>
              </w:rPr>
              <w:t xml:space="preserve"> vorgesehen</w:t>
            </w:r>
          </w:p>
        </w:tc>
        <w:tc>
          <w:tcPr>
            <w:tcW w:type="dxa" w:w="5208"/>
          </w:tcPr>
          <w:p>
            <w:pPr>
              <w:spacing w:after="0" w:line="252" w:lineRule="auto"/>
            </w:pPr>
            <w:r>
              <w:rPr>
                <w:sz w:val="17"/>
              </w:rPr>
              <w:t>Bestand, Reservierung und Inventur je Eigentümer noch nicht nachgewiesen</w:t>
            </w:r>
          </w:p>
        </w:tc>
      </w:tr>
    </w:tbl>
    <w:p>
      <w:pPr>
        <w:pStyle w:val="BeschriftungSSI"/>
      </w:pPr>
      <w:r>
        <w:t>Tab. 8: Vor- und Nachteile Variante B</w:t>
      </w:r>
    </w:p>
    <w:p>
      <w:pPr>
        <w:pStyle w:val="Quelle"/>
      </w:pPr>
      <w:r>
        <w:rPr>
          <w:b/>
        </w:rPr>
        <w:t xml:space="preserve">Quelle: </w:t>
      </w:r>
      <w:r>
        <w:rPr>
          <w:sz w:val="17"/>
        </w:rPr>
        <w:t>KLP Kap. 2.3, 3.2, 3.3, 6.4 (in 2.8 zu prüfen); KP28 Kap. 3.6; TG28 Kap. 5, 8; Testablauf Modelle 3/4; Befund 22.10.2026</w:t>
      </w:r>
    </w:p>
    <w:p>
      <w:pPr>
        <w:pStyle w:val="Heading1"/>
      </w:pPr>
      <w:r>
        <w:t>7 Variante C – weitere Möglichkeiten</w:t>
      </w:r>
    </w:p>
    <w:p>
      <w:pPr>
        <w:pStyle w:val="Heading2"/>
      </w:pPr>
      <w:r>
        <w:t>7.1 Trennung über den Artikelstamm (C1–C3)</w:t>
      </w:r>
    </w:p>
    <w:p>
      <w:pPr>
        <w:keepNext/>
      </w:pPr>
      <w:r>
        <w:drawing>
          <wp:inline xmlns:a="http://schemas.openxmlformats.org/drawingml/2006/main" xmlns:pic="http://schemas.openxmlformats.org/drawingml/2006/picture">
            <wp:extent cx="5940000" cy="2322000"/>
            <wp:docPr id="109" name="Picture 109"/>
            <wp:cNvGraphicFramePr>
              <a:graphicFrameLocks noChangeAspect="1"/>
            </wp:cNvGraphicFramePr>
            <a:graphic>
              <a:graphicData uri="http://schemas.openxmlformats.org/drawingml/2006/picture">
                <pic:pic>
                  <pic:nvPicPr>
                    <pic:cNvPr id="0" name="fluss_C.png"/>
                    <pic:cNvPicPr/>
                  </pic:nvPicPr>
                  <pic:blipFill>
                    <a:blip r:embed="rId19"/>
                    <a:stretch>
                      <a:fillRect/>
                    </a:stretch>
                  </pic:blipFill>
                  <pic:spPr>
                    <a:xfrm>
                      <a:off x="0" y="0"/>
                      <a:ext cx="5940000" cy="2322000"/>
                    </a:xfrm>
                    <a:prstGeom prst="rect"/>
                  </pic:spPr>
                </pic:pic>
              </a:graphicData>
            </a:graphic>
          </wp:inline>
        </w:drawing>
      </w:r>
    </w:p>
    <w:p>
      <w:pPr>
        <w:pStyle w:val="BeschriftungSSI"/>
      </w:pPr>
      <w:r>
        <w:t>Abb. 6: Ablauf Varianten C1 bis C3 (Grafik SSI SCHÄFER)</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457"/>
        <w:gridCol w:w="2480"/>
        <w:gridCol w:w="2858"/>
        <w:gridCol w:w="2729"/>
      </w:tblGrid>
      <w:tr>
        <w:trPr>
          <w:tblHeader w:val="true"/>
          <w:cantSplit w:val="true"/>
        </w:trPr>
        <w:tc>
          <w:tcPr>
            <w:tcW w:type="dxa" w:w="1457"/>
            <w:shd w:val="clear" w:color="auto" w:fill="FEEE19"/>
          </w:tcPr>
          <w:p>
            <w:pPr>
              <w:spacing w:after="0"/>
            </w:pPr>
            <w:r>
              <w:rPr>
                <w:b/>
                <w:sz w:val="17"/>
              </w:rPr>
            </w:r>
          </w:p>
        </w:tc>
        <w:tc>
          <w:tcPr>
            <w:tcW w:type="dxa" w:w="2480"/>
            <w:shd w:val="clear" w:color="auto" w:fill="FEEE19"/>
          </w:tcPr>
          <w:p>
            <w:pPr>
              <w:spacing w:after="0"/>
            </w:pPr>
            <w:r>
              <w:rPr>
                <w:b/>
                <w:sz w:val="17"/>
              </w:rPr>
              <w:t>C1 Variante je Firma</w:t>
            </w:r>
          </w:p>
        </w:tc>
        <w:tc>
          <w:tcPr>
            <w:tcW w:type="dxa" w:w="2858"/>
            <w:shd w:val="clear" w:color="auto" w:fill="FEEE19"/>
          </w:tcPr>
          <w:p>
            <w:pPr>
              <w:spacing w:after="0"/>
            </w:pPr>
            <w:r>
              <w:rPr>
                <w:b/>
                <w:sz w:val="17"/>
              </w:rPr>
              <w:t>C2 Warengruppe je Firma</w:t>
            </w:r>
          </w:p>
        </w:tc>
        <w:tc>
          <w:tcPr>
            <w:tcW w:type="dxa" w:w="2729"/>
            <w:shd w:val="clear" w:color="auto" w:fill="FEEE19"/>
          </w:tcPr>
          <w:p>
            <w:pPr>
              <w:spacing w:after="0"/>
            </w:pPr>
            <w:r>
              <w:rPr>
                <w:b/>
                <w:sz w:val="17"/>
              </w:rPr>
              <w:t>C3 Artikel-Präfix</w:t>
            </w:r>
          </w:p>
        </w:tc>
      </w:tr>
      <w:tr>
        <w:trPr>
          <w:cantSplit w:val="true"/>
        </w:trPr>
        <w:tc>
          <w:tcPr>
            <w:tcW w:type="dxa" w:w="1457"/>
          </w:tcPr>
          <w:p>
            <w:pPr>
              <w:spacing w:after="0" w:line="252" w:lineRule="auto"/>
            </w:pPr>
            <w:r>
              <w:rPr>
                <w:sz w:val="17"/>
              </w:rPr>
              <w:t>Prinzip</w:t>
            </w:r>
          </w:p>
        </w:tc>
        <w:tc>
          <w:tcPr>
            <w:tcW w:type="dxa" w:w="2480"/>
          </w:tcPr>
          <w:p>
            <w:pPr>
              <w:spacing w:after="0" w:line="252" w:lineRule="auto"/>
            </w:pPr>
            <w:r>
              <w:rPr>
                <w:rFonts w:ascii="Consolas" w:hAnsi="Consolas" w:cs="Consolas" w:eastAsia="Consolas"/>
                <w:sz w:val="15"/>
              </w:rPr>
              <w:t>4711</w:t>
            </w:r>
            <w:r>
              <w:rPr>
                <w:sz w:val="17"/>
              </w:rPr>
              <w:t xml:space="preserve"> / </w:t>
            </w:r>
            <w:r>
              <w:rPr>
                <w:rFonts w:ascii="Consolas" w:hAnsi="Consolas" w:cs="Consolas" w:eastAsia="Consolas"/>
                <w:sz w:val="15"/>
              </w:rPr>
              <w:t>00001</w:t>
            </w:r>
            <w:r>
              <w:rPr>
                <w:sz w:val="17"/>
              </w:rPr>
              <w:t xml:space="preserve"> = Firma 1, </w:t>
            </w:r>
            <w:r>
              <w:rPr>
                <w:rFonts w:ascii="Consolas" w:hAnsi="Consolas" w:cs="Consolas" w:eastAsia="Consolas"/>
                <w:sz w:val="15"/>
              </w:rPr>
              <w:t>4711</w:t>
            </w:r>
            <w:r>
              <w:rPr>
                <w:sz w:val="17"/>
              </w:rPr>
              <w:t xml:space="preserve"> / </w:t>
            </w:r>
            <w:r>
              <w:rPr>
                <w:rFonts w:ascii="Consolas" w:hAnsi="Consolas" w:cs="Consolas" w:eastAsia="Consolas"/>
                <w:sz w:val="15"/>
              </w:rPr>
              <w:t>00002</w:t>
            </w:r>
            <w:r>
              <w:rPr>
                <w:sz w:val="17"/>
              </w:rPr>
              <w:t xml:space="preserve"> = Firma 2</w:t>
            </w:r>
          </w:p>
        </w:tc>
        <w:tc>
          <w:tcPr>
            <w:tcW w:type="dxa" w:w="2858"/>
          </w:tcPr>
          <w:p>
            <w:pPr>
              <w:spacing w:after="0" w:line="252" w:lineRule="auto"/>
            </w:pPr>
            <w:r>
              <w:rPr>
                <w:sz w:val="17"/>
              </w:rPr>
              <w:t>Artikel je Firma in eigener Warengruppe</w:t>
            </w:r>
          </w:p>
        </w:tc>
        <w:tc>
          <w:tcPr>
            <w:tcW w:type="dxa" w:w="2729"/>
          </w:tcPr>
          <w:p>
            <w:pPr>
              <w:spacing w:after="0" w:line="252" w:lineRule="auto"/>
            </w:pPr>
            <w:r>
              <w:rPr>
                <w:rFonts w:ascii="Consolas" w:hAnsi="Consolas" w:cs="Consolas" w:eastAsia="Consolas"/>
                <w:sz w:val="15"/>
              </w:rPr>
              <w:t>S1-4711</w:t>
            </w:r>
            <w:r>
              <w:rPr>
                <w:sz w:val="17"/>
              </w:rPr>
              <w:t xml:space="preserve"> und </w:t>
            </w:r>
            <w:r>
              <w:rPr>
                <w:rFonts w:ascii="Consolas" w:hAnsi="Consolas" w:cs="Consolas" w:eastAsia="Consolas"/>
                <w:sz w:val="15"/>
              </w:rPr>
              <w:t>S2-4711</w:t>
            </w:r>
          </w:p>
        </w:tc>
      </w:tr>
      <w:tr>
        <w:trPr>
          <w:cantSplit w:val="true"/>
        </w:trPr>
        <w:tc>
          <w:tcPr>
            <w:tcW w:type="dxa" w:w="1457"/>
          </w:tcPr>
          <w:p>
            <w:pPr>
              <w:spacing w:after="0" w:line="252" w:lineRule="auto"/>
            </w:pPr>
            <w:r>
              <w:rPr>
                <w:sz w:val="17"/>
              </w:rPr>
              <w:t>Dieselben Artikel</w:t>
            </w:r>
          </w:p>
        </w:tc>
        <w:tc>
          <w:tcPr>
            <w:tcW w:type="dxa" w:w="2480"/>
          </w:tcPr>
          <w:p>
            <w:pPr>
              <w:spacing w:after="0" w:line="252" w:lineRule="auto"/>
            </w:pPr>
            <w:r>
              <w:rPr>
                <w:sz w:val="17"/>
              </w:rPr>
              <w:t>nein, technisch zwei Artikel</w:t>
            </w:r>
          </w:p>
        </w:tc>
        <w:tc>
          <w:tcPr>
            <w:tcW w:type="dxa" w:w="2858"/>
          </w:tcPr>
          <w:p>
            <w:pPr>
              <w:spacing w:after="0" w:line="252" w:lineRule="auto"/>
            </w:pPr>
            <w:r>
              <w:rPr>
                <w:sz w:val="17"/>
              </w:rPr>
              <w:t>nein, Warengruppe hängt am Artikel, nicht am Bestand</w:t>
            </w:r>
          </w:p>
        </w:tc>
        <w:tc>
          <w:tcPr>
            <w:tcW w:type="dxa" w:w="2729"/>
          </w:tcPr>
          <w:p>
            <w:pPr>
              <w:spacing w:after="0" w:line="252" w:lineRule="auto"/>
            </w:pPr>
            <w:r>
              <w:rPr>
                <w:sz w:val="17"/>
              </w:rPr>
              <w:t>nein, zwei Nummern</w:t>
            </w:r>
          </w:p>
        </w:tc>
      </w:tr>
      <w:tr>
        <w:trPr>
          <w:cantSplit w:val="true"/>
        </w:trPr>
        <w:tc>
          <w:tcPr>
            <w:tcW w:type="dxa" w:w="1457"/>
          </w:tcPr>
          <w:p>
            <w:pPr>
              <w:spacing w:after="0" w:line="252" w:lineRule="auto"/>
            </w:pPr>
            <w:r>
              <w:rPr>
                <w:sz w:val="17"/>
              </w:rPr>
              <w:t>Bestand je Firma</w:t>
            </w:r>
          </w:p>
        </w:tc>
        <w:tc>
          <w:tcPr>
            <w:tcW w:type="dxa" w:w="2480"/>
          </w:tcPr>
          <w:p>
            <w:pPr>
              <w:spacing w:after="0" w:line="252" w:lineRule="auto"/>
            </w:pPr>
            <w:r>
              <w:rPr>
                <w:sz w:val="17"/>
              </w:rPr>
              <w:t>über Variante</w:t>
            </w:r>
          </w:p>
        </w:tc>
        <w:tc>
          <w:tcPr>
            <w:tcW w:type="dxa" w:w="2858"/>
          </w:tcPr>
          <w:p>
            <w:pPr>
              <w:spacing w:after="0" w:line="252" w:lineRule="auto"/>
            </w:pPr>
            <w:r>
              <w:rPr>
                <w:sz w:val="17"/>
              </w:rPr>
              <w:t>nur wenn Artikel doppelt angelegt</w:t>
            </w:r>
          </w:p>
        </w:tc>
        <w:tc>
          <w:tcPr>
            <w:tcW w:type="dxa" w:w="2729"/>
          </w:tcPr>
          <w:p>
            <w:pPr>
              <w:spacing w:after="0" w:line="252" w:lineRule="auto"/>
            </w:pPr>
            <w:r>
              <w:rPr>
                <w:sz w:val="17"/>
              </w:rPr>
              <w:t xml:space="preserve">über Nummer bzw. Filter </w:t>
            </w:r>
            <w:r>
              <w:rPr>
                <w:rFonts w:ascii="Consolas" w:hAnsi="Consolas" w:cs="Consolas" w:eastAsia="Consolas"/>
                <w:sz w:val="15"/>
              </w:rPr>
              <w:t>S1-*</w:t>
            </w:r>
          </w:p>
        </w:tc>
      </w:tr>
      <w:tr>
        <w:trPr>
          <w:cantSplit w:val="true"/>
        </w:trPr>
        <w:tc>
          <w:tcPr>
            <w:tcW w:type="dxa" w:w="1457"/>
          </w:tcPr>
          <w:p>
            <w:pPr>
              <w:spacing w:after="0" w:line="252" w:lineRule="auto"/>
            </w:pPr>
            <w:r>
              <w:rPr>
                <w:sz w:val="17"/>
              </w:rPr>
              <w:t>Touch</w:t>
            </w:r>
          </w:p>
        </w:tc>
        <w:tc>
          <w:tcPr>
            <w:tcW w:type="dxa" w:w="2480"/>
          </w:tcPr>
          <w:p>
            <w:pPr>
              <w:spacing w:after="0" w:line="252" w:lineRule="auto"/>
            </w:pPr>
            <w:r>
              <w:rPr>
                <w:sz w:val="17"/>
              </w:rPr>
              <w:t>Variante muss gewählt werden</w:t>
            </w:r>
          </w:p>
        </w:tc>
        <w:tc>
          <w:tcPr>
            <w:tcW w:type="dxa" w:w="2858"/>
          </w:tcPr>
          <w:p>
            <w:pPr>
              <w:spacing w:after="0" w:line="252" w:lineRule="auto"/>
            </w:pPr>
            <w:r>
              <w:rPr>
                <w:sz w:val="17"/>
              </w:rPr>
              <w:t>wie heute</w:t>
            </w:r>
          </w:p>
        </w:tc>
        <w:tc>
          <w:tcPr>
            <w:tcW w:type="dxa" w:w="2729"/>
          </w:tcPr>
          <w:p>
            <w:pPr>
              <w:spacing w:after="0" w:line="252" w:lineRule="auto"/>
            </w:pPr>
            <w:r>
              <w:rPr>
                <w:sz w:val="17"/>
              </w:rPr>
              <w:t>Nummer der Firma wählen</w:t>
            </w:r>
          </w:p>
        </w:tc>
      </w:tr>
      <w:tr>
        <w:trPr>
          <w:cantSplit w:val="true"/>
        </w:trPr>
        <w:tc>
          <w:tcPr>
            <w:tcW w:type="dxa" w:w="1457"/>
          </w:tcPr>
          <w:p>
            <w:pPr>
              <w:spacing w:after="0" w:line="252" w:lineRule="auto"/>
            </w:pPr>
            <w:r>
              <w:rPr>
                <w:sz w:val="17"/>
              </w:rPr>
              <w:t>ERP</w:t>
            </w:r>
          </w:p>
        </w:tc>
        <w:tc>
          <w:tcPr>
            <w:tcW w:type="dxa" w:w="2480"/>
          </w:tcPr>
          <w:p>
            <w:pPr>
              <w:spacing w:after="0" w:line="252" w:lineRule="auto"/>
            </w:pPr>
            <w:r>
              <w:rPr>
                <w:sz w:val="17"/>
              </w:rPr>
              <w:t>Variante im ERP abbilden</w:t>
            </w:r>
          </w:p>
        </w:tc>
        <w:tc>
          <w:tcPr>
            <w:tcW w:type="dxa" w:w="2858"/>
          </w:tcPr>
          <w:p>
            <w:pPr>
              <w:spacing w:after="0" w:line="252" w:lineRule="auto"/>
            </w:pPr>
            <w:r>
              <w:rPr>
                <w:sz w:val="17"/>
              </w:rPr>
              <w:t>Warengruppe nicht in V5-Import</w:t>
            </w:r>
          </w:p>
        </w:tc>
        <w:tc>
          <w:tcPr>
            <w:tcW w:type="dxa" w:w="2729"/>
          </w:tcPr>
          <w:p>
            <w:pPr>
              <w:spacing w:after="0" w:line="252" w:lineRule="auto"/>
            </w:pPr>
            <w:r>
              <w:rPr>
                <w:sz w:val="17"/>
              </w:rPr>
              <w:t>Nummern-Zuordnung im ERP</w:t>
            </w:r>
          </w:p>
        </w:tc>
      </w:tr>
      <w:tr>
        <w:trPr>
          <w:cantSplit w:val="true"/>
        </w:trPr>
        <w:tc>
          <w:tcPr>
            <w:tcW w:type="dxa" w:w="1457"/>
          </w:tcPr>
          <w:p>
            <w:pPr>
              <w:spacing w:after="0" w:line="252" w:lineRule="auto"/>
            </w:pPr>
            <w:r>
              <w:rPr>
                <w:sz w:val="17"/>
              </w:rPr>
              <w:t>Änderbarkeit</w:t>
            </w:r>
          </w:p>
        </w:tc>
        <w:tc>
          <w:tcPr>
            <w:tcW w:type="dxa" w:w="2480"/>
          </w:tcPr>
          <w:p>
            <w:pPr>
              <w:spacing w:after="0" w:line="252" w:lineRule="auto"/>
            </w:pPr>
            <w:r>
              <w:rPr>
                <w:sz w:val="17"/>
              </w:rPr>
              <w:t>schwer</w:t>
            </w:r>
          </w:p>
        </w:tc>
        <w:tc>
          <w:tcPr>
            <w:tcW w:type="dxa" w:w="2858"/>
          </w:tcPr>
          <w:p>
            <w:pPr>
              <w:spacing w:after="0" w:line="252" w:lineRule="auto"/>
            </w:pPr>
            <w:r>
              <w:rPr>
                <w:sz w:val="17"/>
              </w:rPr>
              <w:t>mittel</w:t>
            </w:r>
          </w:p>
        </w:tc>
        <w:tc>
          <w:tcPr>
            <w:tcW w:type="dxa" w:w="2729"/>
          </w:tcPr>
          <w:p>
            <w:pPr>
              <w:spacing w:after="0" w:line="252" w:lineRule="auto"/>
            </w:pPr>
            <w:r>
              <w:rPr>
                <w:sz w:val="17"/>
              </w:rPr>
              <w:t>schwer (Artikelnummer nicht änderbar)</w:t>
            </w:r>
          </w:p>
        </w:tc>
      </w:tr>
      <w:tr>
        <w:trPr>
          <w:cantSplit w:val="true"/>
        </w:trPr>
        <w:tc>
          <w:tcPr>
            <w:tcW w:type="dxa" w:w="1457"/>
          </w:tcPr>
          <w:p>
            <w:pPr>
              <w:spacing w:after="0" w:line="252" w:lineRule="auto"/>
            </w:pPr>
            <w:r>
              <w:rPr>
                <w:sz w:val="17"/>
              </w:rPr>
              <w:t>Teststand</w:t>
            </w:r>
          </w:p>
        </w:tc>
        <w:tc>
          <w:tcPr>
            <w:tcW w:type="dxa" w:w="2480"/>
          </w:tcPr>
          <w:p>
            <w:pPr>
              <w:spacing w:after="0" w:line="252" w:lineRule="auto"/>
            </w:pPr>
            <w:r>
              <w:rPr>
                <w:sz w:val="17"/>
              </w:rPr>
              <w:t>nicht getestet</w:t>
            </w:r>
          </w:p>
        </w:tc>
        <w:tc>
          <w:tcPr>
            <w:tcW w:type="dxa" w:w="2858"/>
          </w:tcPr>
          <w:p>
            <w:pPr>
              <w:spacing w:after="0" w:line="252" w:lineRule="auto"/>
            </w:pPr>
            <w:r>
              <w:rPr>
                <w:sz w:val="17"/>
              </w:rPr>
              <w:t>nicht getestet</w:t>
            </w:r>
          </w:p>
        </w:tc>
        <w:tc>
          <w:tcPr>
            <w:tcW w:type="dxa" w:w="2729"/>
          </w:tcPr>
          <w:p>
            <w:pPr>
              <w:spacing w:after="0" w:line="252" w:lineRule="auto"/>
            </w:pPr>
            <w:r>
              <w:rPr>
                <w:sz w:val="17"/>
              </w:rPr>
              <w:t>nicht getestet, abgeleitet</w:t>
            </w:r>
          </w:p>
        </w:tc>
      </w:tr>
    </w:tbl>
    <w:p>
      <w:pPr>
        <w:pStyle w:val="BeschriftungSSI"/>
      </w:pPr>
      <w:r>
        <w:t>Tab. 9: Varianten C1 bis C3 (alle Angaben zu verifizieren)</w:t>
      </w:r>
    </w:p>
    <w:p>
      <w:pPr>
        <w:pStyle w:val="Heading2"/>
      </w:pPr>
      <w:r>
        <w:t>7.2 Physische Trennung (C4, Zusatz zu A oder B)</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118"/>
        <w:gridCol w:w="3972"/>
        <w:gridCol w:w="618"/>
        <w:gridCol w:w="1816"/>
      </w:tblGrid>
      <w:tr>
        <w:trPr>
          <w:tblHeader w:val="true"/>
          <w:cantSplit w:val="true"/>
        </w:trPr>
        <w:tc>
          <w:tcPr>
            <w:tcW w:type="dxa" w:w="3118"/>
            <w:shd w:val="clear" w:color="auto" w:fill="FEEE19"/>
          </w:tcPr>
          <w:p>
            <w:pPr>
              <w:spacing w:after="0"/>
            </w:pPr>
            <w:r>
              <w:rPr>
                <w:b/>
                <w:sz w:val="17"/>
              </w:rPr>
              <w:t>Möglichkeit</w:t>
            </w:r>
          </w:p>
        </w:tc>
        <w:tc>
          <w:tcPr>
            <w:tcW w:type="dxa" w:w="3972"/>
            <w:shd w:val="clear" w:color="auto" w:fill="FEEE19"/>
          </w:tcPr>
          <w:p>
            <w:pPr>
              <w:spacing w:after="0"/>
            </w:pPr>
            <w:r>
              <w:rPr>
                <w:b/>
                <w:sz w:val="17"/>
              </w:rPr>
              <w:t>Wirkung</w:t>
            </w:r>
          </w:p>
        </w:tc>
        <w:tc>
          <w:tcPr>
            <w:tcW w:type="dxa" w:w="618"/>
            <w:shd w:val="clear" w:color="auto" w:fill="FEEE19"/>
          </w:tcPr>
          <w:p>
            <w:pPr>
              <w:spacing w:after="0"/>
            </w:pPr>
            <w:r>
              <w:rPr>
                <w:b/>
                <w:sz w:val="17"/>
              </w:rPr>
              <w:t>Gilt für</w:t>
            </w:r>
          </w:p>
        </w:tc>
        <w:tc>
          <w:tcPr>
            <w:tcW w:type="dxa" w:w="1816"/>
            <w:shd w:val="clear" w:color="auto" w:fill="FEEE19"/>
          </w:tcPr>
          <w:p>
            <w:pPr>
              <w:spacing w:after="0"/>
            </w:pPr>
            <w:r>
              <w:rPr>
                <w:b/>
                <w:sz w:val="17"/>
              </w:rPr>
              <w:t>Stand</w:t>
            </w:r>
          </w:p>
        </w:tc>
      </w:tr>
      <w:tr>
        <w:trPr>
          <w:cantSplit w:val="true"/>
        </w:trPr>
        <w:tc>
          <w:tcPr>
            <w:tcW w:type="dxa" w:w="3118"/>
          </w:tcPr>
          <w:p>
            <w:pPr>
              <w:spacing w:after="0" w:line="252" w:lineRule="auto"/>
            </w:pPr>
            <w:r>
              <w:rPr>
                <w:sz w:val="17"/>
              </w:rPr>
              <w:t>Homogenität nach Klient (LM040)</w:t>
            </w:r>
          </w:p>
        </w:tc>
        <w:tc>
          <w:tcPr>
            <w:tcW w:type="dxa" w:w="3972"/>
          </w:tcPr>
          <w:p>
            <w:pPr>
              <w:spacing w:after="0" w:line="252" w:lineRule="auto"/>
            </w:pPr>
            <w:r>
              <w:rPr>
                <w:sz w:val="17"/>
              </w:rPr>
              <w:t>kein Mischen von Bestand zweier Klienten im selben Fach; wirkt auf alle Klienten der Zuordnung</w:t>
            </w:r>
          </w:p>
        </w:tc>
        <w:tc>
          <w:tcPr>
            <w:tcW w:type="dxa" w:w="618"/>
          </w:tcPr>
          <w:p>
            <w:pPr>
              <w:spacing w:after="0" w:line="252" w:lineRule="auto"/>
            </w:pPr>
            <w:r>
              <w:rPr>
                <w:sz w:val="17"/>
              </w:rPr>
              <w:t>A</w:t>
            </w:r>
          </w:p>
        </w:tc>
        <w:tc>
          <w:tcPr>
            <w:tcW w:type="dxa" w:w="1816"/>
          </w:tcPr>
          <w:p>
            <w:pPr>
              <w:spacing w:after="0" w:line="252" w:lineRule="auto"/>
            </w:pPr>
            <w:r>
              <w:rPr>
                <w:sz w:val="17"/>
              </w:rPr>
              <w:t>dokumentiert, nicht getestet</w:t>
            </w:r>
          </w:p>
        </w:tc>
      </w:tr>
      <w:tr>
        <w:trPr>
          <w:cantSplit w:val="true"/>
        </w:trPr>
        <w:tc>
          <w:tcPr>
            <w:tcW w:type="dxa" w:w="3118"/>
          </w:tcPr>
          <w:p>
            <w:pPr>
              <w:spacing w:after="0" w:line="252" w:lineRule="auto"/>
            </w:pPr>
            <w:r>
              <w:rPr>
                <w:sz w:val="17"/>
              </w:rPr>
              <w:t>Homogenität nach Wareneigentümer</w:t>
            </w:r>
          </w:p>
        </w:tc>
        <w:tc>
          <w:tcPr>
            <w:tcW w:type="dxa" w:w="3972"/>
          </w:tcPr>
          <w:p>
            <w:pPr>
              <w:spacing w:after="0" w:line="252" w:lineRule="auto"/>
            </w:pPr>
            <w:r>
              <w:rPr>
                <w:sz w:val="17"/>
              </w:rPr>
              <w:t>ob als Kriterium verfügbar</w:t>
            </w:r>
          </w:p>
        </w:tc>
        <w:tc>
          <w:tcPr>
            <w:tcW w:type="dxa" w:w="618"/>
          </w:tcPr>
          <w:p>
            <w:pPr>
              <w:spacing w:after="0" w:line="252" w:lineRule="auto"/>
            </w:pPr>
            <w:r>
              <w:rPr>
                <w:sz w:val="17"/>
              </w:rPr>
              <w:t>B</w:t>
            </w:r>
          </w:p>
        </w:tc>
        <w:tc>
          <w:tcPr>
            <w:tcW w:type="dxa" w:w="1816"/>
          </w:tcPr>
          <w:p>
            <w:pPr>
              <w:spacing w:after="0" w:line="252" w:lineRule="auto"/>
            </w:pPr>
            <w:r>
              <w:rPr>
                <w:b/>
                <w:sz w:val="17"/>
              </w:rPr>
              <w:t>zu verifizieren</w:t>
            </w:r>
          </w:p>
        </w:tc>
      </w:tr>
      <w:tr>
        <w:trPr>
          <w:cantSplit w:val="true"/>
        </w:trPr>
        <w:tc>
          <w:tcPr>
            <w:tcW w:type="dxa" w:w="3118"/>
          </w:tcPr>
          <w:p>
            <w:pPr>
              <w:spacing w:after="0" w:line="252" w:lineRule="auto"/>
            </w:pPr>
            <w:r>
              <w:rPr>
                <w:sz w:val="17"/>
              </w:rPr>
              <w:t>Tablar-zu-Klient-Einschränkung (MD017)</w:t>
            </w:r>
          </w:p>
        </w:tc>
        <w:tc>
          <w:tcPr>
            <w:tcW w:type="dxa" w:w="3972"/>
          </w:tcPr>
          <w:p>
            <w:pPr>
              <w:spacing w:after="0" w:line="252" w:lineRule="auto"/>
            </w:pPr>
            <w:r>
              <w:rPr>
                <w:sz w:val="17"/>
              </w:rPr>
              <w:t>Einlagerungen nur auf zugewiesene Tablare</w:t>
            </w:r>
          </w:p>
        </w:tc>
        <w:tc>
          <w:tcPr>
            <w:tcW w:type="dxa" w:w="618"/>
          </w:tcPr>
          <w:p>
            <w:pPr>
              <w:spacing w:after="0" w:line="252" w:lineRule="auto"/>
            </w:pPr>
            <w:r>
              <w:rPr>
                <w:sz w:val="17"/>
              </w:rPr>
              <w:t>nur A</w:t>
            </w:r>
          </w:p>
        </w:tc>
        <w:tc>
          <w:tcPr>
            <w:tcW w:type="dxa" w:w="1816"/>
          </w:tcPr>
          <w:p>
            <w:pPr>
              <w:spacing w:after="0" w:line="252" w:lineRule="auto"/>
            </w:pPr>
            <w:r>
              <w:rPr>
                <w:sz w:val="17"/>
              </w:rPr>
              <w:t>dokumentiert, nicht getestet</w:t>
            </w:r>
          </w:p>
        </w:tc>
      </w:tr>
      <w:tr>
        <w:trPr>
          <w:cantSplit w:val="true"/>
        </w:trPr>
        <w:tc>
          <w:tcPr>
            <w:tcW w:type="dxa" w:w="3118"/>
          </w:tcPr>
          <w:p>
            <w:pPr>
              <w:spacing w:after="0" w:line="252" w:lineRule="auto"/>
            </w:pPr>
            <w:r>
              <w:rPr>
                <w:sz w:val="17"/>
              </w:rPr>
              <w:t>LOGIMAT je Firma</w:t>
            </w:r>
          </w:p>
        </w:tc>
        <w:tc>
          <w:tcPr>
            <w:tcW w:type="dxa" w:w="3972"/>
          </w:tcPr>
          <w:p>
            <w:pPr>
              <w:spacing w:after="0" w:line="252" w:lineRule="auto"/>
            </w:pPr>
            <w:r>
              <w:rPr>
                <w:sz w:val="17"/>
              </w:rPr>
              <w:t>alle Tablare eines LOGIMATs einem Klienten zuweisen (abgeleitet aus Tablar-zu-Klient)</w:t>
            </w:r>
          </w:p>
        </w:tc>
        <w:tc>
          <w:tcPr>
            <w:tcW w:type="dxa" w:w="618"/>
          </w:tcPr>
          <w:p>
            <w:pPr>
              <w:spacing w:after="0" w:line="252" w:lineRule="auto"/>
            </w:pPr>
            <w:r>
              <w:rPr>
                <w:sz w:val="17"/>
              </w:rPr>
              <w:t>A</w:t>
            </w:r>
          </w:p>
        </w:tc>
        <w:tc>
          <w:tcPr>
            <w:tcW w:type="dxa" w:w="1816"/>
          </w:tcPr>
          <w:p>
            <w:pPr>
              <w:spacing w:after="0" w:line="252" w:lineRule="auto"/>
            </w:pPr>
            <w:r>
              <w:rPr>
                <w:b/>
                <w:sz w:val="17"/>
              </w:rPr>
              <w:t>zu verifizieren</w:t>
            </w:r>
          </w:p>
        </w:tc>
      </w:tr>
      <w:tr>
        <w:trPr>
          <w:cantSplit w:val="true"/>
        </w:trPr>
        <w:tc>
          <w:tcPr>
            <w:tcW w:type="dxa" w:w="3118"/>
          </w:tcPr>
          <w:p>
            <w:pPr>
              <w:spacing w:after="0" w:line="252" w:lineRule="auto"/>
            </w:pPr>
            <w:r>
              <w:rPr>
                <w:sz w:val="17"/>
              </w:rPr>
              <w:t>eigener Lagerstandort je LOGIMAT</w:t>
            </w:r>
          </w:p>
        </w:tc>
        <w:tc>
          <w:tcPr>
            <w:tcW w:type="dxa" w:w="3972"/>
          </w:tcPr>
          <w:p>
            <w:pPr>
              <w:spacing w:after="0" w:line="252" w:lineRule="auto"/>
            </w:pPr>
            <w:r>
              <w:rPr>
                <w:sz w:val="17"/>
              </w:rPr>
              <w:t>ein LOGIMAT gehört zu genau einem Lagerstandort; Lagerstandort hat kein Klientenfeld; Systemparameter je Lagerstandort</w:t>
            </w:r>
          </w:p>
        </w:tc>
        <w:tc>
          <w:tcPr>
            <w:tcW w:type="dxa" w:w="618"/>
          </w:tcPr>
          <w:p>
            <w:pPr>
              <w:spacing w:after="0" w:line="252" w:lineRule="auto"/>
            </w:pPr>
            <w:r>
              <w:rPr>
                <w:sz w:val="17"/>
              </w:rPr>
              <w:t>A und B</w:t>
            </w:r>
          </w:p>
        </w:tc>
        <w:tc>
          <w:tcPr>
            <w:tcW w:type="dxa" w:w="1816"/>
          </w:tcPr>
          <w:p>
            <w:pPr>
              <w:spacing w:after="0" w:line="252" w:lineRule="auto"/>
            </w:pPr>
            <w:r>
              <w:rPr>
                <w:b/>
                <w:sz w:val="17"/>
              </w:rPr>
              <w:t>zu verifizieren</w:t>
            </w:r>
          </w:p>
        </w:tc>
      </w:tr>
      <w:tr>
        <w:trPr>
          <w:cantSplit w:val="true"/>
        </w:trPr>
        <w:tc>
          <w:tcPr>
            <w:tcW w:type="dxa" w:w="3118"/>
          </w:tcPr>
          <w:p>
            <w:pPr>
              <w:spacing w:after="0" w:line="252" w:lineRule="auto"/>
            </w:pPr>
            <w:r>
              <w:rPr>
                <w:sz w:val="17"/>
              </w:rPr>
              <w:t>externe Lagerplatzgruppen (LM124–LM127)</w:t>
            </w:r>
          </w:p>
        </w:tc>
        <w:tc>
          <w:tcPr>
            <w:tcW w:type="dxa" w:w="3972"/>
          </w:tcPr>
          <w:p>
            <w:pPr>
              <w:spacing w:after="0" w:line="252" w:lineRule="auto"/>
            </w:pPr>
            <w:r>
              <w:rPr>
                <w:sz w:val="17"/>
              </w:rPr>
              <w:t xml:space="preserve">eigene Regalplätze ausserhalb des LOGIMAT, z. B. </w:t>
            </w:r>
            <w:r>
              <w:rPr>
                <w:rFonts w:ascii="Consolas" w:hAnsi="Consolas" w:cs="Consolas" w:eastAsia="Consolas"/>
                <w:sz w:val="15"/>
              </w:rPr>
              <w:t>123-45-A-01</w:t>
            </w:r>
          </w:p>
        </w:tc>
        <w:tc>
          <w:tcPr>
            <w:tcW w:type="dxa" w:w="618"/>
          </w:tcPr>
          <w:p>
            <w:pPr>
              <w:spacing w:after="0" w:line="252" w:lineRule="auto"/>
            </w:pPr>
            <w:r>
              <w:rPr>
                <w:sz w:val="17"/>
              </w:rPr>
              <w:t>A und B</w:t>
            </w:r>
          </w:p>
        </w:tc>
        <w:tc>
          <w:tcPr>
            <w:tcW w:type="dxa" w:w="1816"/>
          </w:tcPr>
          <w:p>
            <w:pPr>
              <w:spacing w:after="0" w:line="252" w:lineRule="auto"/>
            </w:pPr>
            <w:r>
              <w:rPr>
                <w:sz w:val="17"/>
              </w:rPr>
              <w:t>Klientenfeld an der Gruppe nicht dokumentiert (</w:t>
            </w:r>
            <w:r>
              <w:rPr>
                <w:b/>
                <w:sz w:val="17"/>
              </w:rPr>
              <w:t>zu verifizieren</w:t>
            </w:r>
            <w:r>
              <w:rPr>
                <w:sz w:val="17"/>
              </w:rPr>
              <w:t>)</w:t>
            </w:r>
          </w:p>
        </w:tc>
      </w:tr>
    </w:tbl>
    <w:p>
      <w:pPr>
        <w:pStyle w:val="BeschriftungSSI"/>
      </w:pPr>
      <w:r>
        <w:t>Tab. 10: Physische Trennung</w:t>
      </w:r>
    </w:p>
    <w:p>
      <w:pPr>
        <w:pStyle w:val="Quelle"/>
      </w:pPr>
      <w:r>
        <w:rPr>
          <w:b/>
        </w:rPr>
        <w:t xml:space="preserve">Quelle: </w:t>
      </w:r>
      <w:r>
        <w:rPr>
          <w:sz w:val="17"/>
        </w:rPr>
        <w:t>KP28 Kap. 3.4, 3.7; Klienten-Recherche Kap. 1–2, F1–F3; Eigentümermodelle Vergleich v0.1 (Annahmen)</w:t>
      </w:r>
    </w:p>
    <w:p>
      <w:pPr>
        <w:pStyle w:val="Heading1"/>
      </w:pPr>
      <w:r>
        <w:t>8 Gesamtvergleich</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882"/>
        <w:gridCol w:w="2529"/>
        <w:gridCol w:w="2503"/>
        <w:gridCol w:w="2611"/>
      </w:tblGrid>
      <w:tr>
        <w:trPr>
          <w:tblHeader w:val="true"/>
          <w:cantSplit w:val="true"/>
        </w:trPr>
        <w:tc>
          <w:tcPr>
            <w:tcW w:type="dxa" w:w="1882"/>
            <w:shd w:val="clear" w:color="auto" w:fill="FEEE19"/>
          </w:tcPr>
          <w:p>
            <w:pPr>
              <w:spacing w:after="0"/>
            </w:pPr>
            <w:r>
              <w:rPr>
                <w:b/>
                <w:sz w:val="17"/>
              </w:rPr>
              <w:t>Bereich</w:t>
            </w:r>
          </w:p>
        </w:tc>
        <w:tc>
          <w:tcPr>
            <w:tcW w:type="dxa" w:w="2529"/>
            <w:shd w:val="clear" w:color="auto" w:fill="FEEE19"/>
          </w:tcPr>
          <w:p>
            <w:pPr>
              <w:spacing w:after="0"/>
            </w:pPr>
            <w:r>
              <w:rPr>
                <w:b/>
                <w:sz w:val="17"/>
              </w:rPr>
              <w:t>A Mehrere Klienten</w:t>
            </w:r>
          </w:p>
        </w:tc>
        <w:tc>
          <w:tcPr>
            <w:tcW w:type="dxa" w:w="2503"/>
            <w:shd w:val="clear" w:color="auto" w:fill="FEEE19"/>
          </w:tcPr>
          <w:p>
            <w:pPr>
              <w:spacing w:after="0"/>
            </w:pPr>
            <w:r>
              <w:rPr>
                <w:b/>
                <w:sz w:val="17"/>
              </w:rPr>
              <w:t>B Klient + Wareneigentümer</w:t>
            </w:r>
          </w:p>
        </w:tc>
        <w:tc>
          <w:tcPr>
            <w:tcW w:type="dxa" w:w="2611"/>
            <w:shd w:val="clear" w:color="auto" w:fill="FEEE19"/>
          </w:tcPr>
          <w:p>
            <w:pPr>
              <w:spacing w:after="0"/>
            </w:pPr>
            <w:r>
              <w:rPr>
                <w:b/>
                <w:sz w:val="17"/>
              </w:rPr>
              <w:t>C1–C3 Artikelstamm</w:t>
            </w:r>
          </w:p>
        </w:tc>
      </w:tr>
      <w:tr>
        <w:trPr>
          <w:cantSplit w:val="true"/>
        </w:trPr>
        <w:tc>
          <w:tcPr>
            <w:tcW w:type="dxa" w:w="1882"/>
          </w:tcPr>
          <w:p>
            <w:pPr>
              <w:spacing w:after="0" w:line="252" w:lineRule="auto"/>
            </w:pPr>
            <w:r>
              <w:rPr>
                <w:sz w:val="17"/>
              </w:rPr>
              <w:t>Stammdaten</w:t>
            </w:r>
          </w:p>
        </w:tc>
        <w:tc>
          <w:tcPr>
            <w:tcW w:type="dxa" w:w="2529"/>
          </w:tcPr>
          <w:p>
            <w:pPr>
              <w:spacing w:after="0" w:line="252" w:lineRule="auto"/>
            </w:pPr>
            <w:r>
              <w:rPr>
                <w:sz w:val="17"/>
              </w:rPr>
              <w:t>doppelt + Klientenkonfiguration</w:t>
            </w:r>
          </w:p>
        </w:tc>
        <w:tc>
          <w:tcPr>
            <w:tcW w:type="dxa" w:w="2503"/>
          </w:tcPr>
          <w:p>
            <w:pPr>
              <w:spacing w:after="0" w:line="252" w:lineRule="auto"/>
            </w:pPr>
            <w:r>
              <w:rPr>
                <w:sz w:val="17"/>
              </w:rPr>
              <w:t>einfach</w:t>
            </w:r>
          </w:p>
        </w:tc>
        <w:tc>
          <w:tcPr>
            <w:tcW w:type="dxa" w:w="2611"/>
          </w:tcPr>
          <w:p>
            <w:pPr>
              <w:spacing w:after="0" w:line="252" w:lineRule="auto"/>
            </w:pPr>
            <w:r>
              <w:rPr>
                <w:sz w:val="17"/>
              </w:rPr>
              <w:t>doppelt</w:t>
            </w:r>
          </w:p>
        </w:tc>
      </w:tr>
      <w:tr>
        <w:trPr>
          <w:cantSplit w:val="true"/>
        </w:trPr>
        <w:tc>
          <w:tcPr>
            <w:tcW w:type="dxa" w:w="1882"/>
          </w:tcPr>
          <w:p>
            <w:pPr>
              <w:spacing w:after="0" w:line="252" w:lineRule="auto"/>
            </w:pPr>
            <w:r>
              <w:rPr>
                <w:sz w:val="17"/>
              </w:rPr>
              <w:t>Bestand</w:t>
            </w:r>
          </w:p>
        </w:tc>
        <w:tc>
          <w:tcPr>
            <w:tcW w:type="dxa" w:w="2529"/>
          </w:tcPr>
          <w:p>
            <w:pPr>
              <w:spacing w:after="0" w:line="252" w:lineRule="auto"/>
            </w:pPr>
            <w:r>
              <w:rPr>
                <w:sz w:val="17"/>
              </w:rPr>
              <w:t>getrennt [BELEGT]</w:t>
            </w:r>
          </w:p>
        </w:tc>
        <w:tc>
          <w:tcPr>
            <w:tcW w:type="dxa" w:w="2503"/>
          </w:tcPr>
          <w:p>
            <w:pPr>
              <w:spacing w:after="0" w:line="252" w:lineRule="auto"/>
            </w:pPr>
            <w:r>
              <w:rPr>
                <w:sz w:val="17"/>
              </w:rPr>
              <w:t>je Eigentümer (zu verifizieren)</w:t>
            </w:r>
          </w:p>
        </w:tc>
        <w:tc>
          <w:tcPr>
            <w:tcW w:type="dxa" w:w="2611"/>
          </w:tcPr>
          <w:p>
            <w:pPr>
              <w:spacing w:after="0" w:line="252" w:lineRule="auto"/>
            </w:pPr>
            <w:r>
              <w:rPr>
                <w:sz w:val="17"/>
              </w:rPr>
              <w:t>je Artikel</w:t>
            </w:r>
          </w:p>
        </w:tc>
      </w:tr>
      <w:tr>
        <w:trPr>
          <w:cantSplit w:val="true"/>
        </w:trPr>
        <w:tc>
          <w:tcPr>
            <w:tcW w:type="dxa" w:w="1882"/>
          </w:tcPr>
          <w:p>
            <w:pPr>
              <w:spacing w:after="0" w:line="252" w:lineRule="auto"/>
            </w:pPr>
            <w:r>
              <w:rPr>
                <w:sz w:val="17"/>
              </w:rPr>
              <w:t>Rechte / Benutzer</w:t>
            </w:r>
          </w:p>
        </w:tc>
        <w:tc>
          <w:tcPr>
            <w:tcW w:type="dxa" w:w="2529"/>
          </w:tcPr>
          <w:p>
            <w:pPr>
              <w:spacing w:after="0" w:line="252" w:lineRule="auto"/>
            </w:pPr>
            <w:r>
              <w:rPr>
                <w:sz w:val="17"/>
              </w:rPr>
              <w:t>Standard-Klient; Profil zu verifizieren</w:t>
            </w:r>
          </w:p>
        </w:tc>
        <w:tc>
          <w:tcPr>
            <w:tcW w:type="dxa" w:w="2503"/>
          </w:tcPr>
          <w:p>
            <w:pPr>
              <w:spacing w:after="0" w:line="252" w:lineRule="auto"/>
            </w:pPr>
            <w:r>
              <w:rPr>
                <w:sz w:val="17"/>
              </w:rPr>
              <w:t>keine Trennung</w:t>
            </w:r>
          </w:p>
        </w:tc>
        <w:tc>
          <w:tcPr>
            <w:tcW w:type="dxa" w:w="2611"/>
          </w:tcPr>
          <w:p>
            <w:pPr>
              <w:spacing w:after="0" w:line="252" w:lineRule="auto"/>
            </w:pPr>
            <w:r>
              <w:rPr>
                <w:sz w:val="17"/>
              </w:rPr>
              <w:t>keine Trennung</w:t>
            </w:r>
          </w:p>
        </w:tc>
      </w:tr>
      <w:tr>
        <w:trPr>
          <w:cantSplit w:val="true"/>
        </w:trPr>
        <w:tc>
          <w:tcPr>
            <w:tcW w:type="dxa" w:w="1882"/>
          </w:tcPr>
          <w:p>
            <w:pPr>
              <w:spacing w:after="0" w:line="252" w:lineRule="auto"/>
            </w:pPr>
            <w:r>
              <w:rPr>
                <w:sz w:val="17"/>
              </w:rPr>
              <w:t>Schnittstellen / ERP</w:t>
            </w:r>
          </w:p>
        </w:tc>
        <w:tc>
          <w:tcPr>
            <w:tcW w:type="dxa" w:w="2529"/>
          </w:tcPr>
          <w:p>
            <w:pPr>
              <w:spacing w:after="0" w:line="252" w:lineRule="auto"/>
            </w:pPr>
            <w:r>
              <w:rPr>
                <w:rFonts w:ascii="Consolas" w:hAnsi="Consolas" w:cs="Consolas" w:eastAsia="Consolas"/>
                <w:sz w:val="15"/>
              </w:rPr>
              <w:t>clientId</w:t>
            </w:r>
          </w:p>
        </w:tc>
        <w:tc>
          <w:tcPr>
            <w:tcW w:type="dxa" w:w="2503"/>
          </w:tcPr>
          <w:p>
            <w:pPr>
              <w:spacing w:after="0" w:line="252" w:lineRule="auto"/>
            </w:pPr>
            <w:r>
              <w:rPr>
                <w:rFonts w:ascii="Consolas" w:hAnsi="Consolas" w:cs="Consolas" w:eastAsia="Consolas"/>
                <w:sz w:val="15"/>
              </w:rPr>
              <w:t>gow</w:t>
            </w:r>
            <w:r>
              <w:rPr>
                <w:sz w:val="17"/>
              </w:rPr>
              <w:t xml:space="preserve"> je Zeile</w:t>
            </w:r>
          </w:p>
        </w:tc>
        <w:tc>
          <w:tcPr>
            <w:tcW w:type="dxa" w:w="2611"/>
          </w:tcPr>
          <w:p>
            <w:pPr>
              <w:spacing w:after="0" w:line="252" w:lineRule="auto"/>
            </w:pPr>
            <w:r>
              <w:rPr>
                <w:sz w:val="17"/>
              </w:rPr>
              <w:t>Nummern-/Variantenlogik im ERP</w:t>
            </w:r>
          </w:p>
        </w:tc>
      </w:tr>
      <w:tr>
        <w:trPr>
          <w:cantSplit w:val="true"/>
        </w:trPr>
        <w:tc>
          <w:tcPr>
            <w:tcW w:type="dxa" w:w="1882"/>
          </w:tcPr>
          <w:p>
            <w:pPr>
              <w:spacing w:after="0" w:line="252" w:lineRule="auto"/>
            </w:pPr>
            <w:r>
              <w:rPr>
                <w:sz w:val="17"/>
              </w:rPr>
              <w:t>Reporting</w:t>
            </w:r>
          </w:p>
        </w:tc>
        <w:tc>
          <w:tcPr>
            <w:tcW w:type="dxa" w:w="2529"/>
          </w:tcPr>
          <w:p>
            <w:pPr>
              <w:spacing w:after="0" w:line="252" w:lineRule="auto"/>
            </w:pPr>
            <w:r>
              <w:rPr>
                <w:sz w:val="17"/>
              </w:rPr>
              <w:t>je Klient</w:t>
            </w:r>
          </w:p>
        </w:tc>
        <w:tc>
          <w:tcPr>
            <w:tcW w:type="dxa" w:w="2503"/>
          </w:tcPr>
          <w:p>
            <w:pPr>
              <w:spacing w:after="0" w:line="252" w:lineRule="auto"/>
            </w:pPr>
            <w:r>
              <w:rPr>
                <w:sz w:val="17"/>
              </w:rPr>
              <w:t>je Eigentümer (zu verifizieren)</w:t>
            </w:r>
          </w:p>
        </w:tc>
        <w:tc>
          <w:tcPr>
            <w:tcW w:type="dxa" w:w="2611"/>
          </w:tcPr>
          <w:p>
            <w:pPr>
              <w:spacing w:after="0" w:line="252" w:lineRule="auto"/>
            </w:pPr>
            <w:r>
              <w:rPr>
                <w:sz w:val="17"/>
              </w:rPr>
              <w:t>über Filter</w:t>
            </w:r>
          </w:p>
        </w:tc>
      </w:tr>
      <w:tr>
        <w:trPr>
          <w:cantSplit w:val="true"/>
        </w:trPr>
        <w:tc>
          <w:tcPr>
            <w:tcW w:type="dxa" w:w="1882"/>
          </w:tcPr>
          <w:p>
            <w:pPr>
              <w:spacing w:after="0" w:line="252" w:lineRule="auto"/>
            </w:pPr>
            <w:r>
              <w:rPr>
                <w:sz w:val="17"/>
              </w:rPr>
              <w:t>Inventur</w:t>
            </w:r>
          </w:p>
        </w:tc>
        <w:tc>
          <w:tcPr>
            <w:tcW w:type="dxa" w:w="2529"/>
          </w:tcPr>
          <w:p>
            <w:pPr>
              <w:spacing w:after="0" w:line="252" w:lineRule="auto"/>
            </w:pPr>
            <w:r>
              <w:rPr>
                <w:sz w:val="17"/>
              </w:rPr>
              <w:t>je Klient (zu verifizieren)</w:t>
            </w:r>
          </w:p>
        </w:tc>
        <w:tc>
          <w:tcPr>
            <w:tcW w:type="dxa" w:w="2503"/>
          </w:tcPr>
          <w:p>
            <w:pPr>
              <w:spacing w:after="0" w:line="252" w:lineRule="auto"/>
            </w:pPr>
            <w:r>
              <w:rPr>
                <w:sz w:val="17"/>
              </w:rPr>
              <w:t>je Eigentümer (zu verifizieren)</w:t>
            </w:r>
          </w:p>
        </w:tc>
        <w:tc>
          <w:tcPr>
            <w:tcW w:type="dxa" w:w="2611"/>
          </w:tcPr>
          <w:p>
            <w:pPr>
              <w:spacing w:after="0" w:line="252" w:lineRule="auto"/>
            </w:pPr>
            <w:r>
              <w:rPr>
                <w:sz w:val="17"/>
              </w:rPr>
              <w:t>je Artikel</w:t>
            </w:r>
          </w:p>
        </w:tc>
      </w:tr>
      <w:tr>
        <w:trPr>
          <w:cantSplit w:val="true"/>
        </w:trPr>
        <w:tc>
          <w:tcPr>
            <w:tcW w:type="dxa" w:w="1882"/>
          </w:tcPr>
          <w:p>
            <w:pPr>
              <w:spacing w:after="0" w:line="252" w:lineRule="auto"/>
            </w:pPr>
            <w:r>
              <w:rPr>
                <w:sz w:val="17"/>
              </w:rPr>
              <w:t>Aufwand</w:t>
            </w:r>
          </w:p>
        </w:tc>
        <w:tc>
          <w:tcPr>
            <w:tcW w:type="dxa" w:w="2529"/>
          </w:tcPr>
          <w:p>
            <w:pPr>
              <w:spacing w:after="0" w:line="252" w:lineRule="auto"/>
            </w:pPr>
            <w:r>
              <w:rPr>
                <w:sz w:val="17"/>
              </w:rPr>
              <w:t>hoch</w:t>
            </w:r>
          </w:p>
        </w:tc>
        <w:tc>
          <w:tcPr>
            <w:tcW w:type="dxa" w:w="2503"/>
          </w:tcPr>
          <w:p>
            <w:pPr>
              <w:spacing w:after="0" w:line="252" w:lineRule="auto"/>
            </w:pPr>
            <w:r>
              <w:rPr>
                <w:sz w:val="17"/>
              </w:rPr>
              <w:t>gering</w:t>
            </w:r>
          </w:p>
        </w:tc>
        <w:tc>
          <w:tcPr>
            <w:tcW w:type="dxa" w:w="2611"/>
          </w:tcPr>
          <w:p>
            <w:pPr>
              <w:spacing w:after="0" w:line="252" w:lineRule="auto"/>
            </w:pPr>
            <w:r>
              <w:rPr>
                <w:sz w:val="17"/>
              </w:rPr>
              <w:t>mittel</w:t>
            </w:r>
          </w:p>
        </w:tc>
      </w:tr>
      <w:tr>
        <w:trPr>
          <w:cantSplit w:val="true"/>
        </w:trPr>
        <w:tc>
          <w:tcPr>
            <w:tcW w:type="dxa" w:w="1882"/>
          </w:tcPr>
          <w:p>
            <w:pPr>
              <w:spacing w:after="0" w:line="252" w:lineRule="auto"/>
            </w:pPr>
            <w:r>
              <w:rPr>
                <w:sz w:val="17"/>
              </w:rPr>
              <w:t>Spätere Änderbarkeit</w:t>
            </w:r>
          </w:p>
        </w:tc>
        <w:tc>
          <w:tcPr>
            <w:tcW w:type="dxa" w:w="2529"/>
          </w:tcPr>
          <w:p>
            <w:pPr>
              <w:spacing w:after="0" w:line="252" w:lineRule="auto"/>
            </w:pPr>
            <w:r>
              <w:rPr>
                <w:sz w:val="17"/>
              </w:rPr>
              <w:t>schwer</w:t>
            </w:r>
          </w:p>
        </w:tc>
        <w:tc>
          <w:tcPr>
            <w:tcW w:type="dxa" w:w="2503"/>
          </w:tcPr>
          <w:p>
            <w:pPr>
              <w:spacing w:after="0" w:line="252" w:lineRule="auto"/>
            </w:pPr>
            <w:r>
              <w:rPr>
                <w:sz w:val="17"/>
              </w:rPr>
              <w:t>Ausbau zu A möglich, aufwendig</w:t>
            </w:r>
          </w:p>
        </w:tc>
        <w:tc>
          <w:tcPr>
            <w:tcW w:type="dxa" w:w="2611"/>
          </w:tcPr>
          <w:p>
            <w:pPr>
              <w:spacing w:after="0" w:line="252" w:lineRule="auto"/>
            </w:pPr>
            <w:r>
              <w:rPr>
                <w:sz w:val="17"/>
              </w:rPr>
              <w:t>schwer</w:t>
            </w:r>
          </w:p>
        </w:tc>
      </w:tr>
      <w:tr>
        <w:trPr>
          <w:cantSplit w:val="true"/>
        </w:trPr>
        <w:tc>
          <w:tcPr>
            <w:tcW w:type="dxa" w:w="1882"/>
          </w:tcPr>
          <w:p>
            <w:pPr>
              <w:spacing w:after="0" w:line="252" w:lineRule="auto"/>
            </w:pPr>
            <w:r>
              <w:rPr>
                <w:sz w:val="17"/>
              </w:rPr>
              <w:t>Eigene Tablare / LOGIMAT</w:t>
            </w:r>
          </w:p>
        </w:tc>
        <w:tc>
          <w:tcPr>
            <w:tcW w:type="dxa" w:w="2529"/>
          </w:tcPr>
          <w:p>
            <w:pPr>
              <w:spacing w:after="0" w:line="252" w:lineRule="auto"/>
            </w:pPr>
            <w:r>
              <w:rPr>
                <w:sz w:val="17"/>
              </w:rPr>
              <w:t>möglich</w:t>
            </w:r>
          </w:p>
        </w:tc>
        <w:tc>
          <w:tcPr>
            <w:tcW w:type="dxa" w:w="2503"/>
          </w:tcPr>
          <w:p>
            <w:pPr>
              <w:spacing w:after="0" w:line="252" w:lineRule="auto"/>
            </w:pPr>
            <w:r>
              <w:rPr>
                <w:sz w:val="17"/>
              </w:rPr>
              <w:t>nein</w:t>
            </w:r>
          </w:p>
        </w:tc>
        <w:tc>
          <w:tcPr>
            <w:tcW w:type="dxa" w:w="2611"/>
          </w:tcPr>
          <w:p>
            <w:pPr>
              <w:spacing w:after="0" w:line="252" w:lineRule="auto"/>
            </w:pPr>
            <w:r>
              <w:rPr>
                <w:sz w:val="17"/>
              </w:rPr>
              <w:t>nein</w:t>
            </w:r>
          </w:p>
        </w:tc>
      </w:tr>
    </w:tbl>
    <w:p>
      <w:pPr>
        <w:pStyle w:val="BeschriftungSSI"/>
      </w:pPr>
      <w:r>
        <w:t>Tab. 11: Gesamtvergleich (Textfassung der Ampelmatrix)</w:t>
      </w:r>
    </w:p>
    <w:p>
      <w:pPr>
        <w:pStyle w:val="Heading1"/>
      </w:pPr>
      <w:r>
        <w:t>9 Weg zum getrennten Lager</w:t>
      </w:r>
    </w:p>
    <w:p>
      <w:pPr>
        <w:keepNext/>
      </w:pPr>
      <w:r>
        <w:drawing>
          <wp:inline xmlns:a="http://schemas.openxmlformats.org/drawingml/2006/main" xmlns:pic="http://schemas.openxmlformats.org/drawingml/2006/picture">
            <wp:extent cx="5940000" cy="1836000"/>
            <wp:docPr id="110" name="Picture 110"/>
            <wp:cNvGraphicFramePr>
              <a:graphicFrameLocks noChangeAspect="1"/>
            </wp:cNvGraphicFramePr>
            <a:graphic>
              <a:graphicData uri="http://schemas.openxmlformats.org/drawingml/2006/picture">
                <pic:pic>
                  <pic:nvPicPr>
                    <pic:cNvPr id="0" name="stufenplan.png"/>
                    <pic:cNvPicPr/>
                  </pic:nvPicPr>
                  <pic:blipFill>
                    <a:blip r:embed="rId20"/>
                    <a:stretch>
                      <a:fillRect/>
                    </a:stretch>
                  </pic:blipFill>
                  <pic:spPr>
                    <a:xfrm>
                      <a:off x="0" y="0"/>
                      <a:ext cx="5940000" cy="1836000"/>
                    </a:xfrm>
                    <a:prstGeom prst="rect"/>
                  </pic:spPr>
                </pic:pic>
              </a:graphicData>
            </a:graphic>
          </wp:inline>
        </w:drawing>
      </w:r>
    </w:p>
    <w:p>
      <w:pPr>
        <w:pStyle w:val="BeschriftungSSI"/>
      </w:pPr>
      <w:r>
        <w:t>Abb. 7: Stufen vom gemeinsamen zum getrennten Lager (Grafik SSI SCHÄFER)</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078"/>
        <w:gridCol w:w="1905"/>
        <w:gridCol w:w="3828"/>
        <w:gridCol w:w="2713"/>
      </w:tblGrid>
      <w:tr>
        <w:trPr>
          <w:tblHeader w:val="true"/>
          <w:cantSplit w:val="true"/>
        </w:trPr>
        <w:tc>
          <w:tcPr>
            <w:tcW w:type="dxa" w:w="1078"/>
            <w:shd w:val="clear" w:color="auto" w:fill="FEEE19"/>
          </w:tcPr>
          <w:p>
            <w:pPr>
              <w:spacing w:after="0"/>
            </w:pPr>
            <w:r>
              <w:rPr>
                <w:b/>
                <w:sz w:val="17"/>
              </w:rPr>
              <w:t>Stufe</w:t>
            </w:r>
          </w:p>
        </w:tc>
        <w:tc>
          <w:tcPr>
            <w:tcW w:type="dxa" w:w="1905"/>
            <w:shd w:val="clear" w:color="auto" w:fill="FEEE19"/>
          </w:tcPr>
          <w:p>
            <w:pPr>
              <w:spacing w:after="0"/>
            </w:pPr>
            <w:r>
              <w:rPr>
                <w:b/>
                <w:sz w:val="17"/>
              </w:rPr>
              <w:t>Was wird getrennt</w:t>
            </w:r>
          </w:p>
        </w:tc>
        <w:tc>
          <w:tcPr>
            <w:tcW w:type="dxa" w:w="3828"/>
            <w:shd w:val="clear" w:color="auto" w:fill="FEEE19"/>
          </w:tcPr>
          <w:p>
            <w:pPr>
              <w:spacing w:after="0"/>
            </w:pPr>
            <w:r>
              <w:rPr>
                <w:b/>
                <w:sz w:val="17"/>
              </w:rPr>
              <w:t>Schritte</w:t>
            </w:r>
          </w:p>
        </w:tc>
        <w:tc>
          <w:tcPr>
            <w:tcW w:type="dxa" w:w="2714"/>
            <w:shd w:val="clear" w:color="auto" w:fill="FEEE19"/>
          </w:tcPr>
          <w:p>
            <w:pPr>
              <w:spacing w:after="0"/>
            </w:pPr>
            <w:r>
              <w:rPr>
                <w:b/>
                <w:sz w:val="17"/>
              </w:rPr>
              <w:t>Voraussetzung</w:t>
            </w:r>
          </w:p>
        </w:tc>
      </w:tr>
      <w:tr>
        <w:trPr>
          <w:cantSplit w:val="true"/>
        </w:trPr>
        <w:tc>
          <w:tcPr>
            <w:tcW w:type="dxa" w:w="1078"/>
          </w:tcPr>
          <w:p>
            <w:pPr>
              <w:spacing w:after="0" w:line="252" w:lineRule="auto"/>
            </w:pPr>
            <w:r>
              <w:rPr>
                <w:sz w:val="17"/>
              </w:rPr>
              <w:t>0 Heute</w:t>
            </w:r>
          </w:p>
        </w:tc>
        <w:tc>
          <w:tcPr>
            <w:tcW w:type="dxa" w:w="1905"/>
          </w:tcPr>
          <w:p>
            <w:pPr>
              <w:spacing w:after="0" w:line="252" w:lineRule="auto"/>
            </w:pPr>
            <w:r>
              <w:rPr>
                <w:sz w:val="17"/>
              </w:rPr>
              <w:t>nichts</w:t>
            </w:r>
          </w:p>
        </w:tc>
        <w:tc>
          <w:tcPr>
            <w:tcW w:type="dxa" w:w="3828"/>
          </w:tcPr>
          <w:p>
            <w:pPr>
              <w:spacing w:after="0" w:line="252" w:lineRule="auto"/>
            </w:pPr>
            <w:r>
              <w:rPr>
                <w:sz w:val="17"/>
              </w:rPr>
              <w:t>ein Klient, Standard-Wareneigentümer</w:t>
            </w:r>
          </w:p>
        </w:tc>
        <w:tc>
          <w:tcPr>
            <w:tcW w:type="dxa" w:w="2714"/>
          </w:tcPr>
          <w:p>
            <w:pPr>
              <w:spacing w:after="0" w:line="252" w:lineRule="auto"/>
            </w:pPr>
            <w:r>
              <w:rPr>
                <w:sz w:val="17"/>
              </w:rPr>
              <w:t>–</w:t>
            </w:r>
          </w:p>
        </w:tc>
      </w:tr>
      <w:tr>
        <w:trPr>
          <w:cantSplit w:val="true"/>
        </w:trPr>
        <w:tc>
          <w:tcPr>
            <w:tcW w:type="dxa" w:w="1078"/>
          </w:tcPr>
          <w:p>
            <w:pPr>
              <w:spacing w:after="0" w:line="252" w:lineRule="auto"/>
            </w:pPr>
            <w:r>
              <w:rPr>
                <w:sz w:val="17"/>
              </w:rPr>
              <w:t>1 Bestand trennen</w:t>
            </w:r>
          </w:p>
        </w:tc>
        <w:tc>
          <w:tcPr>
            <w:tcW w:type="dxa" w:w="1905"/>
          </w:tcPr>
          <w:p>
            <w:pPr>
              <w:spacing w:after="0" w:line="252" w:lineRule="auto"/>
            </w:pPr>
            <w:r>
              <w:rPr>
                <w:sz w:val="17"/>
              </w:rPr>
              <w:t>Eigentum am Bestand</w:t>
            </w:r>
          </w:p>
        </w:tc>
        <w:tc>
          <w:tcPr>
            <w:tcW w:type="dxa" w:w="3828"/>
          </w:tcPr>
          <w:p>
            <w:pPr>
              <w:spacing w:after="0" w:line="252" w:lineRule="auto"/>
            </w:pPr>
            <w:r>
              <w:rPr>
                <w:sz w:val="17"/>
              </w:rPr>
              <w:t xml:space="preserve">Variante B einrichten, Einlagern über Aufträge mit </w:t>
            </w:r>
            <w:r>
              <w:rPr>
                <w:rFonts w:ascii="Consolas" w:hAnsi="Consolas" w:cs="Consolas" w:eastAsia="Consolas"/>
                <w:sz w:val="15"/>
              </w:rPr>
              <w:t>gow</w:t>
            </w:r>
          </w:p>
        </w:tc>
        <w:tc>
          <w:tcPr>
            <w:tcW w:type="dxa" w:w="2714"/>
          </w:tcPr>
          <w:p>
            <w:pPr>
              <w:spacing w:after="0" w:line="252" w:lineRule="auto"/>
            </w:pPr>
            <w:r>
              <w:rPr>
                <w:sz w:val="17"/>
              </w:rPr>
              <w:t>Nachweis Bestand und Inventur je Eigentümer</w:t>
            </w:r>
          </w:p>
        </w:tc>
      </w:tr>
      <w:tr>
        <w:trPr>
          <w:cantSplit w:val="true"/>
        </w:trPr>
        <w:tc>
          <w:tcPr>
            <w:tcW w:type="dxa" w:w="1078"/>
          </w:tcPr>
          <w:p>
            <w:pPr>
              <w:spacing w:after="0" w:line="252" w:lineRule="auto"/>
            </w:pPr>
            <w:r>
              <w:rPr>
                <w:sz w:val="17"/>
              </w:rPr>
              <w:t>2 Plätze trennen</w:t>
            </w:r>
          </w:p>
        </w:tc>
        <w:tc>
          <w:tcPr>
            <w:tcW w:type="dxa" w:w="1905"/>
          </w:tcPr>
          <w:p>
            <w:pPr>
              <w:spacing w:after="0" w:line="252" w:lineRule="auto"/>
            </w:pPr>
            <w:r>
              <w:rPr>
                <w:sz w:val="17"/>
              </w:rPr>
              <w:t>Fächer, Tablare oder LOGIMAT</w:t>
            </w:r>
          </w:p>
        </w:tc>
        <w:tc>
          <w:tcPr>
            <w:tcW w:type="dxa" w:w="3828"/>
          </w:tcPr>
          <w:p>
            <w:pPr>
              <w:spacing w:after="0" w:line="252" w:lineRule="auto"/>
            </w:pPr>
            <w:r>
              <w:rPr>
                <w:sz w:val="17"/>
              </w:rPr>
              <w:t>Homogenität bzw. Tablar- oder LOGIMAT-Zuordnung</w:t>
            </w:r>
          </w:p>
        </w:tc>
        <w:tc>
          <w:tcPr>
            <w:tcW w:type="dxa" w:w="2714"/>
          </w:tcPr>
          <w:p>
            <w:pPr>
              <w:spacing w:after="0" w:line="252" w:lineRule="auto"/>
            </w:pPr>
            <w:r>
              <w:rPr>
                <w:sz w:val="17"/>
              </w:rPr>
              <w:t>je nach Möglichkeit Variante A nötig (Kapitel 7.2)</w:t>
            </w:r>
          </w:p>
        </w:tc>
      </w:tr>
      <w:tr>
        <w:trPr>
          <w:cantSplit w:val="true"/>
        </w:trPr>
        <w:tc>
          <w:tcPr>
            <w:tcW w:type="dxa" w:w="1078"/>
          </w:tcPr>
          <w:p>
            <w:pPr>
              <w:spacing w:after="0" w:line="252" w:lineRule="auto"/>
            </w:pPr>
            <w:r>
              <w:rPr>
                <w:sz w:val="17"/>
              </w:rPr>
              <w:t>3 Eigenes Lager</w:t>
            </w:r>
          </w:p>
        </w:tc>
        <w:tc>
          <w:tcPr>
            <w:tcW w:type="dxa" w:w="1905"/>
          </w:tcPr>
          <w:p>
            <w:pPr>
              <w:spacing w:after="0" w:line="252" w:lineRule="auto"/>
            </w:pPr>
            <w:r>
              <w:rPr>
                <w:sz w:val="17"/>
              </w:rPr>
              <w:t>Stammdaten, Bestand, Tablare, Belege</w:t>
            </w:r>
          </w:p>
        </w:tc>
        <w:tc>
          <w:tcPr>
            <w:tcW w:type="dxa" w:w="3828"/>
          </w:tcPr>
          <w:p>
            <w:pPr>
              <w:spacing w:after="0" w:line="252" w:lineRule="auto"/>
            </w:pPr>
            <w:r>
              <w:rPr>
                <w:sz w:val="17"/>
              </w:rPr>
              <w:t>Variante A: Klienten einrichten, Artikel anlegen, Bestand übernehmen</w:t>
            </w:r>
          </w:p>
        </w:tc>
        <w:tc>
          <w:tcPr>
            <w:tcW w:type="dxa" w:w="2714"/>
          </w:tcPr>
          <w:p>
            <w:pPr>
              <w:spacing w:after="0" w:line="252" w:lineRule="auto"/>
            </w:pPr>
            <w:r>
              <w:rPr>
                <w:sz w:val="17"/>
              </w:rPr>
              <w:t xml:space="preserve">Ablauf für Bestandsübernahme </w:t>
            </w:r>
            <w:r>
              <w:rPr>
                <w:b/>
                <w:sz w:val="17"/>
              </w:rPr>
              <w:t>zu verifizieren</w:t>
            </w:r>
          </w:p>
        </w:tc>
      </w:tr>
    </w:tbl>
    <w:p>
      <w:pPr>
        <w:pStyle w:val="BeschriftungSSI"/>
      </w:pPr>
      <w:r>
        <w:t>Tab. 12: Stufenplan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Wechsel später teuer</w:t>
            </w:r>
          </w:p>
          <w:p>
            <w:pPr>
              <w:spacing w:after="40"/>
            </w:pPr>
            <w:r>
              <w:rPr>
                <w:sz w:val="19"/>
              </w:rPr>
              <w:t>Wer mit Stufe 1 beginnt und später ein eigenes Lager braucht, muss Artikel im neuen Klienten neu anlegen und den Bestand umbuchen. Ob WAMAS dafür eine Funktion hat, ist nicht dokumentiert. Wenn Stufe 3 absehbar ist, lieber gleich mit Variante A starten.</w:t>
            </w:r>
          </w:p>
        </w:tc>
      </w:tr>
    </w:tbl>
    <w:p>
      <w:pPr>
        <w:spacing w:after="40"/>
      </w:pPr>
    </w:p>
    <w:p>
      <w:pPr>
        <w:pStyle w:val="Heading1"/>
      </w:pPr>
      <w:r>
        <w:t>10 Entscheidungsbaum und Fragen an die Stumatec</w:t>
      </w:r>
    </w:p>
    <w:p>
      <w:pPr>
        <w:keepNext/>
      </w:pPr>
      <w:r>
        <w:drawing>
          <wp:inline xmlns:a="http://schemas.openxmlformats.org/drawingml/2006/main" xmlns:pic="http://schemas.openxmlformats.org/drawingml/2006/picture">
            <wp:extent cx="5940000" cy="3996000"/>
            <wp:docPr id="111" name="Picture 111"/>
            <wp:cNvGraphicFramePr>
              <a:graphicFrameLocks noChangeAspect="1"/>
            </wp:cNvGraphicFramePr>
            <a:graphic>
              <a:graphicData uri="http://schemas.openxmlformats.org/drawingml/2006/picture">
                <pic:pic>
                  <pic:nvPicPr>
                    <pic:cNvPr id="0" name="entscheidungsbaum.png"/>
                    <pic:cNvPicPr/>
                  </pic:nvPicPr>
                  <pic:blipFill>
                    <a:blip r:embed="rId21"/>
                    <a:stretch>
                      <a:fillRect/>
                    </a:stretch>
                  </pic:blipFill>
                  <pic:spPr>
                    <a:xfrm>
                      <a:off x="0" y="0"/>
                      <a:ext cx="5940000" cy="3996000"/>
                    </a:xfrm>
                    <a:prstGeom prst="rect"/>
                  </pic:spPr>
                </pic:pic>
              </a:graphicData>
            </a:graphic>
          </wp:inline>
        </w:drawing>
      </w:r>
    </w:p>
    <w:p>
      <w:pPr>
        <w:pStyle w:val="BeschriftungSSI"/>
      </w:pPr>
      <w:r>
        <w:t>Abb. 8: Entscheidungsbaum (zeigt Wege, keine Entscheidung) (Grafik SSI SCHÄFER)</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567"/>
        <w:gridCol w:w="8025"/>
        <w:gridCol w:w="932"/>
      </w:tblGrid>
      <w:tr>
        <w:trPr>
          <w:tblHeader w:val="true"/>
          <w:cantSplit w:val="true"/>
        </w:trPr>
        <w:tc>
          <w:tcPr>
            <w:tcW w:type="dxa" w:w="567"/>
            <w:shd w:val="clear" w:color="auto" w:fill="FEEE19"/>
          </w:tcPr>
          <w:p>
            <w:pPr>
              <w:spacing w:after="0"/>
            </w:pPr>
            <w:r>
              <w:rPr>
                <w:b/>
                <w:sz w:val="17"/>
              </w:rPr>
              <w:t>Nr.</w:t>
            </w:r>
          </w:p>
        </w:tc>
        <w:tc>
          <w:tcPr>
            <w:tcW w:type="dxa" w:w="8025"/>
            <w:shd w:val="clear" w:color="auto" w:fill="FEEE19"/>
          </w:tcPr>
          <w:p>
            <w:pPr>
              <w:spacing w:after="0"/>
            </w:pPr>
            <w:r>
              <w:rPr>
                <w:b/>
                <w:sz w:val="17"/>
              </w:rPr>
              <w:t>Frage an die Stumatec</w:t>
            </w:r>
          </w:p>
        </w:tc>
        <w:tc>
          <w:tcPr>
            <w:tcW w:type="dxa" w:w="933"/>
            <w:shd w:val="clear" w:color="auto" w:fill="FEEE19"/>
          </w:tcPr>
          <w:p>
            <w:pPr>
              <w:spacing w:after="0"/>
            </w:pPr>
            <w:r>
              <w:rPr>
                <w:b/>
                <w:sz w:val="17"/>
              </w:rPr>
              <w:t>Antwort</w:t>
            </w:r>
          </w:p>
        </w:tc>
      </w:tr>
      <w:tr>
        <w:trPr>
          <w:cantSplit w:val="true"/>
        </w:trPr>
        <w:tc>
          <w:tcPr>
            <w:tcW w:type="dxa" w:w="567"/>
          </w:tcPr>
          <w:p>
            <w:pPr>
              <w:spacing w:after="0" w:line="252" w:lineRule="auto"/>
            </w:pPr>
            <w:r>
              <w:rPr>
                <w:sz w:val="17"/>
              </w:rPr>
              <w:t>F1</w:t>
            </w:r>
          </w:p>
        </w:tc>
        <w:tc>
          <w:tcPr>
            <w:tcW w:type="dxa" w:w="8025"/>
          </w:tcPr>
          <w:p>
            <w:pPr>
              <w:spacing w:after="0" w:line="252" w:lineRule="auto"/>
            </w:pPr>
            <w:r>
              <w:rPr>
                <w:sz w:val="17"/>
              </w:rPr>
              <w:t>Nutzen beide Firmen dieselben Artikel (gleiche Nummer, gleiche Stammdaten)?</w:t>
            </w:r>
          </w:p>
        </w:tc>
        <w:tc>
          <w:tcPr>
            <w:tcW w:type="dxa" w:w="933"/>
          </w:tcPr>
          <w:p>
            <w:pPr>
              <w:spacing w:after="0" w:line="252" w:lineRule="auto"/>
            </w:pPr>
          </w:p>
        </w:tc>
      </w:tr>
      <w:tr>
        <w:trPr>
          <w:cantSplit w:val="true"/>
        </w:trPr>
        <w:tc>
          <w:tcPr>
            <w:tcW w:type="dxa" w:w="567"/>
          </w:tcPr>
          <w:p>
            <w:pPr>
              <w:spacing w:after="0" w:line="252" w:lineRule="auto"/>
            </w:pPr>
            <w:r>
              <w:rPr>
                <w:sz w:val="17"/>
              </w:rPr>
              <w:t>F2</w:t>
            </w:r>
          </w:p>
        </w:tc>
        <w:tc>
          <w:tcPr>
            <w:tcW w:type="dxa" w:w="8025"/>
          </w:tcPr>
          <w:p>
            <w:pPr>
              <w:spacing w:after="0" w:line="252" w:lineRule="auto"/>
            </w:pPr>
            <w:r>
              <w:rPr>
                <w:sz w:val="17"/>
              </w:rPr>
              <w:t>Brauchen die Firmen eigene Stammdaten, Bedarfstypen, Belege oder Benutzerrechte?</w:t>
            </w:r>
          </w:p>
        </w:tc>
        <w:tc>
          <w:tcPr>
            <w:tcW w:type="dxa" w:w="933"/>
          </w:tcPr>
          <w:p>
            <w:pPr>
              <w:spacing w:after="0" w:line="252" w:lineRule="auto"/>
            </w:pPr>
          </w:p>
        </w:tc>
      </w:tr>
      <w:tr>
        <w:trPr>
          <w:cantSplit w:val="true"/>
        </w:trPr>
        <w:tc>
          <w:tcPr>
            <w:tcW w:type="dxa" w:w="567"/>
          </w:tcPr>
          <w:p>
            <w:pPr>
              <w:spacing w:after="0" w:line="252" w:lineRule="auto"/>
            </w:pPr>
            <w:r>
              <w:rPr>
                <w:sz w:val="17"/>
              </w:rPr>
              <w:t>F3</w:t>
            </w:r>
          </w:p>
        </w:tc>
        <w:tc>
          <w:tcPr>
            <w:tcW w:type="dxa" w:w="8025"/>
          </w:tcPr>
          <w:p>
            <w:pPr>
              <w:spacing w:after="0" w:line="252" w:lineRule="auto"/>
            </w:pPr>
            <w:r>
              <w:rPr>
                <w:sz w:val="17"/>
              </w:rPr>
              <w:t>Was heisst „getrenntes Lager“: nur Bestand, eigene Tablare oder eigener LOGIMAT je Firma?</w:t>
            </w:r>
          </w:p>
        </w:tc>
        <w:tc>
          <w:tcPr>
            <w:tcW w:type="dxa" w:w="933"/>
          </w:tcPr>
          <w:p>
            <w:pPr>
              <w:spacing w:after="0" w:line="252" w:lineRule="auto"/>
            </w:pPr>
          </w:p>
        </w:tc>
      </w:tr>
      <w:tr>
        <w:trPr>
          <w:cantSplit w:val="true"/>
        </w:trPr>
        <w:tc>
          <w:tcPr>
            <w:tcW w:type="dxa" w:w="567"/>
          </w:tcPr>
          <w:p>
            <w:pPr>
              <w:spacing w:after="0" w:line="252" w:lineRule="auto"/>
            </w:pPr>
            <w:r>
              <w:rPr>
                <w:sz w:val="17"/>
              </w:rPr>
              <w:t>F4</w:t>
            </w:r>
          </w:p>
        </w:tc>
        <w:tc>
          <w:tcPr>
            <w:tcW w:type="dxa" w:w="8025"/>
          </w:tcPr>
          <w:p>
            <w:pPr>
              <w:spacing w:after="0" w:line="252" w:lineRule="auto"/>
            </w:pPr>
            <w:r>
              <w:rPr>
                <w:sz w:val="17"/>
              </w:rPr>
              <w:t>Kommen Einlagerungen über ERP oder Import, oder wird viel manuell am Touch eingelagert?</w:t>
            </w:r>
          </w:p>
        </w:tc>
        <w:tc>
          <w:tcPr>
            <w:tcW w:type="dxa" w:w="933"/>
          </w:tcPr>
          <w:p>
            <w:pPr>
              <w:spacing w:after="0" w:line="252" w:lineRule="auto"/>
            </w:pPr>
          </w:p>
        </w:tc>
      </w:tr>
      <w:tr>
        <w:trPr>
          <w:cantSplit w:val="true"/>
        </w:trPr>
        <w:tc>
          <w:tcPr>
            <w:tcW w:type="dxa" w:w="567"/>
          </w:tcPr>
          <w:p>
            <w:pPr>
              <w:spacing w:after="0" w:line="252" w:lineRule="auto"/>
            </w:pPr>
            <w:r>
              <w:rPr>
                <w:sz w:val="17"/>
              </w:rPr>
              <w:t>F5</w:t>
            </w:r>
          </w:p>
        </w:tc>
        <w:tc>
          <w:tcPr>
            <w:tcW w:type="dxa" w:w="8025"/>
          </w:tcPr>
          <w:p>
            <w:pPr>
              <w:spacing w:after="0" w:line="252" w:lineRule="auto"/>
            </w:pPr>
            <w:r>
              <w:rPr>
                <w:sz w:val="17"/>
              </w:rPr>
              <w:t>Gibt es ein ERP? Kann es Klient bzw. Wareneigentümer je Zeile senden?</w:t>
            </w:r>
          </w:p>
        </w:tc>
        <w:tc>
          <w:tcPr>
            <w:tcW w:type="dxa" w:w="933"/>
          </w:tcPr>
          <w:p>
            <w:pPr>
              <w:spacing w:after="0" w:line="252" w:lineRule="auto"/>
            </w:pPr>
          </w:p>
        </w:tc>
      </w:tr>
      <w:tr>
        <w:trPr>
          <w:cantSplit w:val="true"/>
        </w:trPr>
        <w:tc>
          <w:tcPr>
            <w:tcW w:type="dxa" w:w="567"/>
          </w:tcPr>
          <w:p>
            <w:pPr>
              <w:spacing w:after="0" w:line="252" w:lineRule="auto"/>
            </w:pPr>
            <w:r>
              <w:rPr>
                <w:sz w:val="17"/>
              </w:rPr>
              <w:t>F6</w:t>
            </w:r>
          </w:p>
        </w:tc>
        <w:tc>
          <w:tcPr>
            <w:tcW w:type="dxa" w:w="8025"/>
          </w:tcPr>
          <w:p>
            <w:pPr>
              <w:spacing w:after="0" w:line="252" w:lineRule="auto"/>
            </w:pPr>
            <w:r>
              <w:rPr>
                <w:sz w:val="17"/>
              </w:rPr>
              <w:t>Welche Auswertungen braucht jede Firma (Bestandsliste, Inventurliste, Belege)?</w:t>
            </w:r>
          </w:p>
        </w:tc>
        <w:tc>
          <w:tcPr>
            <w:tcW w:type="dxa" w:w="933"/>
          </w:tcPr>
          <w:p>
            <w:pPr>
              <w:spacing w:after="0" w:line="252" w:lineRule="auto"/>
            </w:pPr>
          </w:p>
        </w:tc>
      </w:tr>
      <w:tr>
        <w:trPr>
          <w:cantSplit w:val="true"/>
        </w:trPr>
        <w:tc>
          <w:tcPr>
            <w:tcW w:type="dxa" w:w="567"/>
          </w:tcPr>
          <w:p>
            <w:pPr>
              <w:spacing w:after="0" w:line="252" w:lineRule="auto"/>
            </w:pPr>
            <w:r>
              <w:rPr>
                <w:sz w:val="17"/>
              </w:rPr>
              <w:t>F7</w:t>
            </w:r>
          </w:p>
        </w:tc>
        <w:tc>
          <w:tcPr>
            <w:tcW w:type="dxa" w:w="8025"/>
          </w:tcPr>
          <w:p>
            <w:pPr>
              <w:spacing w:after="0" w:line="252" w:lineRule="auto"/>
            </w:pPr>
            <w:r>
              <w:rPr>
                <w:sz w:val="17"/>
              </w:rPr>
              <w:t>Ist absehbar, dass eine Firma später ein eigenes Lager oder ein eigenes System bekommt?</w:t>
            </w:r>
          </w:p>
        </w:tc>
        <w:tc>
          <w:tcPr>
            <w:tcW w:type="dxa" w:w="933"/>
          </w:tcPr>
          <w:p>
            <w:pPr>
              <w:spacing w:after="0" w:line="252" w:lineRule="auto"/>
            </w:pPr>
          </w:p>
        </w:tc>
      </w:tr>
      <w:tr>
        <w:trPr>
          <w:cantSplit w:val="true"/>
        </w:trPr>
        <w:tc>
          <w:tcPr>
            <w:tcW w:type="dxa" w:w="567"/>
          </w:tcPr>
          <w:p>
            <w:pPr>
              <w:spacing w:after="0" w:line="252" w:lineRule="auto"/>
            </w:pPr>
            <w:r>
              <w:rPr>
                <w:sz w:val="17"/>
              </w:rPr>
              <w:t>F8</w:t>
            </w:r>
          </w:p>
        </w:tc>
        <w:tc>
          <w:tcPr>
            <w:tcW w:type="dxa" w:w="8025"/>
          </w:tcPr>
          <w:p>
            <w:pPr>
              <w:spacing w:after="0" w:line="252" w:lineRule="auto"/>
            </w:pPr>
            <w:r>
              <w:rPr>
                <w:sz w:val="17"/>
              </w:rPr>
              <w:t>Wer entscheidet bis wann?</w:t>
            </w:r>
          </w:p>
        </w:tc>
        <w:tc>
          <w:tcPr>
            <w:tcW w:type="dxa" w:w="933"/>
          </w:tcPr>
          <w:p>
            <w:pPr>
              <w:spacing w:after="0" w:line="252" w:lineRule="auto"/>
            </w:pPr>
          </w:p>
        </w:tc>
      </w:tr>
    </w:tbl>
    <w:p>
      <w:pPr>
        <w:pStyle w:val="BeschriftungSSI"/>
      </w:pPr>
      <w:r>
        <w:t>Tab. 13: Fragen zur Entscheidung</w:t>
      </w:r>
    </w:p>
    <w:p>
      <w:pPr>
        <w:pStyle w:val="Heading1"/>
      </w:pPr>
      <w:r>
        <w:t>11 Nächste Schritte und zu verifizieren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567"/>
        <w:gridCol w:w="6883"/>
        <w:gridCol w:w="1037"/>
        <w:gridCol w:w="1037"/>
      </w:tblGrid>
      <w:tr>
        <w:trPr>
          <w:tblHeader w:val="true"/>
          <w:cantSplit w:val="true"/>
        </w:trPr>
        <w:tc>
          <w:tcPr>
            <w:tcW w:type="dxa" w:w="567"/>
            <w:shd w:val="clear" w:color="auto" w:fill="FEEE19"/>
          </w:tcPr>
          <w:p>
            <w:pPr>
              <w:spacing w:after="0"/>
            </w:pPr>
            <w:r>
              <w:rPr>
                <w:b/>
                <w:sz w:val="17"/>
              </w:rPr>
              <w:t>Nr.</w:t>
            </w:r>
          </w:p>
        </w:tc>
        <w:tc>
          <w:tcPr>
            <w:tcW w:type="dxa" w:w="6883"/>
            <w:shd w:val="clear" w:color="auto" w:fill="FEEE19"/>
          </w:tcPr>
          <w:p>
            <w:pPr>
              <w:spacing w:after="0"/>
            </w:pPr>
            <w:r>
              <w:rPr>
                <w:b/>
                <w:sz w:val="17"/>
              </w:rPr>
              <w:t>Punkt</w:t>
            </w:r>
          </w:p>
        </w:tc>
        <w:tc>
          <w:tcPr>
            <w:tcW w:type="dxa" w:w="1037"/>
            <w:shd w:val="clear" w:color="auto" w:fill="FEEE19"/>
          </w:tcPr>
          <w:p>
            <w:pPr>
              <w:spacing w:after="0"/>
            </w:pPr>
            <w:r>
              <w:rPr>
                <w:b/>
                <w:sz w:val="17"/>
              </w:rPr>
              <w:t>Variante</w:t>
            </w:r>
          </w:p>
        </w:tc>
        <w:tc>
          <w:tcPr>
            <w:tcW w:type="dxa" w:w="1037"/>
            <w:shd w:val="clear" w:color="auto" w:fill="FEEE19"/>
          </w:tcPr>
          <w:p>
            <w:pPr>
              <w:spacing w:after="0"/>
            </w:pPr>
            <w:r>
              <w:rPr>
                <w:b/>
                <w:sz w:val="17"/>
              </w:rPr>
              <w:t>Wer</w:t>
            </w:r>
          </w:p>
        </w:tc>
      </w:tr>
      <w:tr>
        <w:trPr>
          <w:cantSplit w:val="true"/>
        </w:trPr>
        <w:tc>
          <w:tcPr>
            <w:tcW w:type="dxa" w:w="567"/>
          </w:tcPr>
          <w:p>
            <w:pPr>
              <w:spacing w:after="0" w:line="252" w:lineRule="auto"/>
            </w:pPr>
            <w:r>
              <w:rPr>
                <w:sz w:val="17"/>
              </w:rPr>
              <w:t>1</w:t>
            </w:r>
          </w:p>
        </w:tc>
        <w:tc>
          <w:tcPr>
            <w:tcW w:type="dxa" w:w="6883"/>
          </w:tcPr>
          <w:p>
            <w:pPr>
              <w:spacing w:after="0" w:line="252" w:lineRule="auto"/>
            </w:pPr>
            <w:r>
              <w:rPr>
                <w:sz w:val="17"/>
              </w:rPr>
              <w:t>Bestand je Wareneigentümer anzeigen (Desktop) und nach Inventur je Eigentümer auswerten</w:t>
            </w:r>
          </w:p>
        </w:tc>
        <w:tc>
          <w:tcPr>
            <w:tcW w:type="dxa" w:w="1037"/>
          </w:tcPr>
          <w:p>
            <w:pPr>
              <w:spacing w:after="0" w:line="252" w:lineRule="auto"/>
            </w:pPr>
            <w:r>
              <w:rPr>
                <w:sz w:val="17"/>
              </w:rPr>
              <w:t>B</w:t>
            </w:r>
          </w:p>
        </w:tc>
        <w:tc>
          <w:tcPr>
            <w:tcW w:type="dxa" w:w="1037"/>
          </w:tcPr>
          <w:p>
            <w:pPr>
              <w:spacing w:after="0" w:line="252" w:lineRule="auto"/>
            </w:pPr>
            <w:r>
              <w:rPr>
                <w:sz w:val="17"/>
              </w:rPr>
              <w:t>SSI</w:t>
            </w:r>
          </w:p>
        </w:tc>
      </w:tr>
      <w:tr>
        <w:trPr>
          <w:cantSplit w:val="true"/>
        </w:trPr>
        <w:tc>
          <w:tcPr>
            <w:tcW w:type="dxa" w:w="567"/>
          </w:tcPr>
          <w:p>
            <w:pPr>
              <w:spacing w:after="0" w:line="252" w:lineRule="auto"/>
            </w:pPr>
            <w:r>
              <w:rPr>
                <w:sz w:val="17"/>
              </w:rPr>
              <w:t>2</w:t>
            </w:r>
          </w:p>
        </w:tc>
        <w:tc>
          <w:tcPr>
            <w:tcW w:type="dxa" w:w="6883"/>
          </w:tcPr>
          <w:p>
            <w:pPr>
              <w:spacing w:after="0" w:line="252" w:lineRule="auto"/>
            </w:pPr>
            <w:r>
              <w:rPr>
                <w:sz w:val="17"/>
              </w:rPr>
              <w:t>Reservierung beim Kommissionieren nur aus Bestand des Wareneigentümers</w:t>
            </w:r>
          </w:p>
        </w:tc>
        <w:tc>
          <w:tcPr>
            <w:tcW w:type="dxa" w:w="1037"/>
          </w:tcPr>
          <w:p>
            <w:pPr>
              <w:spacing w:after="0" w:line="252" w:lineRule="auto"/>
            </w:pPr>
            <w:r>
              <w:rPr>
                <w:sz w:val="17"/>
              </w:rPr>
              <w:t>B</w:t>
            </w:r>
          </w:p>
        </w:tc>
        <w:tc>
          <w:tcPr>
            <w:tcW w:type="dxa" w:w="1037"/>
          </w:tcPr>
          <w:p>
            <w:pPr>
              <w:spacing w:after="0" w:line="252" w:lineRule="auto"/>
            </w:pPr>
            <w:r>
              <w:rPr>
                <w:sz w:val="17"/>
              </w:rPr>
              <w:t>SSI</w:t>
            </w:r>
          </w:p>
        </w:tc>
      </w:tr>
      <w:tr>
        <w:trPr>
          <w:cantSplit w:val="true"/>
        </w:trPr>
        <w:tc>
          <w:tcPr>
            <w:tcW w:type="dxa" w:w="567"/>
          </w:tcPr>
          <w:p>
            <w:pPr>
              <w:spacing w:after="0" w:line="252" w:lineRule="auto"/>
            </w:pPr>
            <w:r>
              <w:rPr>
                <w:sz w:val="17"/>
              </w:rPr>
              <w:t>3</w:t>
            </w:r>
          </w:p>
        </w:tc>
        <w:tc>
          <w:tcPr>
            <w:tcW w:type="dxa" w:w="6883"/>
          </w:tcPr>
          <w:p>
            <w:pPr>
              <w:spacing w:after="0" w:line="252" w:lineRule="auto"/>
            </w:pPr>
            <w:r>
              <w:rPr>
                <w:sz w:val="17"/>
              </w:rPr>
              <w:t>Eigentümer bei manueller Einlagerung am Touch (Standard-Eigentümer?)</w:t>
            </w:r>
          </w:p>
        </w:tc>
        <w:tc>
          <w:tcPr>
            <w:tcW w:type="dxa" w:w="1037"/>
          </w:tcPr>
          <w:p>
            <w:pPr>
              <w:spacing w:after="0" w:line="252" w:lineRule="auto"/>
            </w:pPr>
            <w:r>
              <w:rPr>
                <w:sz w:val="17"/>
              </w:rPr>
              <w:t>B</w:t>
            </w:r>
          </w:p>
        </w:tc>
        <w:tc>
          <w:tcPr>
            <w:tcW w:type="dxa" w:w="1037"/>
          </w:tcPr>
          <w:p>
            <w:pPr>
              <w:spacing w:after="0" w:line="252" w:lineRule="auto"/>
            </w:pPr>
            <w:r>
              <w:rPr>
                <w:sz w:val="17"/>
              </w:rPr>
              <w:t>SSI</w:t>
            </w:r>
          </w:p>
        </w:tc>
      </w:tr>
      <w:tr>
        <w:trPr>
          <w:cantSplit w:val="true"/>
        </w:trPr>
        <w:tc>
          <w:tcPr>
            <w:tcW w:type="dxa" w:w="567"/>
          </w:tcPr>
          <w:p>
            <w:pPr>
              <w:spacing w:after="0" w:line="252" w:lineRule="auto"/>
            </w:pPr>
            <w:r>
              <w:rPr>
                <w:sz w:val="17"/>
              </w:rPr>
              <w:t>4</w:t>
            </w:r>
          </w:p>
        </w:tc>
        <w:tc>
          <w:tcPr>
            <w:tcW w:type="dxa" w:w="6883"/>
          </w:tcPr>
          <w:p>
            <w:pPr>
              <w:spacing w:after="0" w:line="252" w:lineRule="auto"/>
            </w:pPr>
            <w:r>
              <w:rPr>
                <w:sz w:val="17"/>
              </w:rPr>
              <w:t>Blocker Warenausgangs-Auftragstyp bei neuem Klienten lösen</w:t>
            </w:r>
          </w:p>
        </w:tc>
        <w:tc>
          <w:tcPr>
            <w:tcW w:type="dxa" w:w="1037"/>
          </w:tcPr>
          <w:p>
            <w:pPr>
              <w:spacing w:after="0" w:line="252" w:lineRule="auto"/>
            </w:pPr>
            <w:r>
              <w:rPr>
                <w:sz w:val="17"/>
              </w:rPr>
              <w:t>A</w:t>
            </w:r>
          </w:p>
        </w:tc>
        <w:tc>
          <w:tcPr>
            <w:tcW w:type="dxa" w:w="1037"/>
          </w:tcPr>
          <w:p>
            <w:pPr>
              <w:spacing w:after="0" w:line="252" w:lineRule="auto"/>
            </w:pPr>
            <w:r>
              <w:rPr>
                <w:sz w:val="17"/>
              </w:rPr>
              <w:t>SSI</w:t>
            </w:r>
          </w:p>
        </w:tc>
      </w:tr>
      <w:tr>
        <w:trPr>
          <w:cantSplit w:val="true"/>
        </w:trPr>
        <w:tc>
          <w:tcPr>
            <w:tcW w:type="dxa" w:w="567"/>
          </w:tcPr>
          <w:p>
            <w:pPr>
              <w:spacing w:after="0" w:line="252" w:lineRule="auto"/>
            </w:pPr>
            <w:r>
              <w:rPr>
                <w:sz w:val="17"/>
              </w:rPr>
              <w:t>5</w:t>
            </w:r>
          </w:p>
        </w:tc>
        <w:tc>
          <w:tcPr>
            <w:tcW w:type="dxa" w:w="6883"/>
          </w:tcPr>
          <w:p>
            <w:pPr>
              <w:spacing w:after="0" w:line="252" w:lineRule="auto"/>
            </w:pPr>
            <w:r>
              <w:rPr>
                <w:sz w:val="17"/>
              </w:rPr>
              <w:t>Datenzugriffsprofil je Klient; Klient mit Historie löschen; Bestand zwischen Klienten umbuchen</w:t>
            </w:r>
          </w:p>
        </w:tc>
        <w:tc>
          <w:tcPr>
            <w:tcW w:type="dxa" w:w="1037"/>
          </w:tcPr>
          <w:p>
            <w:pPr>
              <w:spacing w:after="0" w:line="252" w:lineRule="auto"/>
            </w:pPr>
            <w:r>
              <w:rPr>
                <w:sz w:val="17"/>
              </w:rPr>
              <w:t>A</w:t>
            </w:r>
          </w:p>
        </w:tc>
        <w:tc>
          <w:tcPr>
            <w:tcW w:type="dxa" w:w="1037"/>
          </w:tcPr>
          <w:p>
            <w:pPr>
              <w:spacing w:after="0" w:line="252" w:lineRule="auto"/>
            </w:pPr>
            <w:r>
              <w:rPr>
                <w:sz w:val="17"/>
              </w:rPr>
              <w:t>SSI</w:t>
            </w:r>
          </w:p>
        </w:tc>
      </w:tr>
      <w:tr>
        <w:trPr>
          <w:cantSplit w:val="true"/>
        </w:trPr>
        <w:tc>
          <w:tcPr>
            <w:tcW w:type="dxa" w:w="567"/>
          </w:tcPr>
          <w:p>
            <w:pPr>
              <w:spacing w:after="0" w:line="252" w:lineRule="auto"/>
            </w:pPr>
            <w:r>
              <w:rPr>
                <w:sz w:val="17"/>
              </w:rPr>
              <w:t>6</w:t>
            </w:r>
          </w:p>
        </w:tc>
        <w:tc>
          <w:tcPr>
            <w:tcW w:type="dxa" w:w="6883"/>
          </w:tcPr>
          <w:p>
            <w:pPr>
              <w:spacing w:after="0" w:line="252" w:lineRule="auto"/>
            </w:pPr>
            <w:r>
              <w:rPr>
                <w:sz w:val="17"/>
              </w:rPr>
              <w:t>Homogenität nach Wareneigentümer; Klient an externen Lagerplatzgruppen; Lagerstandort je LOGIMAT</w:t>
            </w:r>
          </w:p>
        </w:tc>
        <w:tc>
          <w:tcPr>
            <w:tcW w:type="dxa" w:w="1037"/>
          </w:tcPr>
          <w:p>
            <w:pPr>
              <w:spacing w:after="0" w:line="252" w:lineRule="auto"/>
            </w:pPr>
            <w:r>
              <w:rPr>
                <w:sz w:val="17"/>
              </w:rPr>
              <w:t>C4</w:t>
            </w:r>
          </w:p>
        </w:tc>
        <w:tc>
          <w:tcPr>
            <w:tcW w:type="dxa" w:w="1037"/>
          </w:tcPr>
          <w:p>
            <w:pPr>
              <w:spacing w:after="0" w:line="252" w:lineRule="auto"/>
            </w:pPr>
            <w:r>
              <w:rPr>
                <w:sz w:val="17"/>
              </w:rPr>
              <w:t>SSI</w:t>
            </w:r>
          </w:p>
        </w:tc>
      </w:tr>
      <w:tr>
        <w:trPr>
          <w:cantSplit w:val="true"/>
        </w:trPr>
        <w:tc>
          <w:tcPr>
            <w:tcW w:type="dxa" w:w="567"/>
          </w:tcPr>
          <w:p>
            <w:pPr>
              <w:spacing w:after="0" w:line="252" w:lineRule="auto"/>
            </w:pPr>
            <w:r>
              <w:rPr>
                <w:sz w:val="17"/>
              </w:rPr>
              <w:t>7</w:t>
            </w:r>
          </w:p>
        </w:tc>
        <w:tc>
          <w:tcPr>
            <w:tcW w:type="dxa" w:w="6883"/>
          </w:tcPr>
          <w:p>
            <w:pPr>
              <w:spacing w:after="0" w:line="252" w:lineRule="auto"/>
            </w:pPr>
            <w:r>
              <w:rPr>
                <w:sz w:val="17"/>
              </w:rPr>
              <w:t>Fragen F1–F8 beantworten, danach Entscheid</w:t>
            </w:r>
          </w:p>
        </w:tc>
        <w:tc>
          <w:tcPr>
            <w:tcW w:type="dxa" w:w="1037"/>
          </w:tcPr>
          <w:p>
            <w:pPr>
              <w:spacing w:after="0" w:line="252" w:lineRule="auto"/>
            </w:pPr>
            <w:r>
              <w:rPr>
                <w:sz w:val="17"/>
              </w:rPr>
              <w:t>alle</w:t>
            </w:r>
          </w:p>
        </w:tc>
        <w:tc>
          <w:tcPr>
            <w:tcW w:type="dxa" w:w="1037"/>
          </w:tcPr>
          <w:p>
            <w:pPr>
              <w:spacing w:after="0" w:line="252" w:lineRule="auto"/>
            </w:pPr>
            <w:r>
              <w:rPr>
                <w:sz w:val="17"/>
              </w:rPr>
              <w:t>Stumatec</w:t>
            </w:r>
          </w:p>
        </w:tc>
      </w:tr>
    </w:tbl>
    <w:p>
      <w:pPr>
        <w:pStyle w:val="BeschriftungSSI"/>
      </w:pPr>
      <w:r>
        <w:t>Tab. 14: Nächste Schritte</w:t>
      </w:r>
    </w:p>
    <w:p>
      <w:pPr>
        <w:pStyle w:val="Heading1"/>
      </w:pPr>
      <w:r>
        <w:t>12 Quellenverzeichnis</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827"/>
        <w:gridCol w:w="8697"/>
      </w:tblGrid>
      <w:tr>
        <w:trPr>
          <w:tblHeader w:val="true"/>
          <w:cantSplit w:val="true"/>
        </w:trPr>
        <w:tc>
          <w:tcPr>
            <w:tcW w:type="dxa" w:w="828"/>
            <w:shd w:val="clear" w:color="auto" w:fill="FEEE19"/>
          </w:tcPr>
          <w:p>
            <w:pPr>
              <w:spacing w:after="0"/>
            </w:pPr>
            <w:r>
              <w:rPr>
                <w:b/>
                <w:sz w:val="17"/>
              </w:rPr>
              <w:t>Kürzel</w:t>
            </w:r>
          </w:p>
        </w:tc>
        <w:tc>
          <w:tcPr>
            <w:tcW w:type="dxa" w:w="8697"/>
            <w:shd w:val="clear" w:color="auto" w:fill="FEEE19"/>
          </w:tcPr>
          <w:p>
            <w:pPr>
              <w:spacing w:after="0"/>
            </w:pPr>
            <w:r>
              <w:rPr>
                <w:b/>
                <w:sz w:val="17"/>
              </w:rPr>
              <w:t>Dokument</w:t>
            </w:r>
          </w:p>
        </w:tc>
      </w:tr>
      <w:tr>
        <w:trPr>
          <w:cantSplit w:val="true"/>
        </w:trPr>
        <w:tc>
          <w:tcPr>
            <w:tcW w:type="dxa" w:w="828"/>
          </w:tcPr>
          <w:p>
            <w:pPr>
              <w:spacing w:after="0" w:line="252" w:lineRule="auto"/>
            </w:pPr>
            <w:r>
              <w:rPr>
                <w:sz w:val="17"/>
              </w:rPr>
              <w:t>KP28</w:t>
            </w:r>
          </w:p>
        </w:tc>
        <w:tc>
          <w:tcPr>
            <w:tcW w:type="dxa" w:w="8697"/>
          </w:tcPr>
          <w:p>
            <w:pPr>
              <w:spacing w:after="0" w:line="252" w:lineRule="auto"/>
            </w:pPr>
            <w:r>
              <w:rPr>
                <w:sz w:val="17"/>
              </w:rPr>
              <w:t>How-to „Klient pflegen“ WAMAS LS 2.8 V 1.2, 20.10.2026</w:t>
            </w:r>
          </w:p>
        </w:tc>
      </w:tr>
      <w:tr>
        <w:trPr>
          <w:cantSplit w:val="true"/>
        </w:trPr>
        <w:tc>
          <w:tcPr>
            <w:tcW w:type="dxa" w:w="828"/>
          </w:tcPr>
          <w:p>
            <w:pPr>
              <w:spacing w:after="0" w:line="252" w:lineRule="auto"/>
            </w:pPr>
            <w:r>
              <w:rPr>
                <w:sz w:val="17"/>
              </w:rPr>
              <w:t>KLP</w:t>
            </w:r>
          </w:p>
        </w:tc>
        <w:tc>
          <w:tcPr>
            <w:tcW w:type="dxa" w:w="8697"/>
          </w:tcPr>
          <w:p>
            <w:pPr>
              <w:spacing w:after="0" w:line="252" w:lineRule="auto"/>
            </w:pPr>
            <w:r>
              <w:rPr>
                <w:sz w:val="17"/>
              </w:rPr>
              <w:t>How-to „Klienten, Lieferanten und Partner anlegen“ WAMAS LS 2.7 V 1.1 (Inhalte in 2.8 zu prüfen)</w:t>
            </w:r>
          </w:p>
        </w:tc>
      </w:tr>
      <w:tr>
        <w:trPr>
          <w:cantSplit w:val="true"/>
        </w:trPr>
        <w:tc>
          <w:tcPr>
            <w:tcW w:type="dxa" w:w="828"/>
          </w:tcPr>
          <w:p>
            <w:pPr>
              <w:spacing w:after="0" w:line="252" w:lineRule="auto"/>
            </w:pPr>
            <w:r>
              <w:rPr>
                <w:sz w:val="17"/>
              </w:rPr>
              <w:t>TG28</w:t>
            </w:r>
          </w:p>
        </w:tc>
        <w:tc>
          <w:tcPr>
            <w:tcW w:type="dxa" w:w="8697"/>
          </w:tcPr>
          <w:p>
            <w:pPr>
              <w:spacing w:after="0" w:line="252" w:lineRule="auto"/>
            </w:pPr>
            <w:r>
              <w:rPr>
                <w:sz w:val="17"/>
              </w:rPr>
              <w:t>Telegramm-Anleitung Stammdaten- und Auftragsimport WAMAS LS 2.8 V 1.0</w:t>
            </w:r>
          </w:p>
        </w:tc>
      </w:tr>
      <w:tr>
        <w:trPr>
          <w:cantSplit w:val="true"/>
        </w:trPr>
        <w:tc>
          <w:tcPr>
            <w:tcW w:type="dxa" w:w="828"/>
          </w:tcPr>
          <w:p>
            <w:pPr>
              <w:spacing w:after="0" w:line="252" w:lineRule="auto"/>
            </w:pPr>
            <w:r>
              <w:rPr>
                <w:sz w:val="17"/>
              </w:rPr>
              <w:t>DD28</w:t>
            </w:r>
          </w:p>
        </w:tc>
        <w:tc>
          <w:tcPr>
            <w:tcW w:type="dxa" w:w="8697"/>
          </w:tcPr>
          <w:p>
            <w:pPr>
              <w:spacing w:after="0" w:line="252" w:lineRule="auto"/>
            </w:pPr>
            <w:r>
              <w:rPr>
                <w:sz w:val="17"/>
              </w:rPr>
              <w:t>Druckdokumente WAMAS LS 2.8 V 1.1</w:t>
            </w:r>
          </w:p>
        </w:tc>
      </w:tr>
      <w:tr>
        <w:trPr>
          <w:cantSplit w:val="true"/>
        </w:trPr>
        <w:tc>
          <w:tcPr>
            <w:tcW w:type="dxa" w:w="828"/>
          </w:tcPr>
          <w:p>
            <w:pPr>
              <w:spacing w:after="0" w:line="252" w:lineRule="auto"/>
            </w:pPr>
            <w:r>
              <w:rPr>
                <w:sz w:val="17"/>
              </w:rPr>
              <w:t>Tests</w:t>
            </w:r>
          </w:p>
        </w:tc>
        <w:tc>
          <w:tcPr>
            <w:tcW w:type="dxa" w:w="8697"/>
          </w:tcPr>
          <w:p>
            <w:pPr>
              <w:spacing w:after="0" w:line="252" w:lineRule="auto"/>
            </w:pPr>
            <w:r>
              <w:rPr>
                <w:sz w:val="17"/>
              </w:rPr>
              <w:t>Testabläufe Modelle 1–4, Einrichtungsstand MD017 v0.3, Klienten-Recherche v0.1, Eigentümermodelle Vergleich v0.1 (SSI-Testsystem srv01, 20.–23.10.2026)</w:t>
            </w:r>
          </w:p>
        </w:tc>
      </w:tr>
      <w:tr>
        <w:trPr>
          <w:cantSplit w:val="true"/>
        </w:trPr>
        <w:tc>
          <w:tcPr>
            <w:tcW w:type="dxa" w:w="828"/>
          </w:tcPr>
          <w:p>
            <w:pPr>
              <w:spacing w:after="0" w:line="252" w:lineRule="auto"/>
            </w:pPr>
            <w:r>
              <w:rPr>
                <w:sz w:val="17"/>
              </w:rPr>
              <w:t>AH27 / AH28</w:t>
            </w:r>
          </w:p>
        </w:tc>
        <w:tc>
          <w:tcPr>
            <w:tcW w:type="dxa" w:w="8697"/>
          </w:tcPr>
          <w:p>
            <w:pPr>
              <w:spacing w:after="0" w:line="252" w:lineRule="auto"/>
            </w:pPr>
            <w:r>
              <w:rPr>
                <w:sz w:val="17"/>
              </w:rPr>
              <w:t>Administratorhandbuch 2.7 (deDE) / Administrator Manual 2.8 (enUS)</w:t>
            </w:r>
          </w:p>
        </w:tc>
      </w:tr>
    </w:tbl>
    <w:p>
      <w:pPr>
        <w:pStyle w:val="BeschriftungSSI"/>
      </w:pPr>
      <w:r>
        <w:t>Tab. 15: Quellen</w:t>
      </w:r>
    </w:p>
    <w:sectPr w:rsidR="00FC693F" w:rsidRPr="0006063C" w:rsidSect="00034616">
      <w:headerReference w:type="default" r:id="rId12"/>
      <w:footerReference w:type="default" r:id="rId13"/>
      <w:pgSz w:w="11906" w:h="16838"/>
      <w:pgMar w:top="1474" w:right="1134" w:bottom="1474" w:left="1247" w:header="567" w:footer="454"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drawing>
        <wp:anchor distT="0" distB="0" distL="0" distR="0" simplePos="0" relativeHeight="251658344" behindDoc="1" locked="0" layoutInCell="1" allowOverlap="1">
          <wp:simplePos x="0" y="0"/>
          <wp:positionH relativeFrom="page">
            <wp:posOffset>6983999</wp:posOffset>
          </wp:positionH>
          <wp:positionV relativeFrom="page">
            <wp:posOffset>9936000</wp:posOffset>
          </wp:positionV>
          <wp:extent cx="576000" cy="648000"/>
          <wp:effectExtent l="0" t="0" r="0" b="0"/>
          <wp:wrapNone/>
          <wp:docPr id="104" name="Bild 104"/>
          <wp:cNvGraphicFramePr/>
          <a:graphic xmlns:a="http://schemas.openxmlformats.org/drawingml/2006/main" xmlns:pic="http://schemas.openxmlformats.org/drawingml/2006/picture">
            <a:graphicData uri="http://schemas.openxmlformats.org/drawingml/2006/picture">
              <pic:pic>
                <pic:nvPicPr>
                  <pic:cNvPr id="0" name="gelbes_eck.png"/>
                  <pic:cNvPicPr/>
                </pic:nvPicPr>
                <pic:blipFill>
                  <a:blip r:embed="rId1"/>
                  <a:stretch>
                    <a:fillRect/>
                  </a:stretch>
                </pic:blipFill>
                <pic:spPr>
                  <a:xfrm>
                    <a:off x="0" y="0"/>
                    <a:ext cx="576000" cy="648000"/>
                  </a:xfrm>
                  <a:prstGeom prst="rect"/>
                </pic:spPr>
              </pic:pic>
            </a:graphicData>
          </a:graphic>
        </wp:anchor>
      </w:drawing>
    </w:r>
  </w:p>
  <w:tbl>
    <w:tblPr>
      <w:tblLook w:firstColumn="1" w:firstRow="1" w:lastColumn="0" w:lastRow="0" w:noHBand="0" w:noVBand="1" w:val="04A0"/>
      <w:tblW w:w="9525" w:type="dxa"/>
      <w:tblLayout w:type="fixed"/>
    </w:tblPr>
    <w:tblGrid>
      <w:gridCol w:w="5103"/>
      <w:gridCol w:w="4422"/>
    </w:tblGrid>
    <w:tr>
      <w:tc>
        <w:tcPr>
          <w:tcW w:type="dxa" w:w="5102"/>
        </w:tcPr>
        <w:p>
          <w:pPr>
            <w:spacing w:after="0" w:line="240" w:lineRule="auto"/>
          </w:pPr>
          <w:r>
            <w:rPr>
              <w:sz w:val="13"/>
            </w:rPr>
            <w:t>WAMAS Lift &amp; Store 2.8 · SSI LOGIMAT</w:t>
          </w:r>
        </w:p>
        <w:p>
          <w:pPr>
            <w:spacing w:after="0" w:line="240" w:lineRule="auto"/>
          </w:pPr>
          <w:r>
            <w:rPr>
              <w:sz w:val="13"/>
            </w:rPr>
            <w:t>Stumatec · Entscheidungsgrundlage V 1.0</w:t>
          </w:r>
        </w:p>
        <w:p>
          <w:pPr>
            <w:spacing w:after="0" w:line="240" w:lineRule="auto"/>
          </w:pPr>
          <w:r>
            <w:rPr>
              <w:sz w:val="13"/>
            </w:rPr>
            <w:t>Kundendokument</w:t>
          </w:r>
        </w:p>
      </w:tc>
      <w:tc>
        <w:tcPr>
          <w:tcW w:type="dxa" w:w="4422"/>
        </w:tcPr>
        <w:p>
          <w:pPr>
            <w:spacing w:before="200"/>
            <w:jc w:val="right"/>
          </w:pPr>
          <w:r>
            <w:rPr>
              <w:sz w:val="18"/>
            </w:rPr>
            <w:t xml:space="preserve">SSI SCHÄFER | Seite </w:t>
          </w:r>
          <w:r>
            <w:rPr>
              <w:sz w:val="18"/>
            </w:rPr>
            <w:fldChar w:fldCharType="begin"/>
          </w:r>
          <w:r>
            <w:rPr>
              <w:sz w:val="18"/>
            </w:rPr>
            <w:instrText xml:space="preserve"> PAGE </w:instrText>
          </w:r>
          <w:r>
            <w:rPr>
              <w:sz w:val="18"/>
            </w:rPr>
            <w:fldChar w:fldCharType="separate"/>
          </w:r>
          <w:r>
            <w:rPr>
              <w:sz w:val="18"/>
            </w:rPr>
            <w:t>1</w:t>
          </w:r>
          <w:r>
            <w:rPr>
              <w:sz w:val="18"/>
            </w:rPr>
            <w:fldChar w:fldCharType="end"/>
          </w:r>
          <w:r>
            <w:rPr>
              <w:sz w:val="18"/>
            </w:rPr>
            <w:t>/</w:t>
          </w:r>
          <w:r>
            <w:rPr>
              <w:sz w:val="18"/>
            </w:rPr>
            <w:fldChar w:fldCharType="begin"/>
          </w:r>
          <w:r>
            <w:rPr>
              <w:sz w:val="18"/>
            </w:rPr>
            <w:instrText xml:space="preserve"> NUMPAGES </w:instrText>
          </w:r>
          <w:r>
            <w:rPr>
              <w:sz w:val="18"/>
            </w:rPr>
            <w:fldChar w:fldCharType="separate"/>
          </w:r>
          <w:r>
            <w:rPr>
              <w:sz w:val="18"/>
            </w:rPr>
            <w:t>1</w:t>
          </w:r>
          <w:r>
            <w:rPr>
              <w:sz w:val="18"/>
            </w:rPr>
            <w:fldChar w:fldCharType="end"/>
          </w:r>
        </w:p>
      </w:tc>
    </w:tr>
  </w:tbl>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sz w:val="16"/>
      </w:rPr>
      <w:t>Entscheidungsgrundlage</w:t>
    </w:r>
  </w:p>
  <w:p>
    <w:pPr>
      <w:jc w:val="right"/>
      <w:pBdr>
        <w:bottom w:val="single" w:sz="4" w:space="4" w:color="000000"/>
      </w:pBdr>
    </w:pPr>
    <w:r>
      <w:rPr>
        <w:b/>
        <w:sz w:val="22"/>
      </w:rPr>
      <w:t>Stumatec – Entscheidungsgrundlage Wareneigentümer</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76" w:lineRule="auto"/>
    </w:pPr>
    <w:rPr>
      <w:rFonts w:ascii="Arial" w:hAnsi="Arial" w:cs="Arial" w:eastAsia="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pageBreakBefore/>
      <w:spacing w:before="0" w:after="200"/>
      <w:outlineLvl w:val="0"/>
    </w:pPr>
    <w:rPr>
      <w:rFonts w:ascii="Arial" w:hAnsi="Arial" w:cs="Arial" w:eastAsia="Arial"/>
      <w:b/>
      <w:bCs/>
      <w:i w:val="0"/>
      <w:color w:val="000000"/>
      <w:sz w:val="32"/>
      <w:szCs w:val="28"/>
    </w:rPr>
  </w:style>
  <w:style w:type="paragraph" w:styleId="Heading2">
    <w:name w:val="heading 2"/>
    <w:basedOn w:val="Normal"/>
    <w:next w:val="Normal"/>
    <w:link w:val="Heading2Char"/>
    <w:uiPriority w:val="9"/>
    <w:unhideWhenUsed/>
    <w:qFormat/>
    <w:rsid w:val="00FC693F"/>
    <w:pPr>
      <w:keepNext/>
      <w:keepLines/>
      <w:spacing w:before="280" w:after="120"/>
      <w:outlineLvl w:val="1"/>
    </w:pPr>
    <w:rPr>
      <w:rFonts w:ascii="Arial" w:hAnsi="Arial" w:cs="Arial" w:eastAsia="Arial"/>
      <w:b/>
      <w:bCs/>
      <w:i w:val="0"/>
      <w:color w:val="000000"/>
      <w:sz w:val="25"/>
      <w:szCs w:val="26"/>
    </w:rPr>
  </w:style>
  <w:style w:type="paragraph" w:styleId="Heading3">
    <w:name w:val="heading 3"/>
    <w:basedOn w:val="Normal"/>
    <w:next w:val="Normal"/>
    <w:link w:val="Heading3Char"/>
    <w:uiPriority w:val="9"/>
    <w:unhideWhenUsed/>
    <w:qFormat/>
    <w:rsid w:val="00FC693F"/>
    <w:pPr>
      <w:keepNext/>
      <w:keepLines/>
      <w:spacing w:before="200" w:after="80"/>
      <w:outlineLvl w:val="2"/>
    </w:pPr>
    <w:rPr>
      <w:rFonts w:ascii="Arial" w:hAnsi="Arial" w:cs="Arial" w:eastAsia="Arial"/>
      <w:b/>
      <w:bCs/>
      <w:i w:val="0"/>
      <w:color w:val="00000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Arial" w:hAnsi="Arial" w:cs="Arial" w:eastAsia="Arial"/>
      <w:b w:val="0"/>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contextualSpacing/>
    </w:pPr>
    <w:rPr>
      <w:rFonts w:ascii="Arial" w:hAnsi="Arial" w:cs="Arial" w:eastAsia="Arial"/>
      <w:sz w:val="20"/>
    </w:rPr>
  </w:style>
  <w:style w:type="paragraph" w:styleId="ListBullet2">
    <w:name w:val="List Bullet 2"/>
    <w:basedOn w:val="Normal"/>
    <w:uiPriority w:val="99"/>
    <w:unhideWhenUsed/>
    <w:rsid w:val="00326F90"/>
    <w:pPr>
      <w:numPr>
        <w:numId w:val="2"/>
      </w:numPr>
      <w:spacing w:after="60"/>
      <w:contextualSpacing/>
    </w:pPr>
    <w:rPr>
      <w:rFonts w:ascii="Arial" w:hAnsi="Arial" w:cs="Arial" w:eastAsia="Arial"/>
      <w:sz w:val="20"/>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OC1">
    <w:name w:val="TOC 1"/>
    <w:pPr>
      <w:spacing w:after="40"/>
      <w:ind w:left="0"/>
    </w:pPr>
    <w:rPr>
      <w:rFonts w:ascii="Arial" w:hAnsi="Arial" w:cs="Arial" w:eastAsia="Arial"/>
      <w:b/>
      <w:sz w:val="20"/>
    </w:rPr>
  </w:style>
  <w:style w:type="paragraph" w:customStyle="1" w:styleId="TOC2">
    <w:name w:val="TOC 2"/>
    <w:pPr>
      <w:spacing w:after="40"/>
      <w:ind w:left="340"/>
    </w:pPr>
    <w:rPr>
      <w:rFonts w:ascii="Arial" w:hAnsi="Arial" w:cs="Arial" w:eastAsia="Arial"/>
      <w:b w:val="0"/>
      <w:sz w:val="20"/>
    </w:rPr>
  </w:style>
  <w:style w:type="paragraph" w:customStyle="1" w:styleId="TOC3">
    <w:name w:val="TOC 3"/>
    <w:pPr>
      <w:spacing w:after="40"/>
      <w:ind w:left="680"/>
    </w:pPr>
    <w:rPr>
      <w:rFonts w:ascii="Arial" w:hAnsi="Arial" w:cs="Arial" w:eastAsia="Arial"/>
      <w:b w:val="0"/>
      <w:sz w:val="20"/>
    </w:rPr>
  </w:style>
  <w:style w:type="paragraph" w:customStyle="1" w:styleId="Code">
    <w:name w:val="Code"/>
    <w:pPr>
      <w:spacing w:after="0" w:line="240" w:lineRule="auto"/>
    </w:pPr>
    <w:rPr>
      <w:rFonts w:ascii="Consolas" w:hAnsi="Consolas" w:cs="Consolas" w:eastAsia="Consolas"/>
      <w:sz w:val="15"/>
    </w:rPr>
  </w:style>
  <w:style w:type="paragraph" w:customStyle="1" w:styleId="BeschriftungSSI">
    <w:name w:val="Beschriftung SSI"/>
    <w:pPr>
      <w:spacing w:before="40" w:after="160"/>
    </w:pPr>
    <w:rPr>
      <w:rFonts w:ascii="Arial" w:hAnsi="Arial" w:cs="Arial" w:eastAsia="Arial"/>
      <w:b w:val="0"/>
      <w:i/>
      <w:color w:val="444444"/>
      <w:sz w:val="17"/>
    </w:rPr>
  </w:style>
  <w:style w:type="paragraph" w:customStyle="1" w:styleId="Quelle">
    <w:name w:val="Quelle"/>
    <w:pPr>
      <w:spacing w:before="40" w:after="160"/>
    </w:pPr>
    <w:rPr>
      <w:rFonts w:ascii="Arial" w:hAnsi="Arial" w:cs="Arial" w:eastAsia="Arial"/>
      <w:b w:val="0"/>
      <w:color w:val="555555"/>
      <w:sz w:val="17"/>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Entscheidungsgrundlage Wareneigentümer</dc:title>
  <dc:subject>Lösungsvorschlag für zwei Firmen in WAMAS LS 2.8</dc:subject>
  <dc:creator>SSI SCHÄFER</dc:creator>
  <cp:keywords/>
  <dc:description>generated by python-docx</dc:description>
  <cp:lastModifiedBy/>
  <cp:revision>1</cp:revision>
  <dcterms:created xsi:type="dcterms:W3CDTF">2013-12-23T23:15:00Z</dcterms:created>
  <dcterms:modified xsi:type="dcterms:W3CDTF">2013-12-23T23:15:00Z</dcterms:modified>
  <cp:category/>
  <dc:language>de-DE</dc:language>
</cp:coreProperties>
</file>