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WAMAS und Business Central</w:t>
      </w:r>
    </w:p>
    <w:p>
      <w:pPr>
        <w:pStyle w:val="Subtitle"/>
      </w:pPr>
      <w:r>
        <w:t>Praxisleitfaden für die direkte REST Anbindung</w:t>
      </w:r>
    </w:p>
    <w:p>
      <w:r>
        <w:t>Stand 10. Oktober 2026 | Erkenntnisse aus AcuMax und Vorlage für Ramsayer</w:t>
      </w:r>
    </w:p>
    <w:p>
      <w:pPr>
        <w:pStyle w:val="Heading2"/>
      </w:pPr>
      <w:r>
        <w:t>Zweck dieses Dokuments</w:t>
      </w:r>
    </w:p>
    <w:p>
      <w:r>
        <w:t>Dieser Leitfaden erklärt, wie Nachrichten zwischen WAMAS und Business Central übertragen und geprüft werden. Er dient zur Einrichtung, zur Abstimmung mit dem ERP-Partner und als Checkliste für weitere Projekte. Die Zielverbindung bleibt direkt zwischen WAMAS und BC; die frühere Webapp dient nur als Vergleich für das Nachrichtenformat.</w:t>
      </w:r>
    </w:p>
    <w:p>
      <w:pPr>
        <w:pStyle w:val="Heading2"/>
      </w:pPr>
      <w:r>
        <w:t>Der Ablauf in einfachen Worten</w:t>
      </w:r>
    </w:p>
    <w:p>
      <w:pPr>
        <w:spacing w:after="120"/>
      </w:pPr>
      <w:r>
        <w:rPr>
          <w:rFonts w:ascii="Consolas" w:hAnsi="Consolas"/>
          <w:sz w:val="17"/>
        </w:rPr>
        <w:t>WAMAS erzeugt eine Nachricht</w:t>
        <w:br/>
        <w:t xml:space="preserve">  → WAMAS sendet HTTPS POST an die richtige BC-Firma</w:t>
        <w:br/>
        <w:t xml:space="preserve">  → BC nimmt die Nachricht an und speichert sie</w:t>
        <w:br/>
        <w:t xml:space="preserve">  → BC antwortet im selben HTTP-Aufruf</w:t>
        <w:br/>
        <w:t xml:space="preserve">  → WAMAS wertet die Antwort aus und setzt den Versandstatus</w:t>
        <w:br/>
        <w:t xml:space="preserve">  → Die fachliche Verarbeitung in BC wird separat geprüft</w:t>
      </w:r>
    </w:p>
    <w:p>
      <w:r>
        <w:t>Empfang bedeutet zunächst, dass der Empfänger die Nachricht übernommen hat. Das ist nicht automatisch eine erfolgreiche Lager- oder ERP-Buchung. Auch der Abschluss im sendenden System muss nachgewiesen sein.</w:t>
      </w:r>
    </w:p>
    <w:p>
      <w:pPr>
        <w:pStyle w:val="Heading2"/>
      </w:pPr>
      <w:r>
        <w:t>Was bei AcuMax nachgewiesen ist</w:t>
      </w:r>
    </w:p>
    <w:tbl>
      <w:tblPr>
        <w:tblW w:type="auto" w:w="0"/>
        <w:tblLayout w:type="fixed"/>
        <w:tblLook w:firstColumn="1" w:firstRow="1" w:lastColumn="0" w:lastRow="0" w:noHBand="0" w:noVBand="1" w:val="04A0"/>
      </w:tblPr>
      <w:tblGrid>
        <w:gridCol w:w="2041"/>
        <w:gridCol w:w="7597"/>
      </w:tblGrid>
      <w:tr>
        <w:trPr>
          <w:tblHeader/>
        </w:trPr>
        <w:tc>
          <w:tcPr>
            <w:tcW w:type="dxa" w:w="2041"/>
            <w:tcBorders>
              <w:top w:val="single" w:sz="4" w:color="D9D9D9"/>
              <w:left w:val="single" w:sz="4" w:color="D9D9D9"/>
              <w:bottom w:val="single" w:sz="4" w:color="D9D9D9"/>
              <w:right w:val="single" w:sz="4" w:color="D9D9D9"/>
            </w:tcBorders>
            <w:shd w:fill="E8EDF2"/>
            <w:vAlign w:val="center"/>
          </w:tcPr>
          <w:p>
            <w:pPr>
              <w:spacing w:after="100" w:before="100"/>
            </w:pPr>
            <w:r>
              <w:rPr>
                <w:b/>
                <w:sz w:val="18"/>
              </w:rPr>
              <w:t>Stand</w:t>
            </w:r>
          </w:p>
        </w:tc>
        <w:tc>
          <w:tcPr>
            <w:tcW w:type="dxa" w:w="7597"/>
            <w:tcBorders>
              <w:top w:val="single" w:sz="4" w:color="D9D9D9"/>
              <w:left w:val="single" w:sz="4" w:color="D9D9D9"/>
              <w:bottom w:val="single" w:sz="4" w:color="D9D9D9"/>
              <w:right w:val="single" w:sz="4" w:color="D9D9D9"/>
            </w:tcBorders>
            <w:shd w:fill="E8EDF2"/>
            <w:vAlign w:val="center"/>
          </w:tcPr>
          <w:p>
            <w:pPr>
              <w:spacing w:after="100" w:before="100"/>
            </w:pPr>
            <w:r>
              <w:rPr>
                <w:b/>
                <w:sz w:val="18"/>
              </w:rPr>
              <w:t>Erkenntnis</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Logbeleg</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10.10.2026: OutSpm(1109) scheitert mit HTTP 404 und Internal_CompanyNotFound. Die damals mitgeteilte WAMAS-URL enthält keine Firmenangabe. [L]</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Postman belegt</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Ein POST mit companies(&lt;GUID&gt;) und Testnachricht 1002 liefert 201 Created, entryNo=5 und status="Message received". [P]</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Vom Betreiber bestätigt</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Nach Anpassung der URL und Neustart empfängt BC die WAMAS-Nachrichten. Anschliessend bleibt in WAMAS ein Host-Fehler. [B]</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offen</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Die vollständige direkte Verbindung ist noch nicht abgenommen. Bei Nachricht 1110 erscheint um 16:06:40.663 ein Systempartnerfehler mit Grund unknown error. Ob Status 201, Antwortinhalt oder beides ursächlich ist, ist noch nicht isoliert nachgewiesen. [H]</w:t>
            </w:r>
          </w:p>
        </w:tc>
      </w:tr>
    </w:tbl>
    <w:p>
      <w:pPr>
        <w:pStyle w:val="Heading2"/>
      </w:pPr>
      <w:r>
        <w:t>So sind die Angaben zu verwenden</w:t>
      </w:r>
    </w:p>
    <w:p>
      <w:r>
        <w:t>„Belegt“ bezeichnet Log-, Screenshot- oder dokumentierte Referenzbefunde. „Betreiber bestätigt“ bezeichnet die Rückmeldung aus dem Test. „Zu prüfen“ und „Soll“ sind offene Prüfpunkte oder Abnahmeanforderungen. AcuMax-IDs und URLs sind Projektwerte und dürfen nicht unverändert nach Ramsayer übernommen werden.</w:t>
      </w:r>
    </w:p>
    <w:p>
      <w:pPr>
        <w:pStyle w:val="Heading2"/>
      </w:pPr>
      <w:r>
        <w:t>Wegweiser</w:t>
      </w:r>
    </w:p>
    <w:p>
      <w:r>
        <w:t>Seite 2: Konfiguration und URL · Seite 3: JSON und Telegramme · Seite 4: Antwort und ACK · Seite 5: Empfang in WAMAS · Seite 6: Tests und Fehlersuche · Seite 7: Projektblatt und Quellen</w:t>
      </w:r>
    </w:p>
    <w:p>
      <w:r>
        <w:br w:type="page"/>
      </w:r>
    </w:p>
    <w:p>
      <w:pPr>
        <w:pStyle w:val="Heading1"/>
      </w:pPr>
      <w:r>
        <w:t>Konfiguration und Zieladresse</w:t>
      </w:r>
    </w:p>
    <w:p>
      <w:r>
        <w:t>Die folgenden Felder beschreiben die benötigten Werte. Die Bezeichnungen der Eingabemasken können je nach WAMAS-Version abweichen. [M1, M2]</w:t>
      </w:r>
    </w:p>
    <w:tbl>
      <w:tblPr>
        <w:tblW w:type="auto" w:w="0"/>
        <w:tblLayout w:type="fixed"/>
        <w:tblLook w:firstColumn="1" w:firstRow="1" w:lastColumn="0" w:lastRow="0" w:noHBand="0" w:noVBand="1" w:val="04A0"/>
      </w:tblPr>
      <w:tblGrid>
        <w:gridCol w:w="2041"/>
        <w:gridCol w:w="7597"/>
      </w:tblGrid>
      <w:tr>
        <w:trPr>
          <w:tblHeader/>
        </w:trPr>
        <w:tc>
          <w:tcPr>
            <w:tcW w:type="dxa" w:w="2041"/>
            <w:tcBorders>
              <w:top w:val="single" w:sz="4" w:color="D9D9D9"/>
              <w:left w:val="single" w:sz="4" w:color="D9D9D9"/>
              <w:bottom w:val="single" w:sz="4" w:color="D9D9D9"/>
              <w:right w:val="single" w:sz="4" w:color="D9D9D9"/>
            </w:tcBorders>
            <w:shd w:fill="E8EDF2"/>
            <w:vAlign w:val="center"/>
          </w:tcPr>
          <w:p>
            <w:pPr>
              <w:spacing w:after="100" w:before="100"/>
            </w:pPr>
            <w:r>
              <w:rPr>
                <w:b/>
                <w:sz w:val="18"/>
              </w:rPr>
              <w:t>Feld</w:t>
            </w:r>
          </w:p>
        </w:tc>
        <w:tc>
          <w:tcPr>
            <w:tcW w:type="dxa" w:w="7597"/>
            <w:tcBorders>
              <w:top w:val="single" w:sz="4" w:color="D9D9D9"/>
              <w:left w:val="single" w:sz="4" w:color="D9D9D9"/>
              <w:bottom w:val="single" w:sz="4" w:color="D9D9D9"/>
              <w:right w:val="single" w:sz="4" w:color="D9D9D9"/>
            </w:tcBorders>
            <w:shd w:fill="E8EDF2"/>
            <w:vAlign w:val="center"/>
          </w:tcPr>
          <w:p>
            <w:pPr>
              <w:spacing w:after="100" w:before="100"/>
            </w:pPr>
            <w:r>
              <w:rPr>
                <w:b/>
                <w:sz w:val="18"/>
              </w:rPr>
              <w:t>AcuMax Beispiel oder Prüfregel</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Verbindung</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 → BC; HTTPS POST; direkter Aufruf ohne Webapp</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Tenant</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ab9cc3ad-19f4-488d-b606-bd5b9bb396fc</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BC Umgebung</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Test; für Produktion separat bestätigen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Custom API</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Publisher acumax · Gruppe wamas · Version v2.0</w:t>
              <w:br/>
              <w:t>EntitySet wamasInboundMessages</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Company-ID</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9fc70257-de96-eb11-8ce5-000d3a4c16d8</w:t>
              <w:br/>
              <w:t>Im Postman-Test verwendet; Zuordnung zu AcuMax Med AG durch BC-Partner bestätigen.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Authentifizierung</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OAuth2 Client Credentials für BC; Client-ID, Credential und Tenant gemeinsam abstimmen. Keine Secrets im Dokument ablegen.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Scope</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https://api.businesscentral.dynamics.com/.default</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Header am Fachrequest</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Authorization: Bearer &lt;Token&gt;</w:t>
              <w:br/>
              <w:t>Content-Type: application/json</w:t>
              <w:br/>
              <w:t>Accept: application/json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Nachrichtenaufbau</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JsonConverter; äusseres items-Array; data als JSON-String in den geprüften Beispielen. [R]</w:t>
            </w:r>
          </w:p>
        </w:tc>
      </w:tr>
    </w:tbl>
    <w:p>
      <w:pPr>
        <w:pStyle w:val="Heading2"/>
      </w:pPr>
      <w:r>
        <w:t>URL aus dem erfolgreichen Postman Test</w:t>
      </w:r>
    </w:p>
    <w:p>
      <w:pPr>
        <w:spacing w:after="120"/>
      </w:pPr>
      <w:r>
        <w:rPr>
          <w:rFonts w:ascii="Consolas" w:hAnsi="Consolas"/>
          <w:sz w:val="17"/>
        </w:rPr>
        <w:t>https://api.businesscentral.dynamics.com/v2.0/ab9cc3ad-19f4-488d-b606-bd5b9bb396fc/Test/api/acumax/wamas/v2.0/companies(9fc70257-de96-eb11-8ce5-000d3a4c16d8)/wamasInboundMessages?$expand=items</w:t>
      </w:r>
    </w:p>
    <w:p>
      <w:r>
        <w:t>companies(...) bestimmt die Firma. $expand=items fordert die zugehörigen Items in der Antwort an; es ist keine Firmenangabe und keine Empfangsbestätigung. Sein Einfluss auf die Antwort muss beim ACK-Test berücksichtigt werden. [P]</w:t>
      </w:r>
    </w:p>
    <w:p>
      <w:pPr>
        <w:pStyle w:val="Heading2"/>
      </w:pPr>
      <w:r>
        <w:t>Vorlage für ein neues Projekt</w:t>
      </w:r>
    </w:p>
    <w:p>
      <w:pPr>
        <w:spacing w:after="120"/>
      </w:pPr>
      <w:r>
        <w:rPr>
          <w:rFonts w:ascii="Consolas" w:hAnsi="Consolas"/>
          <w:sz w:val="17"/>
        </w:rPr>
        <w:t>https://api.businesscentral.dynamics.com/v2.0/&lt;Tenant&gt;/&lt;Umgebung&gt;/api/&lt;Publisher&gt;/&lt;Gruppe&gt;/&lt;Version&gt;/companies(&lt;Company-ID&gt;)/&lt;EntitySet&gt;</w:t>
      </w:r>
    </w:p>
    <w:p>
      <w:r>
        <w:t>Alternativ dokumentiert Microsoft die Firmenzuordnung mit ?company=&lt;Company-ID&gt;. Einen eindeutigen Weg vereinbaren. Bei vorhandenem companies-Pfad keinen zusätzlichen company-Parameter verlangen. Queryparameter beginnen mit ?; weitere folgen mit &amp;. Die tatsächlich gesendete URL prüfen, nicht nur das gespeicherte Eingabefeld. [M1]</w:t>
      </w:r>
    </w:p>
    <w:p>
      <w:pPr>
        <w:pStyle w:val="Heading2"/>
      </w:pPr>
      <w:r>
        <w:t>Token und Zugriffsrechte</w:t>
      </w:r>
    </w:p>
    <w:p>
      <w:pPr>
        <w:spacing w:after="120"/>
      </w:pPr>
      <w:r>
        <w:rPr>
          <w:rFonts w:ascii="Consolas" w:hAnsi="Consolas"/>
          <w:sz w:val="17"/>
        </w:rPr>
        <w:t>Token-URL: https://login.microsoftonline.com/&lt;Tenant&gt;/oauth2/v2.0/token</w:t>
        <w:br/>
        <w:t>Token-POST: application/x-www-form-urlencoded</w:t>
        <w:br/>
        <w:t>grant_type=client_credentials; client_id; client_secret; scope</w:t>
      </w:r>
    </w:p>
    <w:p>
      <w:r>
        <w:t>BC-/Entra-Partner: passende App registrieren, API.ReadWrite.All mit Adminzustimmung und den BC-Anwendungszugriff mit benötigten Permission Sets einrichten. WAMAS: Token verwenden und rechtzeitig erneuern. Tokenausstellung und Zugriff auf die konkrete Firma getrennt prüfen. Diese Werte beschreiben das S2S-Verfahren; die heutige Tokenausstellung ist nicht im Versandlog belegt. [M2, L]</w:t>
      </w:r>
    </w:p>
    <w:p>
      <w:r>
        <w:br w:type="page"/>
      </w:r>
    </w:p>
    <w:p>
      <w:pPr>
        <w:pStyle w:val="Heading1"/>
      </w:pPr>
      <w:r>
        <w:t>JSON Aufbau und Telegramme</w:t>
      </w:r>
    </w:p>
    <w:p>
      <w:pPr>
        <w:pStyle w:val="Heading2"/>
      </w:pPr>
      <w:r>
        <w:t>Zwei Ebenen unterscheiden</w:t>
      </w:r>
    </w:p>
    <w:p>
      <w:r>
        <w:t>Aussen steht der technische Versandumschlag mit items. Innen steht das fachliche WAMAS-Telegramm in data. In den geprüften Archivbeispielen und im Postman-Screenshot ist data ein String, der selbst JSON enthält. Das ist kein allgemeines Gesetz für jede REST-API, sondern das hier belegte Format. [R, P]</w:t>
      </w:r>
    </w:p>
    <w:tbl>
      <w:tblPr>
        <w:tblW w:type="auto" w:w="0"/>
        <w:tblLayout w:type="fixed"/>
        <w:tblLook w:firstColumn="1" w:firstRow="1" w:lastColumn="0" w:lastRow="0" w:noHBand="0" w:noVBand="1" w:val="04A0"/>
      </w:tblPr>
      <w:tblGrid>
        <w:gridCol w:w="2041"/>
        <w:gridCol w:w="7597"/>
      </w:tblGrid>
      <w:tr>
        <w:trPr>
          <w:tblHeader/>
        </w:trPr>
        <w:tc>
          <w:tcPr>
            <w:tcW w:type="dxa" w:w="2041"/>
            <w:tcBorders>
              <w:top w:val="single" w:sz="4" w:color="D9D9D9"/>
              <w:left w:val="single" w:sz="4" w:color="D9D9D9"/>
              <w:bottom w:val="single" w:sz="4" w:color="D9D9D9"/>
              <w:right w:val="single" w:sz="4" w:color="D9D9D9"/>
            </w:tcBorders>
            <w:shd w:fill="E8EDF2"/>
            <w:vAlign w:val="center"/>
          </w:tcPr>
          <w:p>
            <w:pPr>
              <w:spacing w:after="100" w:before="100"/>
            </w:pPr>
            <w:r>
              <w:rPr>
                <w:b/>
                <w:sz w:val="18"/>
              </w:rPr>
              <w:t>Feld</w:t>
            </w:r>
          </w:p>
        </w:tc>
        <w:tc>
          <w:tcPr>
            <w:tcW w:type="dxa" w:w="7597"/>
            <w:tcBorders>
              <w:top w:val="single" w:sz="4" w:color="D9D9D9"/>
              <w:left w:val="single" w:sz="4" w:color="D9D9D9"/>
              <w:bottom w:val="single" w:sz="4" w:color="D9D9D9"/>
              <w:right w:val="single" w:sz="4" w:color="D9D9D9"/>
            </w:tcBorders>
            <w:shd w:fill="E8EDF2"/>
            <w:vAlign w:val="center"/>
          </w:tcPr>
          <w:p>
            <w:pPr>
              <w:spacing w:after="100" w:before="100"/>
            </w:pPr>
            <w:r>
              <w:rPr>
                <w:b/>
                <w:sz w:val="18"/>
              </w:rPr>
              <w:t>Bedeutung und Regel</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items</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Liste der zu sendenden Nachrichten. Die zulässige Batchgrösse projektbezogen abstimmen.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id</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WAMAS-Nachrichten-ID; nicht mit BC entryNo oder einer BC-GUID gleichsetzen.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converter</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In den Beispielen JsonConverter; Schreibweise unverändert übernehmen.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data</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Das vollständige DI_TELEGRAMS-JSON als String. Inhalt muss zum Telegrammtyp passen.</w:t>
            </w:r>
          </w:p>
        </w:tc>
      </w:tr>
      <w:tr>
        <w:tc>
          <w:tcPr>
            <w:tcW w:type="dxa" w:w="204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processingPath</w:t>
            </w:r>
          </w:p>
        </w:tc>
        <w:tc>
          <w:tcPr>
            <w:tcW w:type="dxa" w:w="759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In den geprüften Archivnachrichten leer: "". Nicht ohne fachlichen Grund mit einem erfundenen Wert füllen.</w:t>
            </w:r>
          </w:p>
        </w:tc>
      </w:tr>
    </w:tbl>
    <w:p>
      <w:pPr>
        <w:pStyle w:val="Heading2"/>
      </w:pPr>
      <w:r>
        <w:t>So sieht korrektes Escaping aus</w:t>
      </w:r>
    </w:p>
    <w:p>
      <w:r>
        <w:t>Vereinfachtes Strukturbeispiel, kein fachlich vollständiges oder sendefähiges Telegramm:</w:t>
      </w:r>
    </w:p>
    <w:p>
      <w:pPr>
        <w:spacing w:after="120"/>
      </w:pPr>
      <w:r>
        <w:rPr>
          <w:rFonts w:ascii="Consolas" w:hAnsi="Consolas"/>
          <w:sz w:val="17"/>
        </w:rPr>
        <w:t>{</w:t>
        <w:br/>
        <w:t xml:space="preserve">  "items": [</w:t>
        <w:br/>
        <w:t xml:space="preserve">    {</w:t>
        <w:br/>
        <w:t xml:space="preserve">      "id": 1234,</w:t>
        <w:br/>
        <w:t xml:space="preserve">      "converter": "JsonConverter",</w:t>
        <w:br/>
        <w:t xml:space="preserve">      "data": "{\"DI_TELEGRAMS\":{\"DI_TELEGRAM\":[]}}",</w:t>
        <w:br/>
        <w:t xml:space="preserve">      "processingPath": ""</w:t>
        <w:br/>
        <w:t xml:space="preserve">    }</w:t>
        <w:br/>
        <w:t xml:space="preserve">  ]</w:t>
        <w:br/>
        <w:t>}</w:t>
      </w:r>
    </w:p>
    <w:p>
      <w:r>
        <w:t>Die Backslashes vor den inneren Anführungszeichen sind nötig, weil data ein String innerhalb des äusseren JSON ist. Den äusseren Body als JSON-Objekt senden, nicht nochmals als kompletten String kodieren. In Postman: Body → raw → JSON. Eine JSON-Bibliothek soll das Escaping erzeugen; nicht manuell Backslashes ergänzen.</w:t>
      </w:r>
    </w:p>
    <w:p>
      <w:r>
        <w:t>Prüfregel: Der Body lässt sich als JSON lesen. Danach ist items[0].data ein String. Dieser String lässt sich wiederum als JSON lesen und enthält DI_TELEGRAMS. Erst dann die fachlichen Pflichtfelder prüfen.</w:t>
      </w:r>
    </w:p>
    <w:p>
      <w:pPr>
        <w:pStyle w:val="Heading2"/>
      </w:pPr>
      <w:r>
        <w:t>Fachliche Beispiele aus der bisherigen Dokumentation</w:t>
      </w:r>
    </w:p>
    <w:tbl>
      <w:tblPr>
        <w:tblW w:type="auto" w:w="0"/>
        <w:tblLayout w:type="fixed"/>
        <w:tblLook w:firstColumn="1" w:firstRow="1" w:lastColumn="0" w:lastRow="0" w:noHBand="0" w:noVBand="1" w:val="04A0"/>
      </w:tblPr>
      <w:tblGrid>
        <w:gridCol w:w="2551"/>
        <w:gridCol w:w="7087"/>
      </w:tblGrid>
      <w:tr>
        <w:trPr>
          <w:tblHeader/>
        </w:trPr>
        <w:tc>
          <w:tcPr>
            <w:tcW w:type="dxa" w:w="2551"/>
            <w:tcBorders>
              <w:top w:val="single" w:sz="4" w:color="D9D9D9"/>
              <w:left w:val="single" w:sz="4" w:color="D9D9D9"/>
              <w:bottom w:val="single" w:sz="4" w:color="D9D9D9"/>
              <w:right w:val="single" w:sz="4" w:color="D9D9D9"/>
            </w:tcBorders>
            <w:shd w:fill="E8EDF2"/>
            <w:vAlign w:val="center"/>
          </w:tcPr>
          <w:p>
            <w:pPr>
              <w:spacing w:after="100" w:before="100"/>
            </w:pPr>
            <w:r>
              <w:rPr>
                <w:b/>
                <w:sz w:val="18"/>
              </w:rPr>
              <w:t>Telegrammtyp</w:t>
            </w:r>
          </w:p>
        </w:tc>
        <w:tc>
          <w:tcPr>
            <w:tcW w:type="dxa" w:w="7087"/>
            <w:tcBorders>
              <w:top w:val="single" w:sz="4" w:color="D9D9D9"/>
              <w:left w:val="single" w:sz="4" w:color="D9D9D9"/>
              <w:bottom w:val="single" w:sz="4" w:color="D9D9D9"/>
              <w:right w:val="single" w:sz="4" w:color="D9D9D9"/>
            </w:tcBorders>
            <w:shd w:fill="E8EDF2"/>
            <w:vAlign w:val="center"/>
          </w:tcPr>
          <w:p>
            <w:pPr>
              <w:spacing w:after="100" w:before="100"/>
            </w:pPr>
            <w:r>
              <w:rPr>
                <w:b/>
                <w:sz w:val="18"/>
              </w:rPr>
              <w:t>Beispiel und Abgrenzung</w:t>
            </w:r>
          </w:p>
        </w:tc>
      </w:tr>
      <w:tr>
        <w:tc>
          <w:tcPr>
            <w:tcW w:type="dxa" w:w="255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WLSSTOCKADJ001</w:t>
            </w:r>
          </w:p>
        </w:tc>
        <w:tc>
          <w:tcPr>
            <w:tcW w:type="dxa" w:w="708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Bestandsänderung; dokumentierte WAMAS-id 505.</w:t>
            </w:r>
          </w:p>
        </w:tc>
      </w:tr>
      <w:tr>
        <w:tc>
          <w:tcPr>
            <w:tcW w:type="dxa" w:w="255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WLSPDACK002</w:t>
            </w:r>
          </w:p>
        </w:tc>
        <w:tc>
          <w:tcPr>
            <w:tcW w:type="dxa" w:w="708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Auftragsrückmeldung, im Beispiel Typ SHPG; WAMAS-id 516.</w:t>
            </w:r>
          </w:p>
        </w:tc>
      </w:tr>
      <w:tr>
        <w:tc>
          <w:tcPr>
            <w:tcW w:type="dxa" w:w="255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WLSSDACK002</w:t>
            </w:r>
          </w:p>
        </w:tc>
        <w:tc>
          <w:tcPr>
            <w:tcW w:type="dxa" w:w="708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Auftragsrückmeldung, im Beispiel Typ RECV; WAMAS-id 517. Auch im Postman-Beispiel 1002 sichtbar.</w:t>
            </w:r>
          </w:p>
        </w:tc>
      </w:tr>
    </w:tbl>
    <w:p>
      <w:r>
        <w:t>HEADER_SOURCE, HEADER_DESTINATION, HEADER_RECORDTYPENAME und HEADER_TRANSACTIONID müssen zum vereinbarten Datenfluss passen. Die Beispiele verwenden WAMAS → HOST. Pflichtfelder, Artikel, Mengen, Einheiten und Statuswerte sind pro Telegrammtyp zu vereinbaren. Das Wort ACK im Telegrammnamen ersetzt nicht die technische HTTP-Antwort. [R, P]</w:t>
      </w:r>
    </w:p>
    <w:p>
      <w:r>
        <w:br w:type="page"/>
      </w:r>
    </w:p>
    <w:p>
      <w:pPr>
        <w:pStyle w:val="Heading1"/>
      </w:pPr>
      <w:r>
        <w:t>Empfangsbestätigung und Fehlerantwort</w:t>
      </w:r>
    </w:p>
    <w:p>
      <w:pPr>
        <w:pStyle w:val="Heading2"/>
      </w:pPr>
      <w:r>
        <w:t>Drei Bestätigungen getrennt betrachten</w:t>
      </w:r>
    </w:p>
    <w:tbl>
      <w:tblPr>
        <w:tblW w:type="auto" w:w="0"/>
        <w:tblLayout w:type="fixed"/>
        <w:tblLook w:firstColumn="1" w:firstRow="1" w:lastColumn="0" w:lastRow="0" w:noHBand="0" w:noVBand="1" w:val="04A0"/>
      </w:tblPr>
      <w:tblGrid>
        <w:gridCol w:w="2381"/>
        <w:gridCol w:w="7257"/>
      </w:tblGrid>
      <w:tr>
        <w:trPr>
          <w:tblHeader/>
        </w:trPr>
        <w:tc>
          <w:tcPr>
            <w:tcW w:type="dxa" w:w="2381"/>
            <w:tcBorders>
              <w:top w:val="single" w:sz="4" w:color="D9D9D9"/>
              <w:left w:val="single" w:sz="4" w:color="D9D9D9"/>
              <w:bottom w:val="single" w:sz="4" w:color="D9D9D9"/>
              <w:right w:val="single" w:sz="4" w:color="D9D9D9"/>
            </w:tcBorders>
            <w:shd w:fill="E8EDF2"/>
            <w:vAlign w:val="center"/>
          </w:tcPr>
          <w:p>
            <w:pPr>
              <w:spacing w:after="100" w:before="100"/>
            </w:pPr>
            <w:r>
              <w:rPr>
                <w:b/>
                <w:sz w:val="18"/>
              </w:rPr>
              <w:t>Ebene</w:t>
            </w:r>
          </w:p>
        </w:tc>
        <w:tc>
          <w:tcPr>
            <w:tcW w:type="dxa" w:w="7257"/>
            <w:tcBorders>
              <w:top w:val="single" w:sz="4" w:color="D9D9D9"/>
              <w:left w:val="single" w:sz="4" w:color="D9D9D9"/>
              <w:bottom w:val="single" w:sz="4" w:color="D9D9D9"/>
              <w:right w:val="single" w:sz="4" w:color="D9D9D9"/>
            </w:tcBorders>
            <w:shd w:fill="E8EDF2"/>
            <w:vAlign w:val="center"/>
          </w:tcPr>
          <w:p>
            <w:pPr>
              <w:spacing w:after="100" w:before="100"/>
            </w:pPr>
            <w:r>
              <w:rPr>
                <w:b/>
                <w:sz w:val="18"/>
              </w:rPr>
              <w:t>Was sie bestätigt</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HTTP Antwort</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Der HTTP-Aufruf hat ein Ergebnis. Status und Body gehören zusammen.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 Versandstatus</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 konnte die Antwort auswerten und hat die Nachricht abgeschlossen.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Fachliches Ergebnis</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Die Nachricht wurde im ERP korrekt verarbeitet oder gebucht. Ein zusätzliches fachliches ACK nur verwenden, wenn der Telegrammvertrag es vorsieht.</w:t>
            </w:r>
          </w:p>
        </w:tc>
      </w:tr>
    </w:tbl>
    <w:p>
      <w:pPr>
        <w:pStyle w:val="Heading2"/>
      </w:pPr>
      <w:r>
        <w:t>Antwort unserer dokumentierten Referenz</w:t>
      </w:r>
    </w:p>
    <w:p>
      <w:pPr>
        <w:spacing w:after="120"/>
      </w:pPr>
      <w:r>
        <w:rPr>
          <w:rFonts w:ascii="Consolas" w:hAnsi="Consolas"/>
          <w:sz w:val="17"/>
        </w:rPr>
        <w:t>HTTP-Status: 200 OK</w:t>
        <w:br/>
        <w:t>Content-Type: application/json</w:t>
        <w:br/>
        <w:br/>
        <w:t>{"items":[]}</w:t>
      </w:r>
    </w:p>
    <w:p>
      <w:r>
        <w:t>Der Referenzreceiver verwendet items als Fehlerliste. Leer bedeutet dort: alle Items erfolgreich gespeichert. Bei einem Speicherfehler enthält die Liste betroffene IDs und msg. Beispiel aus dem dokumentierten Verhalten: [R]</w:t>
      </w:r>
    </w:p>
    <w:p>
      <w:pPr>
        <w:spacing w:after="120"/>
      </w:pPr>
      <w:r>
        <w:rPr>
          <w:rFonts w:ascii="Consolas" w:hAnsi="Consolas"/>
          <w:sz w:val="17"/>
        </w:rPr>
        <w:t>{"items":[{"id":1234,"msg":"Message could not be stored: ..."}]}</w:t>
      </w:r>
    </w:p>
    <w:p>
      <w:r>
        <w:t>Auch bei solchen Itemfehlern liefert der Referenzcode 200. Deshalb ist die alleinige Prüfung „HTTP 200 = Erfolg“ unzureichend. Das Format ist ein Vergleichsmuster, keine für alle WAMAS-Versionen verifizierte Spezifikation.</w:t>
      </w:r>
    </w:p>
    <w:p>
      <w:pPr>
        <w:pStyle w:val="Heading2"/>
      </w:pPr>
      <w:r>
        <w:t>Antwort aus dem BC Test</w:t>
      </w:r>
    </w:p>
    <w:p>
      <w:r>
        <w:t>Der Postman-Test liefert 201 Created und ein OData-Objekt mit entryNo, status und angelegten Datensätzen in items. Dieses items hat damit eine andere Bedeutung als die Fehlerliste des Referenzreceivers. Genau diese Abweichung muss geprüft werden. [P]</w:t>
      </w:r>
    </w:p>
    <w:p>
      <w:r>
        <w:t>201 ist beim Erstellen von BC-Datensätzen ein regulärer Erfolgsstatus. Ein einfaches Umschalten der API-Page auf 200 ist nicht nachgewiesen. Eine OData Unbound Action kann laut Microsoft 200 liefern, verwendet aber ein anderes Request-/Response-Schema; sie ist kein bestätigter Ersatz für den nativen WAMAS-Vertrag. [M3, M4]</w:t>
      </w:r>
    </w:p>
    <w:p>
      <w:pPr>
        <w:pStyle w:val="Heading2"/>
      </w:pPr>
      <w:r>
        <w:t>Was noch nicht bewiesen ist</w:t>
      </w:r>
    </w:p>
    <w:p>
      <w:r>
        <w:t>Der aktuelle Host-Fehler beweist nicht isoliert, dass WAMAS 201 ablehnt. Möglich sind Statusprüfung, Auswertung des gefüllten items-Arrays oder eine andere Antwortabweichung. Ebenso ist nicht belegt, dass BC ein separates Bestätigungstelegramm senden muss. Zuerst den HTTP-Status, den vollständigen Body und den Fehler im WAMAS-Sender gemeinsam auswerten. [H]</w:t>
      </w:r>
    </w:p>
    <w:p>
      <w:pPr>
        <w:pStyle w:val="Heading2"/>
      </w:pPr>
      <w:r>
        <w:t>Vertrag vor Projektfreigabe festlegen</w:t>
      </w:r>
    </w:p>
    <w:p>
      <w:pPr>
        <w:pStyle w:val="ListBullet"/>
      </w:pPr>
      <w:r>
        <w:t>WAMAS-Version und DI-API-Vertrag bestätigen lassen: akzeptierte Statuscodes, Response-Felder und Fehlerzuordnung je Nachrichten-ID.</w:t>
      </w:r>
    </w:p>
    <w:p>
      <w:pPr>
        <w:pStyle w:val="ListBullet"/>
      </w:pPr>
      <w:r>
        <w:t>BC-Partner weist nach, dass die direkte Schnittstelle diesen Vertrag erzeugen kann. Wenn nicht, ist die direkte Integration noch nicht freigabefähig.</w:t>
      </w:r>
    </w:p>
    <w:p>
      <w:pPr>
        <w:pStyle w:val="ListBullet"/>
      </w:pPr>
      <w:r>
        <w:t>Erfolg erst nach dauerhafter Annahme melden. Teilfehler, Wiederholungen und bereits gespeicherte Nachrichten ausdrücklich behandeln.</w:t>
      </w:r>
    </w:p>
    <w:p>
      <w:pPr>
        <w:pStyle w:val="ListBullet"/>
      </w:pPr>
      <w:r>
        <w:t>Abnahme mit echtem WAMAS-Sender: BC speichert, WAMAS schliesst ab, fachliche Verarbeitung ist korrekt und Wiederholung erzeugt keine Doppelbuchung.</w:t>
      </w:r>
    </w:p>
    <w:p>
      <w:r>
        <w:br w:type="page"/>
      </w:r>
    </w:p>
    <w:p>
      <w:pPr>
        <w:pStyle w:val="Heading1"/>
      </w:pPr>
      <w:r>
        <w:t>Empfang in WAMAS und Rückrichtung</w:t>
      </w:r>
    </w:p>
    <w:p>
      <w:pPr>
        <w:pStyle w:val="Heading2"/>
      </w:pPr>
      <w:r>
        <w:t>Die Gegenrichtung ist eine eigene Schnittstelle</w:t>
      </w:r>
    </w:p>
    <w:p>
      <w:r>
        <w:t>Bisher belegt ist vor allem der Versand WAMAS → BC. Für BC → WAMAS müssen Empfangsadresse, Zugang, Telegrammtypen und Antwortvertrag separat festgelegt und getestet werden. Die BC-Empfangsadresse darf nicht als WAMAS-Empfangsadresse verwendet werden.</w:t>
      </w:r>
    </w:p>
    <w:p>
      <w:pPr>
        <w:spacing w:after="120"/>
      </w:pPr>
      <w:r>
        <w:rPr>
          <w:rFonts w:ascii="Consolas" w:hAnsi="Consolas"/>
          <w:sz w:val="17"/>
        </w:rPr>
        <w:t>BC erzeugt einen Auftrag oder Stammdaten</w:t>
        <w:br/>
        <w:t xml:space="preserve">  → BC sendet an den freigegebenen WAMAS-Empfänger</w:t>
        <w:br/>
        <w:t xml:space="preserve">  → WAMAS prüft und übernimmt die Nachricht</w:t>
        <w:br/>
        <w:t xml:space="preserve">  → WAMAS antwortet direkt an BC</w:t>
        <w:br/>
        <w:t xml:space="preserve">  → Spätere fachliche Rückmeldung nur nach vereinbartem Ablauf</w:t>
      </w:r>
    </w:p>
    <w:tbl>
      <w:tblPr>
        <w:tblW w:type="auto" w:w="0"/>
        <w:tblLayout w:type="fixed"/>
        <w:tblLook w:firstColumn="1" w:firstRow="1" w:lastColumn="0" w:lastRow="0" w:noHBand="0" w:noVBand="1" w:val="04A0"/>
      </w:tblPr>
      <w:tblGrid>
        <w:gridCol w:w="2381"/>
        <w:gridCol w:w="7257"/>
      </w:tblGrid>
      <w:tr>
        <w:trPr>
          <w:tblHeader/>
        </w:trPr>
        <w:tc>
          <w:tcPr>
            <w:tcW w:type="dxa" w:w="2381"/>
            <w:tcBorders>
              <w:top w:val="single" w:sz="4" w:color="D9D9D9"/>
              <w:left w:val="single" w:sz="4" w:color="D9D9D9"/>
              <w:bottom w:val="single" w:sz="4" w:color="D9D9D9"/>
              <w:right w:val="single" w:sz="4" w:color="D9D9D9"/>
            </w:tcBorders>
            <w:shd w:fill="E8EDF2"/>
            <w:vAlign w:val="center"/>
          </w:tcPr>
          <w:p>
            <w:pPr>
              <w:spacing w:after="100" w:before="100"/>
            </w:pPr>
            <w:r>
              <w:rPr>
                <w:b/>
                <w:sz w:val="18"/>
              </w:rPr>
              <w:t>Prüffeld</w:t>
            </w:r>
          </w:p>
        </w:tc>
        <w:tc>
          <w:tcPr>
            <w:tcW w:type="dxa" w:w="7257"/>
            <w:tcBorders>
              <w:top w:val="single" w:sz="4" w:color="D9D9D9"/>
              <w:left w:val="single" w:sz="4" w:color="D9D9D9"/>
              <w:bottom w:val="single" w:sz="4" w:color="D9D9D9"/>
              <w:right w:val="single" w:sz="4" w:color="D9D9D9"/>
            </w:tcBorders>
            <w:shd w:fill="E8EDF2"/>
            <w:vAlign w:val="center"/>
          </w:tcPr>
          <w:p>
            <w:pPr>
              <w:spacing w:after="100" w:before="100"/>
            </w:pPr>
            <w:r>
              <w:rPr>
                <w:b/>
                <w:sz w:val="18"/>
              </w:rPr>
              <w:t>Vor Einrichtung verbindlich klären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Empfangs-URL</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WAMAS-Host, HTTPS-Port, vollständiger Pfad und Systempartnerkennung aus der installierten Version bestätigen.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Netzwerkerreichbarkeit</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BC muss die Adresse tatsächlich erreichen können. Interne Servernamen allein belegen keine Erreichbarkeit aus BC Online. DNS, TLS-Zertifikat und freigegebenen Netzwerkweg testen.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Authentifizierung</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Das Verfahren des WAMAS-Empfängers separat bestätigen. OAuth2 für BC bedeutet nicht automatisch OAuth2 in der Gegenrichtung.</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Telegrammtypen</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Welche Stammdaten oder Aufträge sendet BC? Für jeden Typ Version, Pflichtfelder, Statuswerte und fachliche Bedeutung festlegen.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Datenformat</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Prüfen, ob der WAMAS-Eingang denselben items-Umschlag und data-String erwartet. Nicht allein aus dem Ausgangsformat ableiten.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Antwort an BC</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HTTP-Status, Antwortinhalt, Itemfehler und Verhalten bei ungültigen Daten definieren.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Verarbeitung</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Eingang im WAMAS-Protokoll und fachliches Ergebnis prüfen; reine Annahme nicht mit erfolgreicher Ausführung gleichsetzen.</w:t>
            </w:r>
          </w:p>
        </w:tc>
      </w:tr>
      <w:tr>
        <w:tc>
          <w:tcPr>
            <w:tcW w:type="dxa" w:w="2381"/>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Wiederholung</w:t>
            </w:r>
          </w:p>
        </w:tc>
        <w:tc>
          <w:tcPr>
            <w:tcW w:type="dxa" w:w="7257"/>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BC muss Fehler und Timeouts behandeln, ohne denselben Auftrag doppelt auszulösen. Nachrichtenschlüssel und Wiederholungsregeln vereinbaren.</w:t>
            </w:r>
          </w:p>
        </w:tc>
      </w:tr>
    </w:tbl>
    <w:p>
      <w:pPr>
        <w:pStyle w:val="Heading2"/>
      </w:pPr>
      <w:r>
        <w:t>Keine Beispieladresse ungeprüft übernehmen</w:t>
      </w:r>
    </w:p>
    <w:p>
      <w:r>
        <w:t>Die ältere Dokumentation nennt POST /di-api/v3/HOST/messages für unseren nachgebauten Receiver. Das ist kein Beleg, dass genau dieser Pfad auf dem installierten WAMAS-Server aktiv ist. Ebenso sind veröffentlichte interne WAMAS-Dienste nicht automatisch ein für BC geeigneter öffentlicher Empfangsendpunkt. [R]</w:t>
      </w:r>
    </w:p>
    <w:p>
      <w:pPr>
        <w:pStyle w:val="Heading2"/>
      </w:pPr>
      <w:r>
        <w:t>An den WAMAS Partner übergeben</w:t>
      </w:r>
    </w:p>
    <w:p>
      <w:r>
        <w:t>Benötigt werden: freigegebene Schnittstellenspezifikation zur installierten Version, vollständige Empfangs-URL, Authentifizierungsverfahren, ein gültiger Request pro Telegrammtyp sowie Erfolgs- und Fehlerantwort. Erst mit diesen Angaben ist die Gegenrichtung belastbar konfigurierbar.</w:t>
      </w:r>
    </w:p>
    <w:p>
      <w:pPr>
        <w:pStyle w:val="Heading2"/>
      </w:pPr>
      <w:r>
        <w:t>Fachliches Mapping gemeinsam festlegen</w:t>
      </w:r>
    </w:p>
    <w:p>
      <w:r>
        <w:t>ERP- und WAMAS-Partner ordnen Artikel, Mandant, Lager, Einheit, Menge, Auftragsnummer und Positionsnummer eindeutig zu. Korrektes JSON allein beweist nicht, dass beispielsweise eine Mengenänderung im richtigen Lager und mit der richtigen Einheit verbucht wird.</w:t>
      </w:r>
    </w:p>
    <w:p>
      <w:r>
        <w:br w:type="page"/>
      </w:r>
    </w:p>
    <w:p>
      <w:pPr>
        <w:pStyle w:val="Heading1"/>
      </w:pPr>
      <w:r>
        <w:t>Testablauf und schnelle Fehlersuche</w:t>
      </w:r>
    </w:p>
    <w:tbl>
      <w:tblPr>
        <w:tblW w:type="auto" w:w="0"/>
        <w:tblLayout w:type="fixed"/>
        <w:tblLook w:firstColumn="1" w:firstRow="1" w:lastColumn="0" w:lastRow="0" w:noHBand="0" w:noVBand="1" w:val="04A0"/>
      </w:tblPr>
      <w:tblGrid>
        <w:gridCol w:w="2268"/>
        <w:gridCol w:w="7370"/>
      </w:tblGrid>
      <w:tr>
        <w:trPr>
          <w:tblHeader/>
        </w:trPr>
        <w:tc>
          <w:tcPr>
            <w:tcW w:type="dxa" w:w="2268"/>
            <w:tcBorders>
              <w:top w:val="single" w:sz="4" w:color="D9D9D9"/>
              <w:left w:val="single" w:sz="4" w:color="D9D9D9"/>
              <w:bottom w:val="single" w:sz="4" w:color="D9D9D9"/>
              <w:right w:val="single" w:sz="4" w:color="D9D9D9"/>
            </w:tcBorders>
            <w:shd w:fill="E8EDF2"/>
            <w:vAlign w:val="center"/>
          </w:tcPr>
          <w:p>
            <w:pPr>
              <w:spacing w:after="100" w:before="100"/>
            </w:pPr>
            <w:r>
              <w:rPr>
                <w:b/>
                <w:sz w:val="18"/>
              </w:rPr>
              <w:t>Schritt</w:t>
            </w:r>
          </w:p>
        </w:tc>
        <w:tc>
          <w:tcPr>
            <w:tcW w:type="dxa" w:w="7370"/>
            <w:tcBorders>
              <w:top w:val="single" w:sz="4" w:color="D9D9D9"/>
              <w:left w:val="single" w:sz="4" w:color="D9D9D9"/>
              <w:bottom w:val="single" w:sz="4" w:color="D9D9D9"/>
              <w:right w:val="single" w:sz="4" w:color="D9D9D9"/>
            </w:tcBorders>
            <w:shd w:fill="E8EDF2"/>
            <w:vAlign w:val="center"/>
          </w:tcPr>
          <w:p>
            <w:pPr>
              <w:spacing w:after="100" w:before="100"/>
            </w:pPr>
            <w:r>
              <w:rPr>
                <w:b/>
                <w:sz w:val="18"/>
              </w:rPr>
              <w:t>Erwarteter Nachweis</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1 Konfiguration</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Tenant, Umgebung, Company-ID, API-Version und Anwendungsidentität schriftlich festgehalten.</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2 Authentifizierung</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Tokenabruf erfolgreich; Fachrequest verwendet die vorgesehene Identität. Keine Tokens oder Secrets im Testprotokoll.</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3 Postman POST</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Vollständiges gültiges Telegramm mit der vorgesehenen Identität senden. URL, bereinigte Header, Body, Status und Antwort sichern.</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4 Empfang prüfen</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BC-Beleg eindeutig zur WAMAS-ID zuordenbar; richtige Firma und vollständig gespeicherte Nutzdaten.</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5 Echter WAMAS Sender</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Identischen Schnittstellenvertrag aus WAMAS testen. Tatsächliche URL und Antwort mit Postman vergleichen.</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6 Abschluss prüfen</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 zeigt Erfolg. Kein wiederkehrender Host-Fehler; erforderliche fachliche Verarbeitung nachgewiesen.</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7 Fehler und Retry</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Ungültiges Item sowie kontrollierte Wiederholung testen. Keine falsche Erfolgsbestätigung und keine Doppelverarbeitung.</w:t>
            </w:r>
          </w:p>
        </w:tc>
      </w:tr>
      <w:tr>
        <w:tc>
          <w:tcPr>
            <w:tcW w:type="dxa" w:w="2268"/>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8 Gegenrichtung</w:t>
            </w:r>
          </w:p>
        </w:tc>
        <w:tc>
          <w:tcPr>
            <w:tcW w:type="dxa" w:w="7370"/>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Falls benötigt: BC → WAMAS mit eigenem Empfangs- und Verarbeitungstest abnehmen.</w:t>
            </w:r>
          </w:p>
        </w:tc>
      </w:tr>
    </w:tbl>
    <w:p>
      <w:pPr>
        <w:pStyle w:val="Heading2"/>
      </w:pPr>
      <w:r>
        <w:t>Fehlerbild und erster Prüfschritt</w:t>
      </w:r>
    </w:p>
    <w:tbl>
      <w:tblPr>
        <w:tblW w:type="auto" w:w="0"/>
        <w:tblLayout w:type="fixed"/>
        <w:tblLook w:firstColumn="1" w:firstRow="1" w:lastColumn="0" w:lastRow="0" w:noHBand="0" w:noVBand="1" w:val="04A0"/>
      </w:tblPr>
      <w:tblGrid>
        <w:gridCol w:w="2835"/>
        <w:gridCol w:w="6803"/>
      </w:tblGrid>
      <w:tr>
        <w:trPr>
          <w:tblHeader/>
        </w:trPr>
        <w:tc>
          <w:tcPr>
            <w:tcW w:type="dxa" w:w="2835"/>
            <w:tcBorders>
              <w:top w:val="single" w:sz="4" w:color="D9D9D9"/>
              <w:left w:val="single" w:sz="4" w:color="D9D9D9"/>
              <w:bottom w:val="single" w:sz="4" w:color="D9D9D9"/>
              <w:right w:val="single" w:sz="4" w:color="D9D9D9"/>
            </w:tcBorders>
            <w:shd w:fill="E8EDF2"/>
            <w:vAlign w:val="center"/>
          </w:tcPr>
          <w:p>
            <w:pPr>
              <w:spacing w:after="100" w:before="100"/>
            </w:pPr>
            <w:r>
              <w:rPr>
                <w:b/>
                <w:sz w:val="18"/>
              </w:rPr>
              <w:t>Fehlerbild</w:t>
            </w:r>
          </w:p>
        </w:tc>
        <w:tc>
          <w:tcPr>
            <w:tcW w:type="dxa" w:w="6803"/>
            <w:tcBorders>
              <w:top w:val="single" w:sz="4" w:color="D9D9D9"/>
              <w:left w:val="single" w:sz="4" w:color="D9D9D9"/>
              <w:bottom w:val="single" w:sz="4" w:color="D9D9D9"/>
              <w:right w:val="single" w:sz="4" w:color="D9D9D9"/>
            </w:tcBorders>
            <w:shd w:fill="E8EDF2"/>
            <w:vAlign w:val="center"/>
          </w:tcPr>
          <w:p>
            <w:pPr>
              <w:spacing w:after="100" w:before="100"/>
            </w:pPr>
            <w:r>
              <w:rPr>
                <w:b/>
                <w:sz w:val="18"/>
              </w:rPr>
              <w:t>Zuerst prüfen</w:t>
            </w:r>
          </w:p>
        </w:tc>
      </w:tr>
      <w:tr>
        <w:tc>
          <w:tcPr>
            <w:tcW w:type="dxa" w:w="2835"/>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UnknownHostException</w:t>
            </w:r>
          </w:p>
        </w:tc>
        <w:tc>
          <w:tcPr>
            <w:tcW w:type="dxa" w:w="6803"/>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Namensauflösung des konkret genannten Hosts und Netzwerkweg.</w:t>
            </w:r>
          </w:p>
        </w:tc>
      </w:tr>
      <w:tr>
        <w:tc>
          <w:tcPr>
            <w:tcW w:type="dxa" w:w="2835"/>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401 oder 403</w:t>
            </w:r>
          </w:p>
        </w:tc>
        <w:tc>
          <w:tcPr>
            <w:tcW w:type="dxa" w:w="6803"/>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Token, Zielressource, Ablauf, App-Zugriff und Berechtigungen; vollständigen Fehlertext lesen.</w:t>
            </w:r>
          </w:p>
        </w:tc>
      </w:tr>
      <w:tr>
        <w:tc>
          <w:tcPr>
            <w:tcW w:type="dxa" w:w="2835"/>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404 CompanyNotFound</w:t>
            </w:r>
          </w:p>
        </w:tc>
        <w:tc>
          <w:tcPr>
            <w:tcW w:type="dxa" w:w="6803"/>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Firma im Request, Company-ID, Tenant und Umgebung. Nicht nur den Servernamen prüfen.</w:t>
            </w:r>
          </w:p>
        </w:tc>
      </w:tr>
      <w:tr>
        <w:tc>
          <w:tcPr>
            <w:tcW w:type="dxa" w:w="2835"/>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404 RecordNotFound</w:t>
            </w:r>
          </w:p>
        </w:tc>
        <w:tc>
          <w:tcPr>
            <w:tcW w:type="dxa" w:w="6803"/>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Welcher Datensatz fehlt? BC-Verarbeitung und Schlüsselzuordnung anhand der CorrelationId verfolgen.</w:t>
            </w:r>
          </w:p>
        </w:tc>
      </w:tr>
      <w:tr>
        <w:tc>
          <w:tcPr>
            <w:tcW w:type="dxa" w:w="2835"/>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400 bei JSON</w:t>
            </w:r>
          </w:p>
        </w:tc>
        <w:tc>
          <w:tcPr>
            <w:tcW w:type="dxa" w:w="6803"/>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Feldname, Array/String/Objekt, Escaping und aktuelle API-Metadaten abgleichen.</w:t>
            </w:r>
          </w:p>
        </w:tc>
      </w:tr>
      <w:tr>
        <w:tc>
          <w:tcPr>
            <w:tcW w:type="dxa" w:w="2835"/>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BC empfängt, WAMAS Fehler</w:t>
            </w:r>
          </w:p>
        </w:tc>
        <w:tc>
          <w:tcPr>
            <w:tcW w:type="dxa" w:w="6803"/>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HTTP-Status und Body sowie WAMAS-Auswertungsfehler sichern. Keine erneute Speicherung als vermeintliche Lösung erzwingen.</w:t>
            </w:r>
          </w:p>
        </w:tc>
      </w:tr>
      <w:tr>
        <w:tc>
          <w:tcPr>
            <w:tcW w:type="dxa" w:w="2835"/>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Timeout nach Versand</w:t>
            </w:r>
          </w:p>
        </w:tc>
        <w:tc>
          <w:tcPr>
            <w:tcW w:type="dxa" w:w="6803"/>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Vor erneutem Senden prüfen, ob die Nachricht schon gespeichert wurde; Timeout ist kein Beweis für Nichtempfang.</w:t>
            </w:r>
          </w:p>
        </w:tc>
      </w:tr>
    </w:tbl>
    <w:p>
      <w:pPr>
        <w:pStyle w:val="Heading2"/>
      </w:pPr>
      <w:r>
        <w:t>Minimaler Testnachweis</w:t>
      </w:r>
    </w:p>
    <w:p>
      <w:r>
        <w:t>Projekt und Version · Zeitpunkt mit Zeitzone · Richtung · WAMAS-Nachrichten-ID · Telegramm-Transaktion · vollständige URL · HTTP-Status und bereinigter Antwortbody · BC-CorrelationId/Belegreferenz · Senderstatus · fachliches Ergebnis · Prüfer.</w:t>
      </w:r>
    </w:p>
    <w:p>
      <w:r>
        <w:t>Vor erneutem Senden bereits empfangener Nachrichten Doppelverarbeitung ausschliessen. In den AcuMax-Logs fehlt der Zeitzonenoffset; für die Suche in BC-Telemetrie die Serverzeit abgleichen.</w:t>
      </w:r>
    </w:p>
    <w:p>
      <w:r>
        <w:br w:type="page"/>
      </w:r>
    </w:p>
    <w:p>
      <w:pPr>
        <w:pStyle w:val="Heading1"/>
      </w:pPr>
      <w:r>
        <w:t>Projektblatt für Ramsayer und Quellen</w:t>
      </w:r>
    </w:p>
    <w:p>
      <w:r>
        <w:t>Vor dem ersten Test ausfüllen. AcuMax liefert das Vorgehen, nicht die Zugangsdaten oder verbindlichen Projektwerte.</w:t>
      </w:r>
    </w:p>
    <w:tbl>
      <w:tblPr>
        <w:tblW w:type="auto" w:w="0"/>
        <w:tblLayout w:type="fixed"/>
        <w:tblLook w:firstColumn="1" w:firstRow="1" w:lastColumn="0" w:lastRow="0" w:noHBand="0" w:noVBand="1" w:val="04A0"/>
      </w:tblPr>
      <w:tblGrid>
        <w:gridCol w:w="3969"/>
        <w:gridCol w:w="5669"/>
      </w:tblGrid>
      <w:tr>
        <w:trPr>
          <w:tblHeader/>
        </w:trPr>
        <w:tc>
          <w:tcPr>
            <w:tcW w:type="dxa" w:w="3969"/>
            <w:tcBorders>
              <w:top w:val="single" w:sz="4" w:color="D9D9D9"/>
              <w:left w:val="single" w:sz="4" w:color="D9D9D9"/>
              <w:bottom w:val="single" w:sz="4" w:color="D9D9D9"/>
              <w:right w:val="single" w:sz="4" w:color="D9D9D9"/>
            </w:tcBorders>
            <w:shd w:fill="E8EDF2"/>
            <w:vAlign w:val="center"/>
          </w:tcPr>
          <w:p>
            <w:pPr>
              <w:spacing w:after="100" w:before="100"/>
            </w:pPr>
            <w:r>
              <w:rPr>
                <w:b/>
                <w:sz w:val="18"/>
              </w:rPr>
              <w:t>Projektfeld</w:t>
            </w:r>
          </w:p>
        </w:tc>
        <w:tc>
          <w:tcPr>
            <w:tcW w:type="dxa" w:w="5669"/>
            <w:tcBorders>
              <w:top w:val="single" w:sz="4" w:color="D9D9D9"/>
              <w:left w:val="single" w:sz="4" w:color="D9D9D9"/>
              <w:bottom w:val="single" w:sz="4" w:color="D9D9D9"/>
              <w:right w:val="single" w:sz="4" w:color="D9D9D9"/>
            </w:tcBorders>
            <w:shd w:fill="E8EDF2"/>
            <w:vAlign w:val="center"/>
          </w:tcPr>
          <w:p>
            <w:pPr>
              <w:spacing w:after="100" w:before="100"/>
            </w:pPr>
            <w:r>
              <w:rPr>
                <w:b/>
                <w:sz w:val="18"/>
              </w:rPr>
              <w:t>Ramsayer Eintrag</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 Version und DI-API-Vertrag</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BC Tenant und Umgebung</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 Test und Produktion getrennt</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Firma und Company-ID</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Publisher / Gruppe / API-Version / EntitySet</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Vollständige URL WAMAS → BC</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Client-ID / Credential-Ablage / Ablauf</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 nur Ablageort, kein Secret</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Telegrammtypen und Feldmapping</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Erfolgs- und Fehlerantwort an WAMAS</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verbindlich bestätigen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URL und Vertrag BC → WAMAS</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Falls benötigt, separat festzulegen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Retry / Duplikatschlüssel / Batchregeln</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Noch festzulegen</w:t>
            </w:r>
          </w:p>
        </w:tc>
      </w:tr>
      <w:tr>
        <w:tc>
          <w:tcPr>
            <w:tcW w:type="dxa" w:w="39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Verantwortliche und Abnahmedatum</w:t>
            </w:r>
          </w:p>
        </w:tc>
        <w:tc>
          <w:tcPr>
            <w:tcW w:type="dxa" w:w="5669"/>
            <w:tcBorders>
              <w:top w:val="single" w:sz="4" w:color="D9D9D9"/>
              <w:left w:val="single" w:sz="4" w:color="D9D9D9"/>
              <w:bottom w:val="single" w:sz="4" w:color="D9D9D9"/>
              <w:right w:val="single" w:sz="4" w:color="D9D9D9"/>
            </w:tcBorders>
            <w:shd w:fill="FFFFFF"/>
            <w:vAlign w:val="center"/>
          </w:tcPr>
          <w:p>
            <w:pPr>
              <w:spacing w:after="100" w:before="100"/>
            </w:pPr>
            <w:r>
              <w:rPr>
                <w:b w:val="0"/>
                <w:sz w:val="18"/>
              </w:rPr>
              <w:t>WAMAS: ___  BC: ___  Betrieb: ___  Datum: ___</w:t>
            </w:r>
          </w:p>
        </w:tc>
      </w:tr>
    </w:tbl>
    <w:p>
      <w:pPr>
        <w:pStyle w:val="Heading2"/>
      </w:pPr>
      <w:r>
        <w:t>Quellen und Belegstatus</w:t>
      </w:r>
    </w:p>
    <w:p>
      <w:r>
        <w:t>[L] ServerApplication_WAMAS_AllInOne_DI_SRV01ACUMBADZ (1)(1).log: 1025843–1025844 und 1025868–1025869. CorrelationIds ed6197f1-dc70-4779-a199-4c8333c7005a und 60ccba1a-9e62-47c6-acbf-beea3a4090ea. Alte WAMAS-URL ohne Firmenangabe vom Betreiber im Gespräch mitgeteilt.</w:t>
      </w:r>
    </w:p>
    <w:p>
      <w:r>
        <w:t>[P] Bereitgestellter Postman-Screenshot: POST mit Company-ID; id=1002; 201 Created; entryNo=5; Message received. Testdatum und verwendete Identität im Screenshot nicht erkennbar.</w:t>
      </w:r>
    </w:p>
    <w:p>
      <w:r>
        <w:t>[B] Betreiber-Rückmeldung vom 10.10.2026: nach URL-Anpassung und Neustart empfängt BC Nachrichten. [H] WAMAS-Aktivitätsprotokoll im Screenshot: Nachricht 1110, 16:06:40.663, unknown error. Neuer zugehöriger REST-Fehlerblock steht zur abschliessenden Diagnose noch aus.</w:t>
      </w:r>
    </w:p>
    <w:p>
      <w:r>
        <w:t>[R] Bestehende Technische Dokumentation vom 23.09.2026, Abschnitte 4 bis 6, sowie WAMAS_BC_Testpaket.zip. Die drei rekonstruierten Requests 505, 516 und 517 enthalten data als String mit lesbarem DI_TELEGRAMS-JSON. Die Referenzantwort stammt aus dem dort dokumentierten Receiver-Code; sie ist kein Nachweis des endgültigen BC-ACK-Vertrags.</w:t>
      </w:r>
    </w:p>
    <w:p>
      <w:r>
        <w:rPr>
          <w:sz w:val="16"/>
        </w:rPr>
        <w:t>M1 Microsoft API endpoint structure</w:t>
        <w:br/>
        <w:t>https://learn.microsoft.com/en-us/dynamics365/business-central/dev-itpro/webservices/api-endpoint-structure</w:t>
      </w:r>
    </w:p>
    <w:p>
      <w:r>
        <w:rPr>
          <w:sz w:val="16"/>
        </w:rPr>
        <w:t>M2 Microsoft Service to service authentication</w:t>
        <w:br/>
        <w:t>https://learn.microsoft.com/en-us/dynamics365/business-central/dev-itpro/administration/automation-apis-using-s2s-authentication</w:t>
      </w:r>
    </w:p>
    <w:p>
      <w:r>
        <w:rPr>
          <w:sz w:val="16"/>
        </w:rPr>
        <w:t>M3 Microsoft Create customers als Beispiel für 201</w:t>
        <w:br/>
        <w:t>https://learn.microsoft.com/en-us/dynamics365/business-central/dev-itpro/api-reference/v2.0/api/dynamics_customer_create</w:t>
      </w:r>
    </w:p>
    <w:p>
      <w:r>
        <w:rPr>
          <w:sz w:val="16"/>
        </w:rPr>
        <w:t>M4 Microsoft OData Unbound Action mit 200</w:t>
        <w:br/>
        <w:t>https://learn.microsoft.com/en-us/dynamics365/business-central/dev-itpro/developer/devenv-creating-and-interacting-with-odatav4-unbound-action</w:t>
      </w:r>
    </w:p>
    <w:sectPr w:rsidR="00FC693F" w:rsidRPr="0006063C" w:rsidSect="00034616">
      <w:footerReference w:type="default" r:id="rId9"/>
      <w:pgSz w:w="11906" w:h="16838"/>
      <w:pgMar w:top="964" w:right="1134" w:bottom="93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WAMAS und Business Central | Praxisleitfaden | 10.10.2026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4"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outlineLvl w:val="0"/>
    </w:pPr>
    <w:rPr>
      <w:rFonts w:asciiTheme="majorHAnsi" w:eastAsiaTheme="majorEastAsia" w:hAnsiTheme="majorHAnsi" w:cstheme="majorBidi" w:ascii="Calibri" w:hAnsi="Calibri"/>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40" w:lineRule="auto" w:before="200"/>
      <w:contextualSpacing/>
    </w:pPr>
    <w:rPr>
      <w:rFonts w:asciiTheme="majorHAnsi" w:eastAsiaTheme="majorEastAsia" w:hAnsiTheme="majorHAnsi" w:cstheme="majorBidi" w:ascii="Calibri" w:hAnsi="Calibri"/>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200" w:after="140"/>
    </w:pPr>
    <w:rPr>
      <w:rFonts w:asciiTheme="majorHAnsi" w:eastAsiaTheme="majorEastAsia" w:hAnsiTheme="majorHAnsi" w:cstheme="majorBidi" w:ascii="Calibri" w:hAnsi="Calibr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WAMAS und Business Central REST Praxisleitfaden</dc:title>
  <dc:subject>Direkte Integration und wiederverwendbare Projektcheckliste</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