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Prozessbeschreibung</w:t>
            </w:r>
          </w:p>
          <w:p>
            <w:pPr>
              <w:spacing w:after="120"/>
            </w:pPr>
            <w:r>
              <w:rPr>
                <w:b/>
                <w:sz w:val="48"/>
              </w:rPr>
              <w:t>Wareneingang mit Kommissionierwagen in BC Dynamics</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Akumax AG · Prozessbeschreibung und Schnittstelle BC Dynamics zu WAMAS</w:t>
            </w:r>
          </w:p>
          <w:p>
            <w:pPr>
              <w:spacing w:after="0"/>
            </w:pPr>
            <w:r>
              <w:rPr>
                <w:b w:val="0"/>
                <w:color w:val="555555"/>
                <w:sz w:val="18"/>
              </w:rPr>
              <w:t>Kunde: Akumax AG · Marek Sobona / SSI SCHÄFER</w:t>
            </w:r>
          </w:p>
        </w:tc>
      </w:tr>
    </w:tbl>
    <w:p>
      <w:pPr>
        <w:spacing w:before="8617"/>
      </w:pPr>
      <w:r>
        <w:rPr>
          <w:sz w:val="18"/>
        </w:rPr>
        <w:t>V 2.0 (Redesign)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So lesen Sie dieses Dokument</w:t>
        <w:tab/>
        <w:t>4</w:t>
      </w:r>
    </w:p>
    <w:p>
      <w:pPr>
        <w:pStyle w:val="TOC2"/>
        <w:tabs>
          <w:tab w:pos="9524" w:val="right" w:leader="dot"/>
        </w:tabs>
      </w:pPr>
      <w:r>
        <w:t>1.3 Dokumentinformationen</w:t>
        <w:tab/>
        <w:t>4</w:t>
      </w:r>
    </w:p>
    <w:p>
      <w:pPr>
        <w:pStyle w:val="TOC2"/>
        <w:tabs>
          <w:tab w:pos="9524" w:val="right" w:leader="dot"/>
        </w:tabs>
      </w:pPr>
      <w:r>
        <w:t>1.4 Änderungshistorie</w:t>
        <w:tab/>
        <w:t>4</w:t>
      </w:r>
    </w:p>
    <w:p>
      <w:pPr>
        <w:pStyle w:val="TOC1"/>
        <w:tabs>
          <w:tab w:pos="9524" w:val="right" w:leader="dot"/>
        </w:tabs>
      </w:pPr>
      <w:r>
        <w:t>2 Kurzfassung</w:t>
        <w:tab/>
        <w:t>5</w:t>
      </w:r>
    </w:p>
    <w:p>
      <w:pPr>
        <w:pStyle w:val="TOC1"/>
        <w:tabs>
          <w:tab w:pos="9524" w:val="right" w:leader="dot"/>
        </w:tabs>
      </w:pPr>
      <w:r>
        <w:t>3 Übersicht und Ausgangslage</w:t>
        <w:tab/>
        <w:t>6</w:t>
      </w:r>
    </w:p>
    <w:p>
      <w:pPr>
        <w:pStyle w:val="TOC2"/>
        <w:tabs>
          <w:tab w:pos="9524" w:val="right" w:leader="dot"/>
        </w:tabs>
      </w:pPr>
      <w:r>
        <w:t>3.1 Was das Designkonzept festlegt</w:t>
        <w:tab/>
        <w:t>6</w:t>
      </w:r>
    </w:p>
    <w:p>
      <w:pPr>
        <w:pStyle w:val="TOC2"/>
        <w:tabs>
          <w:tab w:pos="9524" w:val="right" w:leader="dot"/>
        </w:tabs>
      </w:pPr>
      <w:r>
        <w:t>3.2 Was die Schnittstelle zu WAMAS bietet</w:t>
        <w:tab/>
        <w:t>7</w:t>
      </w:r>
    </w:p>
    <w:p>
      <w:pPr>
        <w:pStyle w:val="TOC1"/>
        <w:tabs>
          <w:tab w:pos="9524" w:val="right" w:leader="dot"/>
        </w:tabs>
      </w:pPr>
      <w:r>
        <w:t>4 Rollen</w:t>
        <w:tab/>
        <w:t>8</w:t>
      </w:r>
    </w:p>
    <w:p>
      <w:pPr>
        <w:pStyle w:val="TOC1"/>
        <w:tabs>
          <w:tab w:pos="9524" w:val="right" w:leader="dot"/>
        </w:tabs>
      </w:pPr>
      <w:r>
        <w:t>5 Ablauf</w:t>
        <w:tab/>
        <w:t>9</w:t>
      </w:r>
    </w:p>
    <w:p>
      <w:pPr>
        <w:pStyle w:val="TOC2"/>
        <w:tabs>
          <w:tab w:pos="9524" w:val="right" w:leader="dot"/>
        </w:tabs>
      </w:pPr>
      <w:r>
        <w:t>5.1 Schritt für Schritt</w:t>
        <w:tab/>
        <w:t>9</w:t>
      </w:r>
    </w:p>
    <w:p>
      <w:pPr>
        <w:pStyle w:val="TOC1"/>
        <w:tabs>
          <w:tab w:pos="9524" w:val="right" w:leader="dot"/>
        </w:tabs>
      </w:pPr>
      <w:r>
        <w:t>6 Sequenzdiagramm</w:t>
        <w:tab/>
        <w:t>11</w:t>
      </w:r>
    </w:p>
    <w:p>
      <w:pPr>
        <w:pStyle w:val="TOC1"/>
        <w:tabs>
          <w:tab w:pos="9524" w:val="right" w:leader="dot"/>
        </w:tabs>
      </w:pPr>
      <w:r>
        <w:t>7 Feld-Mapping: externe Referenz, Lieferschein, Zusatzinfos, Seriennummer</w:t>
        <w:tab/>
      </w:r>
    </w:p>
    <w:p>
      <w:pPr>
        <w:pStyle w:val="TOC2"/>
        <w:tabs>
          <w:tab w:pos="9524" w:val="right" w:leader="dot"/>
        </w:tabs>
      </w:pPr>
      <w:r>
        <w:t>7.1 Kommissionierwagen und Ware → externe Referenz (Empfehlung für die Schnittstelle BC Dynamics zu WAMAS)</w:t>
        <w:tab/>
      </w:r>
    </w:p>
    <w:p>
      <w:pPr>
        <w:pStyle w:val="TOC2"/>
        <w:tabs>
          <w:tab w:pos="9524" w:val="right" w:leader="dot"/>
        </w:tabs>
      </w:pPr>
      <w:r>
        <w:t>7.2 Varianten, die nicht empfohlen werden</w:t>
        <w:tab/>
        <w:t>13</w:t>
      </w:r>
    </w:p>
    <w:p>
      <w:pPr>
        <w:pStyle w:val="TOC2"/>
        <w:tabs>
          <w:tab w:pos="9524" w:val="right" w:leader="dot"/>
        </w:tabs>
      </w:pPr>
      <w:r>
        <w:t>7.3 Referenzimplementierung und Test</w:t>
        <w:tab/>
        <w:t>13</w:t>
      </w:r>
    </w:p>
    <w:p>
      <w:pPr>
        <w:pStyle w:val="TOC2"/>
        <w:tabs>
          <w:tab w:pos="9524" w:val="right" w:leader="dot"/>
        </w:tabs>
      </w:pPr>
      <w:r>
        <w:t>7.4 Lieferschein: noteNo und externe Referenz LIEFERSCHEIN</w:t>
        <w:tab/>
        <w:t>13</w:t>
      </w:r>
    </w:p>
    <w:p>
      <w:pPr>
        <w:pStyle w:val="TOC2"/>
        <w:tabs>
          <w:tab w:pos="9524" w:val="right" w:leader="dot"/>
        </w:tabs>
      </w:pPr>
      <w:r>
        <w:t>7.5 Zusatzinformationen info und info2</w:t>
        <w:tab/>
        <w:t>14</w:t>
      </w:r>
    </w:p>
    <w:p>
      <w:pPr>
        <w:pStyle w:val="TOC2"/>
        <w:tabs>
          <w:tab w:pos="9524" w:val="right" w:leader="dot"/>
        </w:tabs>
      </w:pPr>
      <w:r>
        <w:t>7.6 Seriennummer über CSIA 01 (csia1)</w:t>
        <w:tab/>
        <w:t>14</w:t>
      </w:r>
    </w:p>
    <w:p>
      <w:pPr>
        <w:pStyle w:val="TOC2"/>
        <w:tabs>
          <w:tab w:pos="9524" w:val="right" w:leader="dot"/>
        </w:tabs>
      </w:pPr>
      <w:r>
        <w:t>7.7 Charge (batch) und MHD (bbDate)</w:t>
        <w:tab/>
        <w:t>16</w:t>
      </w:r>
    </w:p>
    <w:p>
      <w:pPr>
        <w:pStyle w:val="TOC2"/>
        <w:tabs>
          <w:tab w:pos="9524" w:val="right" w:leader="dot"/>
        </w:tabs>
      </w:pPr>
      <w:r>
        <w:t>7.8 Feldlängen noteNo, info, info2, csia1, batch, bbDate und Artikelstamm</w:t>
        <w:tab/>
        <w:t>19</w:t>
      </w:r>
    </w:p>
    <w:p>
      <w:pPr>
        <w:pStyle w:val="TOC1"/>
        <w:tabs>
          <w:tab w:pos="9524" w:val="right" w:leader="dot"/>
        </w:tabs>
      </w:pPr>
      <w:r>
        <w:t>8 Statusmodell Kommissionierwagen</w:t>
        <w:tab/>
        <w:t>22</w:t>
      </w:r>
    </w:p>
    <w:p>
      <w:pPr>
        <w:pStyle w:val="TOC1"/>
        <w:tabs>
          <w:tab w:pos="9524" w:val="right" w:leader="dot"/>
        </w:tabs>
      </w:pPr>
      <w:r>
        <w:t>9 Stolperfallen</w:t>
        <w:tab/>
        <w:t>24</w:t>
      </w:r>
    </w:p>
    <w:p>
      <w:pPr>
        <w:pStyle w:val="TOC2"/>
        <w:tabs>
          <w:tab w:pos="9524" w:val="right" w:leader="dot"/>
        </w:tabs>
      </w:pPr>
      <w:r>
        <w:t>9.1 Fehlerfälle</w:t>
        <w:tab/>
        <w:t>24</w:t>
      </w:r>
    </w:p>
    <w:p>
      <w:pPr>
        <w:pStyle w:val="TOC1"/>
        <w:tabs>
          <w:tab w:pos="9524" w:val="right" w:leader="dot"/>
        </w:tabs>
      </w:pPr>
      <w:r>
        <w:t>10 Praxisbeispiele</w:t>
        <w:tab/>
        <w:t>26</w:t>
      </w:r>
    </w:p>
    <w:p>
      <w:pPr>
        <w:pStyle w:val="TOC2"/>
        <w:tabs>
          <w:tab w:pos="9524" w:val="right" w:leader="dot"/>
        </w:tabs>
      </w:pPr>
      <w:r>
        <w:t>10.1 Echt gesendet: Einl000031, Wagen KW-1001 (14.10.2026, 15:07)</w:t>
        <w:tab/>
        <w:t>26</w:t>
      </w:r>
    </w:p>
    <w:p>
      <w:pPr>
        <w:pStyle w:val="TOC2"/>
        <w:tabs>
          <w:tab w:pos="9524" w:val="right" w:leader="dot"/>
        </w:tabs>
      </w:pPr>
      <w:r>
        <w:t>10.2 Abgleich mit dem bisherigen Stand</w:t>
        <w:tab/>
        <w:t>27</w:t>
      </w:r>
    </w:p>
    <w:p>
      <w:pPr>
        <w:pStyle w:val="TOC2"/>
        <w:tabs>
          <w:tab w:pos="9524" w:val="right" w:leader="dot"/>
        </w:tabs>
      </w:pPr>
      <w:r>
        <w:t>10.3 Beispiel KW-1042 (abgeleitet aus WLSSD_extref_3_demand_lines.json)</w:t>
        <w:tab/>
        <w:t>28</w:t>
      </w:r>
    </w:p>
    <w:p>
      <w:pPr>
        <w:pStyle w:val="TOC1"/>
        <w:tabs>
          <w:tab w:pos="9524" w:val="right" w:leader="dot"/>
        </w:tabs>
      </w:pPr>
      <w:r>
        <w:t>11 Offene Fragen und Lücken</w:t>
        <w:tab/>
        <w:t>30</w:t>
      </w:r>
    </w:p>
    <w:p>
      <w:pPr>
        <w:pStyle w:val="TOC2"/>
        <w:tabs>
          <w:tab w:pos="9524" w:val="right" w:leader="dot"/>
        </w:tabs>
      </w:pPr>
      <w:r>
        <w:t>11.1 Offene Fragen</w:t>
        <w:tab/>
        <w:t>30</w:t>
      </w:r>
    </w:p>
    <w:p>
      <w:pPr>
        <w:pStyle w:val="TOC2"/>
        <w:tabs>
          <w:tab w:pos="9524" w:val="right" w:leader="dot"/>
        </w:tabs>
      </w:pPr>
      <w:r>
        <w:t>11.2 Annahmen im Text (Übersicht)</w:t>
        <w:tab/>
        <w:t>30</w:t>
      </w:r>
    </w:p>
    <w:p>
      <w:pPr>
        <w:pStyle w:val="TOC2"/>
        <w:tabs>
          <w:tab w:pos="9524" w:val="right" w:leader="dot"/>
        </w:tabs>
      </w:pPr>
      <w:r>
        <w:t>11.3 Fehlende Screenshots und Fotos</w:t>
        <w:tab/>
        <w:t>31</w:t>
      </w:r>
    </w:p>
    <w:p>
      <w:pPr>
        <w:pStyle w:val="TOC1"/>
        <w:tabs>
          <w:tab w:pos="9524" w:val="right" w:leader="dot"/>
        </w:tabs>
      </w:pPr>
      <w:r>
        <w:t>12 Quellenverzeichnis</w:t>
        <w:tab/>
        <w:t>32</w:t>
      </w:r>
    </w:p>
    <w:p>
      <w:pPr>
        <w:pStyle w:val="TOC2"/>
        <w:tabs>
          <w:tab w:pos="9524" w:val="right" w:leader="dot"/>
        </w:tabs>
      </w:pPr>
      <w:r>
        <w:t>12.1 Abkürzungen</w:t>
        <w:tab/>
        <w:t>32</w:t>
      </w:r>
    </w:p>
    <w:p>
      <w:pPr>
        <w:pStyle w:val="TOC2"/>
        <w:tabs>
          <w:tab w:pos="9524" w:val="right" w:leader="dot"/>
        </w:tabs>
      </w:pPr>
      <w:r>
        <w:t>12.2 Dokumente und Dateien</w:t>
        <w:tab/>
        <w:t>32</w:t>
      </w:r>
    </w:p>
    <w:p>
      <w:pPr>
        <w:pStyle w:val="TOC2"/>
        <w:tabs>
          <w:tab w:pos="9524" w:val="right" w:leader="dot"/>
        </w:tabs>
      </w:pPr>
      <w:r>
        <w:t>12.3 Verwendete Kapitel und Tabellen der Manuals</w:t>
        <w:tab/>
        <w:t>32</w:t>
      </w:r>
      <w:r>
        <w:fldChar w:fldCharType="end"/>
      </w:r>
    </w:p>
    <w:p>
      <w:pPr>
        <w:pStyle w:val="Heading1"/>
      </w:pPr>
      <w:r>
        <w:t>1 Über dieses Dokument</w:t>
      </w:r>
    </w:p>
    <w:p>
      <w:pPr>
        <w:pStyle w:val="Heading2"/>
      </w:pPr>
      <w:r>
        <w:t>1.1 Zweck</w:t>
      </w:r>
    </w:p>
    <w:p>
      <w:r>
        <w:t xml:space="preserve">Prozessbeschreibung: Der Wareneingang wird in </w:t>
      </w:r>
      <w:r>
        <w:rPr>
          <w:b/>
        </w:rPr>
        <w:t>BC Dynamics</w:t>
      </w:r>
      <w:r>
        <w:t xml:space="preserve"> erfasst, also ausserhalb von WAMAS. Ablauf: Wagen identifizieren, Ware je Fach erfassen, Einlagerauftrag (Storage Demand, Telegramm </w:t>
      </w:r>
      <w:r>
        <w:rPr>
          <w:rFonts w:ascii="Consolas" w:hAnsi="Consolas" w:cs="Consolas" w:eastAsia="Consolas"/>
          <w:sz w:val="18"/>
        </w:rPr>
        <w:t>WLSSD</w:t>
      </w:r>
      <w:r>
        <w:t xml:space="preserve">) mit </w:t>
      </w:r>
      <w:r>
        <w:rPr>
          <w:b/>
        </w:rPr>
        <w:t>externer Referenz</w:t>
      </w:r>
      <w:r>
        <w:t xml:space="preserve"> erzeugen, von BC Dynamics als Host an WAMAS senden, am Lift einlagern, Wagen freigeben.</w:t>
      </w:r>
    </w:p>
    <w:p>
      <w:r>
        <w:t xml:space="preserve">Kunde: </w:t>
      </w:r>
      <w:r>
        <w:rPr>
          <w:b/>
        </w:rPr>
        <w:t>Akumax AG</w:t>
      </w:r>
      <w:r>
        <w:t>. Das Dokument beschreibt den Soll-Prozess für den Wareneingang mit Kommissionierwagen und die Schnittstelle BC Dynamics zu WAMAS (Zielversion WAMAS Lift &amp; Store 2.8).</w:t>
      </w:r>
    </w:p>
    <w:p>
      <w:pPr>
        <w:pStyle w:val="Heading2"/>
      </w:pPr>
      <w:r>
        <w:t>1.2 So lesen Sie dieses Dokument</w:t>
      </w:r>
    </w:p>
    <w:p>
      <w:r>
        <w:t>Kennzeichnung: [belegt] = so in Telegramm, Referenzcode oder Beispieldatei vorhanden · [Annahme] = fachliche Annahme, nicht belegt.</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Wareneingang mit Kommissionierwagen in BC Dynamics</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2.0 (Redesign)</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Projektteam Akumax AG, BC-Team (Schnittstelle), Key-User und Administratoren WAMAS</w:t>
            </w:r>
          </w:p>
        </w:tc>
      </w:tr>
      <w:tr>
        <w:tc>
          <w:tcPr>
            <w:tcW w:type="dxa" w:w="2268"/>
          </w:tcPr>
          <w:p>
            <w:pPr>
              <w:spacing w:after="0" w:line="252" w:lineRule="auto"/>
            </w:pPr>
            <w:r>
              <w:rPr>
                <w:b/>
                <w:sz w:val="17"/>
              </w:rPr>
              <w:t>Grundlage</w:t>
            </w:r>
          </w:p>
        </w:tc>
        <w:tc>
          <w:tcPr>
            <w:tcW w:type="dxa" w:w="7257"/>
          </w:tcPr>
          <w:p>
            <w:pPr>
              <w:spacing w:after="0" w:line="252" w:lineRule="auto"/>
            </w:pPr>
            <w:r>
              <w:rPr>
                <w:sz w:val="17"/>
              </w:rPr>
              <w:t>Schnittstelle BC Dynamics zu WAMAS, Zielversion WAMAS 2.8 · Stand 14.10.2026 · Grundlage: kommissionierwagen.html / _build_wagen.py, Referenzimplementierung WAMAS Web App v2 (order_builders.py, server.py, FIELD_MAPPING.md, telegram_fields.yaml, de.json, extended-forms.js, test_touch_ext_ref_catalog.py), diff_2.7_to_2.8.md, WLSSD_extref_3_demand_lines.json, WLSSD_00000025.json, Interface Manual WLS-ERP 2.8, User und Administrator Manual 2.8 · Ergänzung Charge und MHD 14.10.2026</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1332"/>
        <w:gridCol w:w="2081"/>
        <w:gridCol w:w="4779"/>
      </w:tblGrid>
      <w:tr>
        <w:trPr>
          <w:tblHeader w:val="true"/>
        </w:trPr>
        <w:tc>
          <w:tcPr>
            <w:tcW w:type="dxa" w:w="1332"/>
            <w:shd w:val="clear" w:color="auto" w:fill="FEEE19"/>
          </w:tcPr>
          <w:p>
            <w:pPr>
              <w:spacing w:after="0"/>
            </w:pPr>
            <w:r>
              <w:rPr>
                <w:b/>
                <w:sz w:val="17"/>
              </w:rPr>
              <w:t>Version</w:t>
            </w:r>
          </w:p>
        </w:tc>
        <w:tc>
          <w:tcPr>
            <w:tcW w:type="dxa" w:w="1332"/>
            <w:shd w:val="clear" w:color="auto" w:fill="FEEE19"/>
          </w:tcPr>
          <w:p>
            <w:pPr>
              <w:spacing w:after="0"/>
            </w:pPr>
            <w:r>
              <w:rPr>
                <w:b/>
                <w:sz w:val="17"/>
              </w:rPr>
              <w:t>Stand</w:t>
            </w:r>
          </w:p>
        </w:tc>
        <w:tc>
          <w:tcPr>
            <w:tcW w:type="dxa" w:w="2081"/>
            <w:shd w:val="clear" w:color="auto" w:fill="FEEE19"/>
          </w:tcPr>
          <w:p>
            <w:pPr>
              <w:spacing w:after="0"/>
            </w:pPr>
            <w:r>
              <w:rPr>
                <w:b/>
                <w:sz w:val="17"/>
              </w:rPr>
              <w:t>Autor</w:t>
            </w:r>
          </w:p>
        </w:tc>
        <w:tc>
          <w:tcPr>
            <w:tcW w:type="dxa" w:w="4779"/>
            <w:shd w:val="clear" w:color="auto" w:fill="FEEE19"/>
          </w:tcPr>
          <w:p>
            <w:pPr>
              <w:spacing w:after="0"/>
            </w:pPr>
            <w:r>
              <w:rPr>
                <w:b/>
                <w:sz w:val="17"/>
              </w:rPr>
              <w:t>Änderung</w:t>
            </w:r>
          </w:p>
        </w:tc>
      </w:tr>
      <w:tr>
        <w:tc>
          <w:tcPr>
            <w:tcW w:type="dxa" w:w="1332"/>
          </w:tcPr>
          <w:p>
            <w:pPr>
              <w:spacing w:after="0" w:line="252" w:lineRule="auto"/>
            </w:pPr>
            <w:r>
              <w:rPr>
                <w:sz w:val="17"/>
              </w:rPr>
              <w:t>1.0</w:t>
            </w:r>
          </w:p>
        </w:tc>
        <w:tc>
          <w:tcPr>
            <w:tcW w:type="dxa" w:w="1332"/>
          </w:tcPr>
          <w:p>
            <w:pPr>
              <w:spacing w:after="0" w:line="252" w:lineRule="auto"/>
            </w:pPr>
            <w:r>
              <w:rPr>
                <w:sz w:val="17"/>
              </w:rPr>
              <w:t>14.10.2026</w:t>
            </w:r>
          </w:p>
        </w:tc>
        <w:tc>
          <w:tcPr>
            <w:tcW w:type="dxa" w:w="2081"/>
          </w:tcPr>
          <w:p>
            <w:pPr>
              <w:spacing w:after="0" w:line="252" w:lineRule="auto"/>
            </w:pPr>
            <w:r>
              <w:rPr>
                <w:sz w:val="17"/>
              </w:rPr>
              <w:t>Marek Sobona</w:t>
            </w:r>
          </w:p>
        </w:tc>
        <w:tc>
          <w:tcPr>
            <w:tcW w:type="dxa" w:w="4779"/>
          </w:tcPr>
          <w:p>
            <w:pPr>
              <w:spacing w:after="0" w:line="252" w:lineRule="auto"/>
            </w:pPr>
            <w:r>
              <w:rPr>
                <w:sz w:val="17"/>
              </w:rPr>
              <w:t>Erstfassung im bisherigen Layout (HTML, Word/PDF)</w:t>
            </w:r>
          </w:p>
        </w:tc>
      </w:tr>
      <w:tr>
        <w:tc>
          <w:tcPr>
            <w:tcW w:type="dxa" w:w="1332"/>
          </w:tcPr>
          <w:p>
            <w:pPr>
              <w:spacing w:after="0" w:line="252" w:lineRule="auto"/>
            </w:pPr>
            <w:r>
              <w:rPr>
                <w:sz w:val="17"/>
              </w:rPr>
              <w:t>2.0 (Redesign)</w:t>
            </w:r>
          </w:p>
        </w:tc>
        <w:tc>
          <w:tcPr>
            <w:tcW w:type="dxa" w:w="1332"/>
          </w:tcPr>
          <w:p>
            <w:pPr>
              <w:spacing w:after="0" w:line="252" w:lineRule="auto"/>
            </w:pPr>
            <w:r>
              <w:rPr>
                <w:sz w:val="17"/>
              </w:rPr>
              <w:t>14.10.2026</w:t>
            </w:r>
          </w:p>
        </w:tc>
        <w:tc>
          <w:tcPr>
            <w:tcW w:type="dxa" w:w="2081"/>
          </w:tcPr>
          <w:p>
            <w:pPr>
              <w:spacing w:after="0" w:line="252" w:lineRule="auto"/>
            </w:pPr>
            <w:r>
              <w:rPr>
                <w:sz w:val="17"/>
              </w:rPr>
              <w:t>Marek Sobona / SSI SCHÄFER</w:t>
            </w:r>
          </w:p>
        </w:tc>
        <w:tc>
          <w:tcPr>
            <w:tcW w:type="dxa" w:w="4779"/>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bl>
    <w:p>
      <w:pPr>
        <w:pStyle w:val="BeschriftungSSI"/>
      </w:pPr>
      <w:r>
        <w:t>Tab. 1: Änderungshistorie</w:t>
      </w:r>
    </w:p>
    <w:p>
      <w:pPr>
        <w:pStyle w:val="Heading1"/>
      </w:pPr>
      <w:r>
        <w:t>2 Kurzfassung</w:t>
      </w:r>
    </w:p>
    <w:p>
      <w:pPr>
        <w:pStyle w:val="ListBullet"/>
      </w:pPr>
      <w:r>
        <w:t xml:space="preserve">Der Wareneingang wird </w:t>
      </w:r>
      <w:r>
        <w:rPr>
          <w:b/>
        </w:rPr>
        <w:t>in BC Dynamics</w:t>
      </w:r>
      <w:r>
        <w:t xml:space="preserve"> (Microsoft Dynamics 365 Business Central, ERP) am Kommissionierwagen erfasst: zuerst der Wagen-QR an der Deichsel (</w:t>
      </w:r>
      <w:r>
        <w:rPr>
          <w:rFonts w:ascii="Consolas" w:hAnsi="Consolas" w:cs="Consolas" w:eastAsia="Consolas"/>
          <w:sz w:val="18"/>
        </w:rPr>
        <w:t>KW-1042</w:t>
      </w:r>
      <w:r>
        <w:t>), dann je belegtem Fach der Fach-QR (</w:t>
      </w:r>
      <w:r>
        <w:rPr>
          <w:rFonts w:ascii="Consolas" w:hAnsi="Consolas" w:cs="Consolas" w:eastAsia="Consolas"/>
          <w:sz w:val="18"/>
        </w:rPr>
        <w:t>KW-1042|A1</w:t>
      </w:r>
      <w:r>
        <w:t xml:space="preserve"> bis </w:t>
      </w:r>
      <w:r>
        <w:rPr>
          <w:rFonts w:ascii="Consolas" w:hAnsi="Consolas" w:cs="Consolas" w:eastAsia="Consolas"/>
          <w:sz w:val="18"/>
        </w:rPr>
        <w:t>KW-1042|C3</w:t>
      </w:r>
      <w:r>
        <w:t>) mit Artikel, Menge und Charge.</w:t>
      </w:r>
    </w:p>
    <w:p>
      <w:pPr>
        <w:pStyle w:val="ListBullet"/>
      </w:pPr>
      <w:r>
        <w:t xml:space="preserve">BC Dynamics erzeugt daraus einen Einlagerauftrag und schickt ihn </w:t>
      </w:r>
      <w:r>
        <w:rPr>
          <w:b/>
        </w:rPr>
        <w:t>als Host</w:t>
      </w:r>
      <w:r>
        <w:t xml:space="preserve"> an WAMAS: Telegramm </w:t>
      </w:r>
      <w:r>
        <w:rPr>
          <w:rFonts w:ascii="Consolas" w:hAnsi="Consolas" w:cs="Consolas" w:eastAsia="Consolas"/>
          <w:sz w:val="18"/>
        </w:rPr>
        <w:t>WLSSD002</w:t>
      </w:r>
      <w:r>
        <w:t xml:space="preserve"> (</w:t>
      </w:r>
      <w:r>
        <w:rPr>
          <w:rFonts w:ascii="Consolas" w:hAnsi="Consolas" w:cs="Consolas" w:eastAsia="Consolas"/>
          <w:sz w:val="18"/>
        </w:rPr>
        <w:t>HEADER_SOURCE HOST</w:t>
      </w:r>
      <w:r>
        <w:t xml:space="preserve">, </w:t>
      </w:r>
      <w:r>
        <w:rPr>
          <w:rFonts w:ascii="Consolas" w:hAnsi="Consolas" w:cs="Consolas" w:eastAsia="Consolas"/>
          <w:sz w:val="18"/>
        </w:rPr>
        <w:t>typeId RECV</w:t>
      </w:r>
      <w:r>
        <w:t xml:space="preserve">), eine Demand Line </w:t>
      </w:r>
      <w:r>
        <w:rPr>
          <w:rFonts w:ascii="Consolas" w:hAnsi="Consolas" w:cs="Consolas" w:eastAsia="Consolas"/>
          <w:sz w:val="18"/>
        </w:rPr>
        <w:t>WLSSDL002</w:t>
      </w:r>
      <w:r>
        <w:t xml:space="preserve"> pro Fach-Position.</w:t>
      </w:r>
    </w:p>
    <w:p>
      <w:pPr>
        <w:pStyle w:val="ListBullet"/>
      </w:pPr>
      <w:r>
        <w:rPr>
          <w:b/>
        </w:rPr>
        <w:t>Wagen und Ware stehen in der externen Referenz der Position</w:t>
      </w:r>
      <w:r>
        <w:t xml:space="preserve"> (</w:t>
      </w:r>
      <w:r>
        <w:rPr>
          <w:rFonts w:ascii="Consolas" w:hAnsi="Consolas" w:cs="Consolas" w:eastAsia="Consolas"/>
          <w:sz w:val="18"/>
        </w:rPr>
        <w:t>WLSSDLEXTREF001</w:t>
      </w:r>
      <w:r>
        <w:t xml:space="preserve">): </w:t>
      </w:r>
      <w:r>
        <w:rPr>
          <w:rFonts w:ascii="Consolas" w:hAnsi="Consolas" w:cs="Consolas" w:eastAsia="Consolas"/>
          <w:sz w:val="18"/>
        </w:rPr>
        <w:t>extRefKey = WAGE</w:t>
      </w:r>
      <w:r>
        <w:t xml:space="preserve">, </w:t>
      </w:r>
      <w:r>
        <w:rPr>
          <w:rFonts w:ascii="Consolas" w:hAnsi="Consolas" w:cs="Consolas" w:eastAsia="Consolas"/>
          <w:sz w:val="18"/>
        </w:rPr>
        <w:t>extRefVal1 = KW-1042</w:t>
      </w:r>
      <w:r>
        <w:t xml:space="preserve"> (Gesamtwagennummer), </w:t>
      </w:r>
      <w:r>
        <w:rPr>
          <w:rFonts w:ascii="Consolas" w:hAnsi="Consolas" w:cs="Consolas" w:eastAsia="Consolas"/>
          <w:sz w:val="18"/>
        </w:rPr>
        <w:t>extRefVal2 = A1</w:t>
      </w:r>
      <w:r>
        <w:t xml:space="preserve"> (Fach-Lokation). Weil der Block an der Demand Line mit </w:t>
      </w:r>
      <w:r>
        <w:rPr>
          <w:rFonts w:ascii="Consolas" w:hAnsi="Consolas" w:cs="Consolas" w:eastAsia="Consolas"/>
          <w:sz w:val="18"/>
        </w:rPr>
        <w:t>itemNo</w:t>
      </w:r>
      <w:r>
        <w:t xml:space="preserve">, </w:t>
      </w:r>
      <w:r>
        <w:rPr>
          <w:rFonts w:ascii="Consolas" w:hAnsi="Consolas" w:cs="Consolas" w:eastAsia="Consolas"/>
          <w:sz w:val="18"/>
        </w:rPr>
        <w:t>baseQty</w:t>
      </w:r>
      <w:r>
        <w:t xml:space="preserve"> und </w:t>
      </w:r>
      <w:r>
        <w:rPr>
          <w:rFonts w:ascii="Consolas" w:hAnsi="Consolas" w:cs="Consolas" w:eastAsia="Consolas"/>
          <w:sz w:val="18"/>
        </w:rPr>
        <w:t>batch</w:t>
      </w:r>
      <w:r>
        <w:t xml:space="preserve"> hängt, beschreibt er genau, welche Ware in welchem Fach liegt. Der Block steht als Liste </w:t>
      </w:r>
      <w:r>
        <w:rPr>
          <w:b/>
        </w:rPr>
        <w:t>in</w:t>
      </w:r>
      <w:r>
        <w:t xml:space="preserve"> der Position und enthält zusätzlich </w:t>
      </w:r>
      <w:r>
        <w:rPr>
          <w:rFonts w:ascii="Consolas" w:hAnsi="Consolas" w:cs="Consolas" w:eastAsia="Consolas"/>
          <w:sz w:val="18"/>
        </w:rPr>
        <w:t>clientId</w:t>
      </w:r>
      <w:r>
        <w:t xml:space="preserve">, </w:t>
      </w:r>
      <w:r>
        <w:rPr>
          <w:rFonts w:ascii="Consolas" w:hAnsi="Consolas" w:cs="Consolas" w:eastAsia="Consolas"/>
          <w:sz w:val="18"/>
        </w:rPr>
        <w:t>demandNo</w:t>
      </w:r>
      <w:r>
        <w:t xml:space="preserve"> (= Kopf) und </w:t>
      </w:r>
      <w:r>
        <w:rPr>
          <w:rFonts w:ascii="Consolas" w:hAnsi="Consolas" w:cs="Consolas" w:eastAsia="Consolas"/>
          <w:sz w:val="18"/>
        </w:rPr>
        <w:t>sysPartnerLine</w:t>
      </w:r>
      <w:r>
        <w:t xml:space="preserve"> (= Zeile der Position). So im echt gesendeten Telegramm Einl000031 (Abschnitt 10.1).</w:t>
      </w:r>
    </w:p>
    <w:p>
      <w:pPr>
        <w:pStyle w:val="ListBullet"/>
      </w:pPr>
      <w:r>
        <w:rPr>
          <w:b/>
        </w:rPr>
        <w:t>Lieferschein:</w:t>
      </w:r>
      <w:r>
        <w:t xml:space="preserve"> Die Lieferscheinnummer steht im Standardfeld </w:t>
      </w:r>
      <w:r>
        <w:rPr>
          <w:rFonts w:ascii="Consolas" w:hAnsi="Consolas" w:cs="Consolas" w:eastAsia="Consolas"/>
          <w:sz w:val="18"/>
        </w:rPr>
        <w:t>noteNo</w:t>
      </w:r>
      <w:r>
        <w:t xml:space="preserve"> des Kopfs </w:t>
      </w:r>
      <w:r>
        <w:rPr>
          <w:rFonts w:ascii="Consolas" w:hAnsi="Consolas" w:cs="Consolas" w:eastAsia="Consolas"/>
          <w:sz w:val="18"/>
        </w:rPr>
        <w:t>WLSSD002</w:t>
      </w:r>
      <w:r>
        <w:t xml:space="preserve"> (max. 18 Zeichen) und kann allein als Lieferschein dienen. Die Kopf-Referenz </w:t>
      </w:r>
      <w:r>
        <w:rPr>
          <w:rFonts w:ascii="Consolas" w:hAnsi="Consolas" w:cs="Consolas" w:eastAsia="Consolas"/>
          <w:sz w:val="18"/>
        </w:rPr>
        <w:t>WLSSDEXTREF001</w:t>
      </w:r>
      <w:r>
        <w:t xml:space="preserve"> mit </w:t>
      </w:r>
      <w:r>
        <w:rPr>
          <w:rFonts w:ascii="Consolas" w:hAnsi="Consolas" w:cs="Consolas" w:eastAsia="Consolas"/>
          <w:sz w:val="18"/>
        </w:rPr>
        <w:t>extRefKey = LIEFERSCHEIN</w:t>
      </w:r>
      <w:r>
        <w:t xml:space="preserve"> (Lieferscheinnummer, Bestellnummer) bleibt optional zusätzlich. </w:t>
      </w:r>
      <w:r>
        <w:rPr>
          <w:rFonts w:ascii="Consolas" w:hAnsi="Consolas" w:cs="Consolas" w:eastAsia="Consolas"/>
          <w:sz w:val="18"/>
        </w:rPr>
        <w:t>info</w:t>
      </w:r>
      <w:r>
        <w:t xml:space="preserve"> und </w:t>
      </w:r>
      <w:r>
        <w:rPr>
          <w:rFonts w:ascii="Consolas" w:hAnsi="Consolas" w:cs="Consolas" w:eastAsia="Consolas"/>
          <w:sz w:val="18"/>
        </w:rPr>
        <w:t>info2</w:t>
      </w:r>
      <w:r>
        <w:t xml:space="preserve"> (je max. 256) sind freie, optionale Zusatzfelder, z. B. „Wagen KW-1001“ (Abschnitt 7.4 und 7.5).</w:t>
      </w:r>
    </w:p>
    <w:p>
      <w:pPr>
        <w:pStyle w:val="ListBullet"/>
      </w:pPr>
      <w:r>
        <w:rPr>
          <w:b/>
        </w:rPr>
        <w:t>Seriennummer:</w:t>
      </w:r>
      <w:r>
        <w:t xml:space="preserve"> CSIA 1 = Seriennummer [Vorgabe Nutzer] . Sie geht je Position in </w:t>
      </w:r>
      <w:r>
        <w:rPr>
          <w:rFonts w:ascii="Consolas" w:hAnsi="Consolas" w:cs="Consolas" w:eastAsia="Consolas"/>
          <w:sz w:val="18"/>
        </w:rPr>
        <w:t>csia1</w:t>
      </w:r>
      <w:r>
        <w:t xml:space="preserve"> (</w:t>
      </w:r>
      <w:r>
        <w:rPr>
          <w:rFonts w:ascii="Consolas" w:hAnsi="Consolas" w:cs="Consolas" w:eastAsia="Consolas"/>
          <w:sz w:val="18"/>
        </w:rPr>
        <w:t>WLSSDL002</w:t>
      </w:r>
      <w:r>
        <w:t xml:space="preserve">, max. 50); der Artikel braucht im Artikelstamm </w:t>
      </w:r>
      <w:r>
        <w:rPr>
          <w:rFonts w:ascii="Consolas" w:hAnsi="Consolas" w:cs="Consolas" w:eastAsia="Consolas"/>
          <w:sz w:val="18"/>
        </w:rPr>
        <w:t>csiaStockMode01</w:t>
      </w:r>
      <w:r>
        <w:t xml:space="preserve"> und </w:t>
      </w:r>
      <w:r>
        <w:rPr>
          <w:rFonts w:ascii="Consolas" w:hAnsi="Consolas" w:cs="Consolas" w:eastAsia="Consolas"/>
          <w:sz w:val="18"/>
        </w:rPr>
        <w:t>csiaIgRegistration01</w:t>
      </w:r>
      <w:r>
        <w:t xml:space="preserve"> (je </w:t>
      </w:r>
      <w:r>
        <w:rPr>
          <w:rFonts w:ascii="Consolas" w:hAnsi="Consolas" w:cs="Consolas" w:eastAsia="Consolas"/>
          <w:sz w:val="18"/>
        </w:rPr>
        <w:t>MANDATORY</w:t>
      </w:r>
      <w:r>
        <w:t>). Die echten Akumax-Aufträge haben keine Seriennummern (Abschnitt 7.6).</w:t>
      </w:r>
    </w:p>
    <w:p>
      <w:pPr>
        <w:pStyle w:val="ListBullet"/>
      </w:pPr>
      <w:r>
        <w:rPr>
          <w:b/>
        </w:rPr>
        <w:t>Charge und MHD:</w:t>
      </w:r>
      <w:r>
        <w:t xml:space="preserve"> Sie gehen je Position in die Standardfelder </w:t>
      </w:r>
      <w:r>
        <w:rPr>
          <w:rFonts w:ascii="Consolas" w:hAnsi="Consolas" w:cs="Consolas" w:eastAsia="Consolas"/>
          <w:sz w:val="18"/>
        </w:rPr>
        <w:t>batch</w:t>
      </w:r>
      <w:r>
        <w:t xml:space="preserve"> (max. 20) und </w:t>
      </w:r>
      <w:r>
        <w:rPr>
          <w:rFonts w:ascii="Consolas" w:hAnsi="Consolas" w:cs="Consolas" w:eastAsia="Consolas"/>
          <w:sz w:val="18"/>
        </w:rPr>
        <w:t>bbDate</w:t>
      </w:r>
      <w:r>
        <w:t xml:space="preserve"> (8 Stellen JJJJMMTT) von </w:t>
      </w:r>
      <w:r>
        <w:rPr>
          <w:rFonts w:ascii="Consolas" w:hAnsi="Consolas" w:cs="Consolas" w:eastAsia="Consolas"/>
          <w:sz w:val="18"/>
        </w:rPr>
        <w:t>WLSSDL002</w:t>
      </w:r>
      <w:r>
        <w:t xml:space="preserve">, nicht in CSIA. Der Artikel braucht </w:t>
      </w:r>
      <w:r>
        <w:rPr>
          <w:rFonts w:ascii="Consolas" w:hAnsi="Consolas" w:cs="Consolas" w:eastAsia="Consolas"/>
          <w:sz w:val="18"/>
        </w:rPr>
        <w:t>batchStockMode</w:t>
      </w:r>
      <w:r>
        <w:t xml:space="preserve"> / </w:t>
      </w:r>
      <w:r>
        <w:rPr>
          <w:rFonts w:ascii="Consolas" w:hAnsi="Consolas" w:cs="Consolas" w:eastAsia="Consolas"/>
          <w:sz w:val="18"/>
        </w:rPr>
        <w:t>igBatchRegistration</w:t>
      </w:r>
      <w:r>
        <w:t xml:space="preserve"> bzw. </w:t>
      </w:r>
      <w:r>
        <w:rPr>
          <w:rFonts w:ascii="Consolas" w:hAnsi="Consolas" w:cs="Consolas" w:eastAsia="Consolas"/>
          <w:sz w:val="18"/>
        </w:rPr>
        <w:t>bbDateStockMode</w:t>
      </w:r>
      <w:r>
        <w:t xml:space="preserve"> / </w:t>
      </w:r>
      <w:r>
        <w:rPr>
          <w:rFonts w:ascii="Consolas" w:hAnsi="Consolas" w:cs="Consolas" w:eastAsia="Consolas"/>
          <w:sz w:val="18"/>
        </w:rPr>
        <w:t>igBbDateRegistration</w:t>
      </w:r>
      <w:r>
        <w:t xml:space="preserve"> (je </w:t>
      </w:r>
      <w:r>
        <w:rPr>
          <w:rFonts w:ascii="Consolas" w:hAnsi="Consolas" w:cs="Consolas" w:eastAsia="Consolas"/>
          <w:sz w:val="18"/>
        </w:rPr>
        <w:t>MANDATORY</w:t>
      </w:r>
      <w:r>
        <w:t xml:space="preserve">), für FEFO im Warenausgang </w:t>
      </w:r>
      <w:r>
        <w:rPr>
          <w:rFonts w:ascii="Consolas" w:hAnsi="Consolas" w:cs="Consolas" w:eastAsia="Consolas"/>
          <w:sz w:val="18"/>
        </w:rPr>
        <w:t>timeBasedAccMode BBD</w:t>
      </w:r>
      <w:r>
        <w:t>. Die Akumax-Aufträge senden beides leer (Abschnitt 7.7).</w:t>
      </w:r>
    </w:p>
    <w:p>
      <w:pPr>
        <w:pStyle w:val="ListBullet"/>
      </w:pPr>
      <w:r>
        <w:t>Optional sendet BC Dynamics die Wagennummer zusätzlich als Kopf-Referenz (</w:t>
      </w:r>
      <w:r>
        <w:rPr>
          <w:rFonts w:ascii="Consolas" w:hAnsi="Consolas" w:cs="Consolas" w:eastAsia="Consolas"/>
          <w:sz w:val="18"/>
        </w:rPr>
        <w:t>WAGE</w:t>
      </w:r>
      <w:r>
        <w:t>); das Telegramm erlaubt 0 bis n Kopf-Referenzen.</w:t>
      </w:r>
    </w:p>
    <w:p>
      <w:pPr>
        <w:pStyle w:val="ListBullet"/>
      </w:pPr>
      <w:r>
        <w:t>Übergabe per REST DI-API an WAMAS. Am Lift zeigt WAMAS Touch die Referenzwerte als „WAGE Nummer“ und „Fach Nummer“ an [Annahme] . WAMAS meldet per ACK an den Host zurück; BC Dynamics bestätigt damit die Einlagerung und gibt den Wagen frei [Annahme] .</w:t>
      </w:r>
    </w:p>
    <w:p>
      <w:pPr>
        <w:pStyle w:val="ListBullet"/>
      </w:pPr>
      <w:r>
        <w:t xml:space="preserve">Die </w:t>
      </w:r>
      <w:r>
        <w:rPr>
          <w:b/>
        </w:rPr>
        <w:t>WAMAS Web App</w:t>
      </w:r>
      <w:r>
        <w:t xml:space="preserve"> dient nur noch als </w:t>
      </w:r>
      <w:r>
        <w:rPr>
          <w:b/>
        </w:rPr>
        <w:t>Referenzimplementierung</w:t>
      </w:r>
      <w:r>
        <w:t>: Ihr Code zeigt, wie das Telegramm mit externer Referenz exakt aussehen muss, und kann zum Testen dieselben Telegramme erzeugen.</w:t>
      </w:r>
    </w:p>
    <w:p>
      <w:pPr>
        <w:pStyle w:val="Quelle"/>
      </w:pPr>
      <w:r>
        <w:rPr>
          <w:b/>
        </w:rPr>
        <w:t xml:space="preserve">Quelle: </w:t>
      </w:r>
      <w:r>
        <w:rPr>
          <w:sz w:val="17"/>
        </w:rPr>
        <w:t>Vorgängerdokument v1.0, Kap. „Kurzfassung“; Belege je Aussage siehe Kennzeichnung und Quellenverzeichnis</w:t>
      </w:r>
    </w:p>
    <w:p>
      <w:pPr>
        <w:pStyle w:val="Heading1"/>
      </w:pPr>
      <w:r>
        <w:t>3 Übersicht und Ausgangslage</w:t>
      </w:r>
    </w:p>
    <w:p>
      <w:pPr>
        <w:pStyle w:val="Heading2"/>
      </w:pPr>
      <w:r>
        <w:t>3.1 Was das Designkonzept festlegt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30"/>
        <w:gridCol w:w="4084"/>
        <w:gridCol w:w="3810"/>
      </w:tblGrid>
      <w:tr>
        <w:trPr>
          <w:tblHeader w:val="true"/>
        </w:trPr>
        <w:tc>
          <w:tcPr>
            <w:tcW w:type="dxa" w:w="1630"/>
            <w:shd w:val="clear" w:color="auto" w:fill="FEEE19"/>
          </w:tcPr>
          <w:p>
            <w:pPr>
              <w:spacing w:after="0"/>
            </w:pPr>
            <w:r>
              <w:rPr>
                <w:b/>
                <w:sz w:val="17"/>
              </w:rPr>
              <w:t>Element</w:t>
            </w:r>
          </w:p>
        </w:tc>
        <w:tc>
          <w:tcPr>
            <w:tcW w:type="dxa" w:w="4084"/>
            <w:shd w:val="clear" w:color="auto" w:fill="FEEE19"/>
          </w:tcPr>
          <w:p>
            <w:pPr>
              <w:spacing w:after="0"/>
            </w:pPr>
            <w:r>
              <w:rPr>
                <w:b/>
                <w:sz w:val="17"/>
              </w:rPr>
              <w:t>Inhalt laut `_build_wagen.py` / `kommissionierwagen.​html`</w:t>
            </w:r>
          </w:p>
        </w:tc>
        <w:tc>
          <w:tcPr>
            <w:tcW w:type="dxa" w:w="3810"/>
            <w:shd w:val="clear" w:color="auto" w:fill="FEEE19"/>
          </w:tcPr>
          <w:p>
            <w:pPr>
              <w:spacing w:after="0"/>
            </w:pPr>
            <w:r>
              <w:rPr>
                <w:b/>
                <w:sz w:val="17"/>
              </w:rPr>
              <w:t>Quelle</w:t>
            </w:r>
          </w:p>
        </w:tc>
      </w:tr>
      <w:tr>
        <w:tc>
          <w:tcPr>
            <w:tcW w:type="dxa" w:w="1630"/>
          </w:tcPr>
          <w:p>
            <w:pPr>
              <w:spacing w:after="0" w:line="252" w:lineRule="auto"/>
            </w:pPr>
            <w:r>
              <w:rPr>
                <w:sz w:val="17"/>
              </w:rPr>
              <w:t>Wagen</w:t>
            </w:r>
          </w:p>
        </w:tc>
        <w:tc>
          <w:tcPr>
            <w:tcW w:type="dxa" w:w="4084"/>
          </w:tcPr>
          <w:p>
            <w:pPr>
              <w:spacing w:after="0" w:line="252" w:lineRule="auto"/>
            </w:pPr>
            <w:r>
              <w:rPr>
                <w:sz w:val="17"/>
              </w:rPr>
              <w:t>Kommissionierwagen 3 × 3, Reihen A bis C (A oben), Spalten 1 bis 3 (1 links), „Annahme ohne Put-to-Light“</w:t>
            </w:r>
          </w:p>
        </w:tc>
        <w:tc>
          <w:tcPr>
            <w:tcW w:type="dxa" w:w="3810"/>
          </w:tcPr>
          <w:p>
            <w:pPr>
              <w:spacing w:after="0" w:line="252" w:lineRule="auto"/>
            </w:pPr>
            <w:r>
              <w:rPr>
                <w:sz w:val="17"/>
              </w:rPr>
              <w:t>[belegt]</w:t>
            </w:r>
          </w:p>
        </w:tc>
      </w:tr>
      <w:tr>
        <w:tc>
          <w:tcPr>
            <w:tcW w:type="dxa" w:w="1630"/>
          </w:tcPr>
          <w:p>
            <w:pPr>
              <w:spacing w:after="0" w:line="252" w:lineRule="auto"/>
            </w:pPr>
            <w:r>
              <w:rPr>
                <w:sz w:val="17"/>
              </w:rPr>
              <w:t>Schild an der Deichsel</w:t>
            </w:r>
          </w:p>
        </w:tc>
        <w:tc>
          <w:tcPr>
            <w:tcW w:type="dxa" w:w="4084"/>
          </w:tcPr>
          <w:p>
            <w:pPr>
              <w:spacing w:after="0" w:line="252" w:lineRule="auto"/>
            </w:pPr>
            <w:r>
              <w:rPr>
                <w:sz w:val="17"/>
              </w:rPr>
              <w:t xml:space="preserve">„Gesamtwagennummer“ </w:t>
            </w:r>
            <w:r>
              <w:rPr>
                <w:rFonts w:ascii="Consolas" w:hAnsi="Consolas" w:cs="Consolas" w:eastAsia="Consolas"/>
                <w:sz w:val="15"/>
              </w:rPr>
              <w:t>KW-1042</w:t>
            </w:r>
            <w:r>
              <w:rPr>
                <w:sz w:val="17"/>
              </w:rPr>
              <w:t xml:space="preserve">, QR-Inhalt </w:t>
            </w:r>
            <w:r>
              <w:rPr>
                <w:rFonts w:ascii="Consolas" w:hAnsi="Consolas" w:cs="Consolas" w:eastAsia="Consolas"/>
                <w:sz w:val="15"/>
              </w:rPr>
              <w:t>KW-1042</w:t>
            </w:r>
          </w:p>
        </w:tc>
        <w:tc>
          <w:tcPr>
            <w:tcW w:type="dxa" w:w="3810"/>
          </w:tcPr>
          <w:p>
            <w:pPr>
              <w:spacing w:after="0" w:line="252" w:lineRule="auto"/>
            </w:pPr>
            <w:r>
              <w:rPr>
                <w:sz w:val="17"/>
              </w:rPr>
              <w:t>[belegt]</w:t>
            </w:r>
          </w:p>
        </w:tc>
      </w:tr>
      <w:tr>
        <w:tc>
          <w:tcPr>
            <w:tcW w:type="dxa" w:w="1630"/>
          </w:tcPr>
          <w:p>
            <w:pPr>
              <w:spacing w:after="0" w:line="252" w:lineRule="auto"/>
            </w:pPr>
            <w:r>
              <w:rPr>
                <w:sz w:val="17"/>
              </w:rPr>
              <w:t>Fach</w:t>
            </w:r>
          </w:p>
        </w:tc>
        <w:tc>
          <w:tcPr>
            <w:tcW w:type="dxa" w:w="4084"/>
          </w:tcPr>
          <w:p>
            <w:pPr>
              <w:spacing w:after="0" w:line="252" w:lineRule="auto"/>
            </w:pPr>
            <w:r>
              <w:rPr>
                <w:sz w:val="17"/>
              </w:rPr>
              <w:t xml:space="preserve">QR je Fach mit Inhalt </w:t>
            </w:r>
            <w:r>
              <w:rPr>
                <w:rFonts w:ascii="Consolas" w:hAnsi="Consolas" w:cs="Consolas" w:eastAsia="Consolas"/>
                <w:sz w:val="15"/>
              </w:rPr>
              <w:t>KW-1042¦A1</w:t>
            </w:r>
            <w:r>
              <w:rPr>
                <w:sz w:val="17"/>
              </w:rPr>
              <w:t xml:space="preserve"> bis </w:t>
            </w:r>
            <w:r>
              <w:rPr>
                <w:rFonts w:ascii="Consolas" w:hAnsi="Consolas" w:cs="Consolas" w:eastAsia="Consolas"/>
                <w:sz w:val="15"/>
              </w:rPr>
              <w:t>KW-1042¦C3</w:t>
            </w:r>
            <w:r>
              <w:rPr>
                <w:sz w:val="17"/>
              </w:rPr>
              <w:t>, Klartext Lokation und Wagennummer</w:t>
            </w:r>
          </w:p>
        </w:tc>
        <w:tc>
          <w:tcPr>
            <w:tcW w:type="dxa" w:w="3810"/>
          </w:tcPr>
          <w:p>
            <w:pPr>
              <w:spacing w:after="0" w:line="252" w:lineRule="auto"/>
            </w:pPr>
            <w:r>
              <w:rPr>
                <w:sz w:val="17"/>
              </w:rPr>
              <w:t>[belegt]</w:t>
            </w:r>
          </w:p>
        </w:tc>
      </w:tr>
      <w:tr>
        <w:tc>
          <w:tcPr>
            <w:tcW w:type="dxa" w:w="1630"/>
          </w:tcPr>
          <w:p>
            <w:pPr>
              <w:spacing w:after="0" w:line="252" w:lineRule="auto"/>
            </w:pPr>
            <w:r>
              <w:rPr>
                <w:sz w:val="17"/>
              </w:rPr>
              <w:t>Referenzwerte</w:t>
            </w:r>
          </w:p>
        </w:tc>
        <w:tc>
          <w:tcPr>
            <w:tcW w:type="dxa" w:w="4084"/>
          </w:tcPr>
          <w:p>
            <w:pPr>
              <w:spacing w:after="0" w:line="252" w:lineRule="auto"/>
            </w:pPr>
            <w:r>
              <w:rPr>
                <w:sz w:val="17"/>
              </w:rPr>
              <w:t>Referenzwert 1 = Wagennummer, Referenzwert 2 = Fach-Lokation; Wagennummer zusätzlich als Referenzwert 1 auf dem Auftragskopf</w:t>
            </w:r>
          </w:p>
        </w:tc>
        <w:tc>
          <w:tcPr>
            <w:tcW w:type="dxa" w:w="3810"/>
          </w:tcPr>
          <w:p>
            <w:pPr>
              <w:spacing w:after="0" w:line="252" w:lineRule="auto"/>
            </w:pPr>
            <w:r>
              <w:rPr>
                <w:sz w:val="17"/>
              </w:rPr>
              <w:t>[belegt] (dort für den Kommissionierauftrag beschrieben)</w:t>
            </w:r>
          </w:p>
        </w:tc>
      </w:tr>
    </w:tbl>
    <w:p>
      <w:pPr>
        <w:pStyle w:val="BeschriftungSSI"/>
      </w:pPr>
      <w:r>
        <w:t>Tab. 2: Was das Designkonzept festlegt</w:t>
      </w:r>
    </w:p>
    <w:p>
      <w:pPr>
        <w:keepNext/>
      </w:pPr>
      <w:r>
        <w:drawing>
          <wp:inline xmlns:a="http://schemas.openxmlformats.org/drawingml/2006/main" xmlns:pic="http://schemas.openxmlformats.org/drawingml/2006/picture">
            <wp:extent cx="3204000" cy="4512640"/>
            <wp:docPr id="104" name="Picture 104"/>
            <wp:cNvGraphicFramePr>
              <a:graphicFrameLocks noChangeAspect="1"/>
            </wp:cNvGraphicFramePr>
            <a:graphic>
              <a:graphicData uri="http://schemas.openxmlformats.org/drawingml/2006/picture">
                <pic:pic>
                  <pic:nvPicPr>
                    <pic:cNvPr id="0" name="wagen_gesamt_KW-1042.png"/>
                    <pic:cNvPicPr/>
                  </pic:nvPicPr>
                  <pic:blipFill>
                    <a:blip r:embed="rId14"/>
                    <a:stretch>
                      <a:fillRect/>
                    </a:stretch>
                  </pic:blipFill>
                  <pic:spPr>
                    <a:xfrm>
                      <a:off x="0" y="0"/>
                      <a:ext cx="3204000" cy="4512640"/>
                    </a:xfrm>
                    <a:prstGeom prst="rect"/>
                  </pic:spPr>
                </pic:pic>
              </a:graphicData>
            </a:graphic>
          </wp:inline>
        </w:drawing>
      </w:r>
    </w:p>
    <w:p>
      <w:pPr>
        <w:pStyle w:val="BeschriftungSSI"/>
      </w:pPr>
      <w:r>
        <w:t>Abb. 1: Kommissionierwagen KW-1042, Skizze nach Designkonzept `kommissionierwagen.html`. (1) Deichsel-QR mit der Gesamtwagennummer, (2) Fach-QR je Fach A1 bis C3 mit Inhalt Wagennummer|Fach.</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des Kommissionierwagens mit Deichsel-Schild und Fach-Etiketten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Übertragung auf den Wareneingang</w:t>
            </w:r>
          </w:p>
          <w:p>
            <w:pPr>
              <w:spacing w:after="40"/>
            </w:pPr>
            <w:r>
              <w:rPr>
                <w:sz w:val="19"/>
              </w:rPr>
              <w:t xml:space="preserve">Das Konzept beschreibt den Wagen im Kommissionierauftrag (WLSPD). Für den Wareneingang wird dieselbe Referenzlogik auf den Einlagerauftrag (WLSSD) übertragen. Das ist durch die Schnittstelle gedeckt: In der Referenzimplementierung nutzen </w:t>
            </w:r>
            <w:r>
              <w:rPr>
                <w:rFonts w:ascii="Consolas" w:hAnsi="Consolas" w:cs="Consolas" w:eastAsia="Consolas"/>
                <w:sz w:val="17"/>
              </w:rPr>
              <w:t>WLSSD</w:t>
            </w:r>
            <w:r>
              <w:rPr>
                <w:sz w:val="19"/>
              </w:rPr>
              <w:t xml:space="preserve"> und </w:t>
            </w:r>
            <w:r>
              <w:rPr>
                <w:rFonts w:ascii="Consolas" w:hAnsi="Consolas" w:cs="Consolas" w:eastAsia="Consolas"/>
                <w:sz w:val="17"/>
              </w:rPr>
              <w:t>WLSPD</w:t>
            </w:r>
            <w:r>
              <w:rPr>
                <w:sz w:val="19"/>
              </w:rPr>
              <w:t xml:space="preserve"> dieselben Builder </w:t>
            </w:r>
            <w:r>
              <w:rPr>
                <w:rFonts w:ascii="Consolas" w:hAnsi="Consolas" w:cs="Consolas" w:eastAsia="Consolas"/>
                <w:sz w:val="17"/>
              </w:rPr>
              <w:t>build_header_ext_refs</w:t>
            </w:r>
            <w:r>
              <w:rPr>
                <w:sz w:val="19"/>
              </w:rPr>
              <w:t xml:space="preserve"> / </w:t>
            </w:r>
            <w:r>
              <w:rPr>
                <w:rFonts w:ascii="Consolas" w:hAnsi="Consolas" w:cs="Consolas" w:eastAsia="Consolas"/>
                <w:sz w:val="17"/>
              </w:rPr>
              <w:t>build_line_ext_refs</w:t>
            </w:r>
            <w:r>
              <w:rPr>
                <w:sz w:val="19"/>
              </w:rPr>
              <w:t xml:space="preserve"> und unterscheiden sich laut </w:t>
            </w:r>
            <w:r>
              <w:rPr>
                <w:rFonts w:ascii="Consolas" w:hAnsi="Consolas" w:cs="Consolas" w:eastAsia="Consolas"/>
                <w:sz w:val="17"/>
              </w:rPr>
              <w:t>FIELD_MAPPING.md</w:t>
            </w:r>
            <w:r>
              <w:rPr>
                <w:sz w:val="19"/>
              </w:rPr>
              <w:t xml:space="preserve"> nur in </w:t>
            </w:r>
            <w:r>
              <w:rPr>
                <w:rFonts w:ascii="Consolas" w:hAnsi="Consolas" w:cs="Consolas" w:eastAsia="Consolas"/>
                <w:sz w:val="17"/>
              </w:rPr>
              <w:t>typeId</w:t>
            </w:r>
            <w:r>
              <w:rPr>
                <w:sz w:val="19"/>
              </w:rPr>
              <w:t>, Recordnamen und Dateipräfix.</w:t>
            </w:r>
          </w:p>
        </w:tc>
      </w:tr>
    </w:tbl>
    <w:p>
      <w:pPr>
        <w:spacing w:after="40"/>
      </w:pPr>
    </w:p>
    <w:p>
      <w:pPr>
        <w:pStyle w:val="Heading2"/>
      </w:pPr>
      <w:r>
        <w:t>3.2 Was die Schnittstelle zu WAMAS bietet</w:t>
      </w:r>
    </w:p>
    <w:p>
      <w:pPr>
        <w:pStyle w:val="ListBullet"/>
      </w:pPr>
      <w:r>
        <w:rPr>
          <w:b/>
        </w:rPr>
        <w:t>Externe Referenz am Kopf</w:t>
      </w:r>
      <w:r>
        <w:t xml:space="preserve">: </w:t>
      </w:r>
      <w:r>
        <w:rPr>
          <w:rFonts w:ascii="Consolas" w:hAnsi="Consolas" w:cs="Consolas" w:eastAsia="Consolas"/>
          <w:sz w:val="18"/>
        </w:rPr>
        <w:t>WLSSDEXTREF001</w:t>
      </w:r>
      <w:r>
        <w:t xml:space="preserve">, 0 bis n Zeilen mit </w:t>
      </w:r>
      <w:r>
        <w:rPr>
          <w:rFonts w:ascii="Consolas" w:hAnsi="Consolas" w:cs="Consolas" w:eastAsia="Consolas"/>
          <w:sz w:val="18"/>
        </w:rPr>
        <w:t>clientId</w:t>
      </w:r>
      <w:r>
        <w:t xml:space="preserve">, </w:t>
      </w:r>
      <w:r>
        <w:rPr>
          <w:rFonts w:ascii="Consolas" w:hAnsi="Consolas" w:cs="Consolas" w:eastAsia="Consolas"/>
          <w:sz w:val="18"/>
        </w:rPr>
        <w:t>demandNo</w:t>
      </w:r>
      <w:r>
        <w:t xml:space="preserve">, </w:t>
      </w:r>
      <w:r>
        <w:rPr>
          <w:rFonts w:ascii="Consolas" w:hAnsi="Consolas" w:cs="Consolas" w:eastAsia="Consolas"/>
          <w:sz w:val="18"/>
        </w:rPr>
        <w:t>extRefKey</w:t>
      </w:r>
      <w:r>
        <w:t xml:space="preserve">, </w:t>
      </w:r>
      <w:r>
        <w:rPr>
          <w:rFonts w:ascii="Consolas" w:hAnsi="Consolas" w:cs="Consolas" w:eastAsia="Consolas"/>
          <w:sz w:val="18"/>
        </w:rPr>
        <w:t>extRefVal1</w:t>
      </w:r>
      <w:r>
        <w:t xml:space="preserve">, </w:t>
      </w:r>
      <w:r>
        <w:rPr>
          <w:rFonts w:ascii="Consolas" w:hAnsi="Consolas" w:cs="Consolas" w:eastAsia="Consolas"/>
          <w:sz w:val="18"/>
        </w:rPr>
        <w:t>extRefVal2</w:t>
      </w:r>
      <w:r>
        <w:t>. [belegt]</w:t>
      </w:r>
    </w:p>
    <w:p>
      <w:pPr>
        <w:pStyle w:val="ListBullet"/>
      </w:pPr>
      <w:r>
        <w:rPr>
          <w:b/>
        </w:rPr>
        <w:t>Externe Referenz an der Demand Line</w:t>
      </w:r>
      <w:r>
        <w:t xml:space="preserve">: </w:t>
      </w:r>
      <w:r>
        <w:rPr>
          <w:rFonts w:ascii="Consolas" w:hAnsi="Consolas" w:cs="Consolas" w:eastAsia="Consolas"/>
          <w:sz w:val="18"/>
        </w:rPr>
        <w:t>WLSSDLEXTREF001</w:t>
      </w:r>
      <w:r>
        <w:t xml:space="preserve">, eine Liste </w:t>
      </w:r>
      <w:r>
        <w:rPr>
          <w:b/>
        </w:rPr>
        <w:t>innerhalb jeder Position</w:t>
      </w:r>
      <w:r>
        <w:t xml:space="preserve"> </w:t>
      </w:r>
      <w:r>
        <w:rPr>
          <w:rFonts w:ascii="Consolas" w:hAnsi="Consolas" w:cs="Consolas" w:eastAsia="Consolas"/>
          <w:sz w:val="18"/>
        </w:rPr>
        <w:t>WLSSDL002</w:t>
      </w:r>
      <w:r>
        <w:t xml:space="preserve"> (0 bis n Zeilen) mit den Feldern </w:t>
      </w:r>
      <w:r>
        <w:rPr>
          <w:rFonts w:ascii="Consolas" w:hAnsi="Consolas" w:cs="Consolas" w:eastAsia="Consolas"/>
          <w:sz w:val="18"/>
        </w:rPr>
        <w:t>clientId</w:t>
      </w:r>
      <w:r>
        <w:t xml:space="preserve">, </w:t>
      </w:r>
      <w:r>
        <w:rPr>
          <w:rFonts w:ascii="Consolas" w:hAnsi="Consolas" w:cs="Consolas" w:eastAsia="Consolas"/>
          <w:sz w:val="18"/>
        </w:rPr>
        <w:t>demandNo</w:t>
      </w:r>
      <w:r>
        <w:t xml:space="preserve">, </w:t>
      </w:r>
      <w:r>
        <w:rPr>
          <w:rFonts w:ascii="Consolas" w:hAnsi="Consolas" w:cs="Consolas" w:eastAsia="Consolas"/>
          <w:sz w:val="18"/>
        </w:rPr>
        <w:t>extRefKey</w:t>
      </w:r>
      <w:r>
        <w:t xml:space="preserve">, </w:t>
      </w:r>
      <w:r>
        <w:rPr>
          <w:rFonts w:ascii="Consolas" w:hAnsi="Consolas" w:cs="Consolas" w:eastAsia="Consolas"/>
          <w:sz w:val="18"/>
        </w:rPr>
        <w:t>extRefVal1</w:t>
      </w:r>
      <w:r>
        <w:t xml:space="preserve">, </w:t>
      </w:r>
      <w:r>
        <w:rPr>
          <w:rFonts w:ascii="Consolas" w:hAnsi="Consolas" w:cs="Consolas" w:eastAsia="Consolas"/>
          <w:sz w:val="18"/>
        </w:rPr>
        <w:t>extRefVal2</w:t>
      </w:r>
      <w:r>
        <w:t xml:space="preserve">, </w:t>
      </w:r>
      <w:r>
        <w:rPr>
          <w:rFonts w:ascii="Consolas" w:hAnsi="Consolas" w:cs="Consolas" w:eastAsia="Consolas"/>
          <w:sz w:val="18"/>
        </w:rPr>
        <w:t>sysPartnerLine</w:t>
      </w:r>
      <w:r>
        <w:t xml:space="preserve">. </w:t>
      </w:r>
      <w:r>
        <w:rPr>
          <w:rFonts w:ascii="Consolas" w:hAnsi="Consolas" w:cs="Consolas" w:eastAsia="Consolas"/>
          <w:sz w:val="18"/>
        </w:rPr>
        <w:t>demandNo</w:t>
      </w:r>
      <w:r>
        <w:t xml:space="preserve"> ist die Auftragsnummer des Kopfs, </w:t>
      </w:r>
      <w:r>
        <w:rPr>
          <w:rFonts w:ascii="Consolas" w:hAnsi="Consolas" w:cs="Consolas" w:eastAsia="Consolas"/>
          <w:sz w:val="18"/>
        </w:rPr>
        <w:t>sysPartnerLine</w:t>
      </w:r>
      <w:r>
        <w:t xml:space="preserve"> die Zeilennummer der umschliessenden Position; darüber ist die Referenz der Position zugeordnet. So im echt gesendeten Telegramm Einl000031 [echt gesendet] .</w:t>
      </w:r>
    </w:p>
    <w:p>
      <w:pPr>
        <w:pStyle w:val="ListBullet"/>
      </w:pPr>
      <w:r>
        <w:rPr>
          <w:b/>
        </w:rPr>
        <w:t>Kopffelder</w:t>
      </w:r>
      <w:r>
        <w:t xml:space="preserve"> </w:t>
      </w:r>
      <w:r>
        <w:rPr>
          <w:rFonts w:ascii="Consolas" w:hAnsi="Consolas" w:cs="Consolas" w:eastAsia="Consolas"/>
          <w:sz w:val="18"/>
        </w:rPr>
        <w:t>noteNo</w:t>
      </w:r>
      <w:r>
        <w:t xml:space="preserve"> (Scheinnummer, S 18, „only serves informational purposes“) sowie </w:t>
      </w:r>
      <w:r>
        <w:rPr>
          <w:rFonts w:ascii="Consolas" w:hAnsi="Consolas" w:cs="Consolas" w:eastAsia="Consolas"/>
          <w:sz w:val="18"/>
        </w:rPr>
        <w:t>info</w:t>
      </w:r>
      <w:r>
        <w:t xml:space="preserve"> und </w:t>
      </w:r>
      <w:r>
        <w:rPr>
          <w:rFonts w:ascii="Consolas" w:hAnsi="Consolas" w:cs="Consolas" w:eastAsia="Consolas"/>
          <w:sz w:val="18"/>
        </w:rPr>
        <w:t>info2</w:t>
      </w:r>
      <w:r>
        <w:t xml:space="preserve"> (je S 256, freier Text). An der Position gibt es keine info-Felder. [belegt] Interface Manual 2.8, Tab. 39/40</w:t>
      </w:r>
    </w:p>
    <w:p>
      <w:pPr>
        <w:pStyle w:val="ListBullet"/>
      </w:pPr>
      <w:r>
        <w:rPr>
          <w:b/>
        </w:rPr>
        <w:t>Charge und MHD an der Position</w:t>
      </w:r>
      <w:r>
        <w:t xml:space="preserve">: </w:t>
      </w:r>
      <w:r>
        <w:rPr>
          <w:rFonts w:ascii="Consolas" w:hAnsi="Consolas" w:cs="Consolas" w:eastAsia="Consolas"/>
          <w:sz w:val="18"/>
        </w:rPr>
        <w:t>batch</w:t>
      </w:r>
      <w:r>
        <w:t xml:space="preserve"> (S 20), </w:t>
      </w:r>
      <w:r>
        <w:rPr>
          <w:rFonts w:ascii="Consolas" w:hAnsi="Consolas" w:cs="Consolas" w:eastAsia="Consolas"/>
          <w:sz w:val="18"/>
        </w:rPr>
        <w:t>bbDate</w:t>
      </w:r>
      <w:r>
        <w:t xml:space="preserve"> und </w:t>
      </w:r>
      <w:r>
        <w:rPr>
          <w:rFonts w:ascii="Consolas" w:hAnsi="Consolas" w:cs="Consolas" w:eastAsia="Consolas"/>
          <w:sz w:val="18"/>
        </w:rPr>
        <w:t>prodDate</w:t>
      </w:r>
      <w:r>
        <w:t xml:space="preserve"> (je DA 8, JJJJMMTT) in </w:t>
      </w:r>
      <w:r>
        <w:rPr>
          <w:rFonts w:ascii="Consolas" w:hAnsi="Consolas" w:cs="Consolas" w:eastAsia="Consolas"/>
          <w:sz w:val="18"/>
        </w:rPr>
        <w:t>WLSSDL002</w:t>
      </w:r>
      <w:r>
        <w:t xml:space="preserve">; Steuerung je Artikel über </w:t>
      </w:r>
      <w:r>
        <w:rPr>
          <w:rFonts w:ascii="Consolas" w:hAnsi="Consolas" w:cs="Consolas" w:eastAsia="Consolas"/>
          <w:sz w:val="18"/>
        </w:rPr>
        <w:t>batchStockMode</w:t>
      </w:r>
      <w:r>
        <w:t xml:space="preserve">, </w:t>
      </w:r>
      <w:r>
        <w:rPr>
          <w:rFonts w:ascii="Consolas" w:hAnsi="Consolas" w:cs="Consolas" w:eastAsia="Consolas"/>
          <w:sz w:val="18"/>
        </w:rPr>
        <w:t>bbDateStockMode</w:t>
      </w:r>
      <w:r>
        <w:t xml:space="preserve">, </w:t>
      </w:r>
      <w:r>
        <w:rPr>
          <w:rFonts w:ascii="Consolas" w:hAnsi="Consolas" w:cs="Consolas" w:eastAsia="Consolas"/>
          <w:sz w:val="18"/>
        </w:rPr>
        <w:t>igBatchRegistration</w:t>
      </w:r>
      <w:r>
        <w:t xml:space="preserve">, </w:t>
      </w:r>
      <w:r>
        <w:rPr>
          <w:rFonts w:ascii="Consolas" w:hAnsi="Consolas" w:cs="Consolas" w:eastAsia="Consolas"/>
          <w:sz w:val="18"/>
        </w:rPr>
        <w:t>igBbDateRegistration</w:t>
      </w:r>
      <w:r>
        <w:t xml:space="preserve">, </w:t>
      </w:r>
      <w:r>
        <w:rPr>
          <w:rFonts w:ascii="Consolas" w:hAnsi="Consolas" w:cs="Consolas" w:eastAsia="Consolas"/>
          <w:sz w:val="18"/>
        </w:rPr>
        <w:t>ogBatchRegistration</w:t>
      </w:r>
      <w:r>
        <w:t xml:space="preserve">, </w:t>
      </w:r>
      <w:r>
        <w:rPr>
          <w:rFonts w:ascii="Consolas" w:hAnsi="Consolas" w:cs="Consolas" w:eastAsia="Consolas"/>
          <w:sz w:val="18"/>
        </w:rPr>
        <w:t>ogBbDateRegistration</w:t>
      </w:r>
      <w:r>
        <w:t xml:space="preserve"> und </w:t>
      </w:r>
      <w:r>
        <w:rPr>
          <w:rFonts w:ascii="Consolas" w:hAnsi="Consolas" w:cs="Consolas" w:eastAsia="Consolas"/>
          <w:sz w:val="18"/>
        </w:rPr>
        <w:t>timeBasedAccMode</w:t>
      </w:r>
      <w:r>
        <w:t xml:space="preserve"> in </w:t>
      </w:r>
      <w:r>
        <w:rPr>
          <w:rFonts w:ascii="Consolas" w:hAnsi="Consolas" w:cs="Consolas" w:eastAsia="Consolas"/>
          <w:sz w:val="18"/>
        </w:rPr>
        <w:t>WLSITEM001</w:t>
      </w:r>
      <w:r>
        <w:t xml:space="preserve">. [belegt] Interface Manual 2.8 Tab. 14, 40; die Referenz-App erlaubt </w:t>
      </w:r>
      <w:r>
        <w:rPr>
          <w:rFonts w:ascii="Consolas" w:hAnsi="Consolas" w:cs="Consolas" w:eastAsia="Consolas"/>
          <w:sz w:val="18"/>
        </w:rPr>
        <w:t>batch</w:t>
      </w:r>
      <w:r>
        <w:t xml:space="preserve"> bisher bis 50 Zeichen.</w:t>
      </w:r>
    </w:p>
    <w:p>
      <w:pPr>
        <w:pStyle w:val="ListBullet"/>
      </w:pPr>
      <w:r>
        <w:rPr>
          <w:b/>
        </w:rPr>
        <w:t>CSIA an der Position</w:t>
      </w:r>
      <w:r>
        <w:t xml:space="preserve">: </w:t>
      </w:r>
      <w:r>
        <w:rPr>
          <w:rFonts w:ascii="Consolas" w:hAnsi="Consolas" w:cs="Consolas" w:eastAsia="Consolas"/>
          <w:sz w:val="18"/>
        </w:rPr>
        <w:t>csia1</w:t>
      </w:r>
      <w:r>
        <w:t xml:space="preserve"> bis </w:t>
      </w:r>
      <w:r>
        <w:rPr>
          <w:rFonts w:ascii="Consolas" w:hAnsi="Consolas" w:cs="Consolas" w:eastAsia="Consolas"/>
          <w:sz w:val="18"/>
        </w:rPr>
        <w:t>csia20</w:t>
      </w:r>
      <w:r>
        <w:t xml:space="preserve"> (je S 50, „customizable stock-identifying attributes“) in </w:t>
      </w:r>
      <w:r>
        <w:rPr>
          <w:rFonts w:ascii="Consolas" w:hAnsi="Consolas" w:cs="Consolas" w:eastAsia="Consolas"/>
          <w:sz w:val="18"/>
        </w:rPr>
        <w:t>WLSSDL002</w:t>
      </w:r>
      <w:r>
        <w:t xml:space="preserve">; Steuerung je Artikel über </w:t>
      </w:r>
      <w:r>
        <w:rPr>
          <w:rFonts w:ascii="Consolas" w:hAnsi="Consolas" w:cs="Consolas" w:eastAsia="Consolas"/>
          <w:sz w:val="18"/>
        </w:rPr>
        <w:t>csiaStockMode01..20</w:t>
      </w:r>
      <w:r>
        <w:t xml:space="preserve">, </w:t>
      </w:r>
      <w:r>
        <w:rPr>
          <w:rFonts w:ascii="Consolas" w:hAnsi="Consolas" w:cs="Consolas" w:eastAsia="Consolas"/>
          <w:sz w:val="18"/>
        </w:rPr>
        <w:t>csiaIgRegistration01..20</w:t>
      </w:r>
      <w:r>
        <w:t xml:space="preserve"> und </w:t>
      </w:r>
      <w:r>
        <w:rPr>
          <w:rFonts w:ascii="Consolas" w:hAnsi="Consolas" w:cs="Consolas" w:eastAsia="Consolas"/>
          <w:sz w:val="18"/>
        </w:rPr>
        <w:t>csiaOgRegistration01..20</w:t>
      </w:r>
      <w:r>
        <w:t xml:space="preserve"> in </w:t>
      </w:r>
      <w:r>
        <w:rPr>
          <w:rFonts w:ascii="Consolas" w:hAnsi="Consolas" w:cs="Consolas" w:eastAsia="Consolas"/>
          <w:sz w:val="18"/>
        </w:rPr>
        <w:t>WLSITEM001</w:t>
      </w:r>
      <w:r>
        <w:t>. [belegt] Interface Manual 2.8; die Referenzimplementierung sendet bei Einlagerungen noch keine CSIA.</w:t>
      </w:r>
    </w:p>
    <w:p>
      <w:pPr>
        <w:pStyle w:val="ListBullet"/>
      </w:pPr>
      <w:r>
        <w:t xml:space="preserve">Längen in der Referenzimplementierung: </w:t>
      </w:r>
      <w:r>
        <w:rPr>
          <w:rFonts w:ascii="Consolas" w:hAnsi="Consolas" w:cs="Consolas" w:eastAsia="Consolas"/>
          <w:sz w:val="18"/>
        </w:rPr>
        <w:t>extRefKey</w:t>
      </w:r>
      <w:r>
        <w:t xml:space="preserve"> max. 64, </w:t>
      </w:r>
      <w:r>
        <w:rPr>
          <w:rFonts w:ascii="Consolas" w:hAnsi="Consolas" w:cs="Consolas" w:eastAsia="Consolas"/>
          <w:sz w:val="18"/>
        </w:rPr>
        <w:t>extRefVal1/2</w:t>
      </w:r>
      <w:r>
        <w:t xml:space="preserve"> max. 512 Zeichen; identische Zeilen werden nicht doppelt gesendet. BC Dynamics sollte dieselben Grenzen einhalten. [belegt] Grenzen, [Annahme] Übernahme in BC</w:t>
      </w:r>
    </w:p>
    <w:p>
      <w:pPr>
        <w:pStyle w:val="ListBullet"/>
      </w:pPr>
      <w:r>
        <w:rPr>
          <w:b/>
        </w:rPr>
        <w:t>Touch-Konfiguration in WAMAS</w:t>
      </w:r>
      <w:r>
        <w:t xml:space="preserve">: Tabellen </w:t>
      </w:r>
      <w:r>
        <w:rPr>
          <w:rFonts w:ascii="Consolas" w:hAnsi="Consolas" w:cs="Consolas" w:eastAsia="Consolas"/>
          <w:sz w:val="18"/>
        </w:rPr>
        <w:t>WlsTouchOperationalInfoElementCfg</w:t>
      </w:r>
      <w:r>
        <w:t xml:space="preserve"> / </w:t>
      </w:r>
      <w:r>
        <w:rPr>
          <w:rFonts w:ascii="Consolas" w:hAnsi="Consolas" w:cs="Consolas" w:eastAsia="Consolas"/>
          <w:sz w:val="18"/>
        </w:rPr>
        <w:t>…Label</w:t>
      </w:r>
      <w:r>
        <w:t xml:space="preserve">. Im Test liefert </w:t>
      </w:r>
      <w:r>
        <w:rPr>
          <w:rFonts w:ascii="Consolas" w:hAnsi="Consolas" w:cs="Consolas" w:eastAsia="Consolas"/>
          <w:sz w:val="18"/>
        </w:rPr>
        <w:t>DemandExtRefLabeled</w:t>
      </w:r>
      <w:r>
        <w:t xml:space="preserve"> den Kopfschlüssel </w:t>
      </w:r>
      <w:r>
        <w:rPr>
          <w:rFonts w:ascii="Consolas" w:hAnsi="Consolas" w:cs="Consolas" w:eastAsia="Consolas"/>
          <w:sz w:val="18"/>
        </w:rPr>
        <w:t>LIEFERSCHEIN</w:t>
      </w:r>
      <w:r>
        <w:t xml:space="preserve">, </w:t>
      </w:r>
      <w:r>
        <w:rPr>
          <w:rFonts w:ascii="Consolas" w:hAnsi="Consolas" w:cs="Consolas" w:eastAsia="Consolas"/>
          <w:sz w:val="18"/>
        </w:rPr>
        <w:t>DemandLineExtRefValue1/2</w:t>
      </w:r>
      <w:r>
        <w:t xml:space="preserve"> den Positionsschlüssel </w:t>
      </w:r>
      <w:r>
        <w:rPr>
          <w:rFonts w:ascii="Consolas" w:hAnsi="Consolas" w:cs="Consolas" w:eastAsia="Consolas"/>
          <w:sz w:val="18"/>
        </w:rPr>
        <w:t>WAGE</w:t>
      </w:r>
      <w:r>
        <w:t xml:space="preserve"> mit den Labels „WAGE Nummer“ und „Fach Nummer“. BC Dynamics muss genau diese Schlüssel senden. [belegt]</w:t>
      </w:r>
    </w:p>
    <w:p>
      <w:pPr>
        <w:pStyle w:val="ListBullet"/>
      </w:pPr>
      <w:r>
        <w:t xml:space="preserve">Das Beispiel </w:t>
      </w:r>
      <w:r>
        <w:rPr>
          <w:rFonts w:ascii="Consolas" w:hAnsi="Consolas" w:cs="Consolas" w:eastAsia="Consolas"/>
          <w:sz w:val="18"/>
        </w:rPr>
        <w:t>WLSSD_00000025.json</w:t>
      </w:r>
      <w:r>
        <w:t xml:space="preserve"> nutzt genau dieses Muster: Position </w:t>
      </w:r>
      <w:r>
        <w:rPr>
          <w:rFonts w:ascii="Consolas" w:hAnsi="Consolas" w:cs="Consolas" w:eastAsia="Consolas"/>
          <w:sz w:val="18"/>
        </w:rPr>
        <w:t>extRefKey WAGE</w:t>
      </w:r>
      <w:r>
        <w:t xml:space="preserve">, </w:t>
      </w:r>
      <w:r>
        <w:rPr>
          <w:rFonts w:ascii="Consolas" w:hAnsi="Consolas" w:cs="Consolas" w:eastAsia="Consolas"/>
          <w:sz w:val="18"/>
        </w:rPr>
        <w:t>extRefVal1 „Wage Nr: 1“</w:t>
      </w:r>
      <w:r>
        <w:t xml:space="preserve">, </w:t>
      </w:r>
      <w:r>
        <w:rPr>
          <w:rFonts w:ascii="Consolas" w:hAnsi="Consolas" w:cs="Consolas" w:eastAsia="Consolas"/>
          <w:sz w:val="18"/>
        </w:rPr>
        <w:t>extRefVal2 „Fach Nr: 001-001“</w:t>
      </w:r>
      <w:r>
        <w:t xml:space="preserve">, Kopf </w:t>
      </w:r>
      <w:r>
        <w:rPr>
          <w:rFonts w:ascii="Consolas" w:hAnsi="Consolas" w:cs="Consolas" w:eastAsia="Consolas"/>
          <w:sz w:val="18"/>
        </w:rPr>
        <w:t>LIEFERSCHEIN</w:t>
      </w:r>
      <w:r>
        <w:t>. [belegt]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 xml:space="preserve">Hinweis zum Schlüssel </w:t>
            </w:r>
            <w:r>
              <w:rPr>
                <w:rFonts w:ascii="Consolas" w:hAnsi="Consolas" w:cs="Consolas" w:eastAsia="Consolas"/>
                <w:sz w:val="17"/>
              </w:rPr>
              <w:t>WAGE</w:t>
            </w:r>
            <w:r>
              <w:rPr>
                <w:sz w:val="19"/>
              </w:rPr>
              <w:t>: Gemeint ist der Kommissionier</w:t>
            </w:r>
            <w:r>
              <w:rPr>
                <w:b/>
                <w:sz w:val="19"/>
              </w:rPr>
              <w:t>wagen</w:t>
            </w:r>
            <w:r>
              <w:rPr>
                <w:sz w:val="19"/>
              </w:rPr>
              <w:t>, nicht eine Waage. Der Schlüssel heisst so in der Touch-Konfiguration (Label „WAGE Nummer“ / „Fach Nummer“) und im Beispiel. Er muss mit der WAMAS-Konfiguration übereinstimmen, deshalb wird er hier nicht umbenannt (siehe offene Frage 1).</w:t>
            </w:r>
          </w:p>
        </w:tc>
      </w:tr>
    </w:tbl>
    <w:p>
      <w:pPr>
        <w:spacing w:after="40"/>
      </w:pPr>
    </w:p>
    <w:p>
      <w:pPr>
        <w:pStyle w:val="Quelle"/>
      </w:pPr>
      <w:r>
        <w:rPr>
          <w:b/>
        </w:rPr>
        <w:t xml:space="preserve">Quelle: </w:t>
      </w:r>
      <w:r>
        <w:rPr>
          <w:sz w:val="17"/>
        </w:rPr>
        <w:t>Vorgängerdokument v1.0, Kap. „Übersicht und Ausgangslage“; Belege je Aussage siehe Kennzeichnung und Quellenverzeichnis</w:t>
      </w:r>
    </w:p>
    <w:p>
      <w:pPr>
        <w:pStyle w:val="Heading1"/>
      </w:pPr>
      <w:r>
        <w:t>4 Rollen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30"/>
        <w:gridCol w:w="2646"/>
        <w:gridCol w:w="2716"/>
        <w:gridCol w:w="2632"/>
      </w:tblGrid>
      <w:tr>
        <w:trPr>
          <w:tblHeader w:val="true"/>
        </w:trPr>
        <w:tc>
          <w:tcPr>
            <w:tcW w:type="dxa" w:w="1531"/>
            <w:shd w:val="clear" w:color="auto" w:fill="FEEE19"/>
          </w:tcPr>
          <w:p>
            <w:pPr>
              <w:spacing w:after="0"/>
            </w:pPr>
            <w:r>
              <w:rPr>
                <w:b/>
                <w:sz w:val="17"/>
              </w:rPr>
              <w:t>Rolle</w:t>
            </w:r>
          </w:p>
        </w:tc>
        <w:tc>
          <w:tcPr>
            <w:tcW w:type="dxa" w:w="2646"/>
            <w:shd w:val="clear" w:color="auto" w:fill="FEEE19"/>
          </w:tcPr>
          <w:p>
            <w:pPr>
              <w:spacing w:after="0"/>
            </w:pPr>
            <w:r>
              <w:rPr>
                <w:b/>
                <w:sz w:val="17"/>
              </w:rPr>
              <w:t>Aufgabe im Prozess</w:t>
            </w:r>
          </w:p>
        </w:tc>
        <w:tc>
          <w:tcPr>
            <w:tcW w:type="dxa" w:w="2716"/>
            <w:shd w:val="clear" w:color="auto" w:fill="FEEE19"/>
          </w:tcPr>
          <w:p>
            <w:pPr>
              <w:spacing w:after="0"/>
            </w:pPr>
            <w:r>
              <w:rPr>
                <w:b/>
                <w:sz w:val="17"/>
              </w:rPr>
              <w:t>System</w:t>
            </w:r>
          </w:p>
        </w:tc>
        <w:tc>
          <w:tcPr>
            <w:tcW w:type="dxa" w:w="2632"/>
            <w:shd w:val="clear" w:color="auto" w:fill="FEEE19"/>
          </w:tcPr>
          <w:p>
            <w:pPr>
              <w:spacing w:after="0"/>
            </w:pPr>
            <w:r>
              <w:rPr>
                <w:b/>
                <w:sz w:val="17"/>
              </w:rPr>
              <w:t>Beleg</w:t>
            </w:r>
          </w:p>
        </w:tc>
      </w:tr>
      <w:tr>
        <w:tc>
          <w:tcPr>
            <w:tcW w:type="dxa" w:w="1531"/>
          </w:tcPr>
          <w:p>
            <w:pPr>
              <w:spacing w:after="0" w:line="252" w:lineRule="auto"/>
            </w:pPr>
            <w:r>
              <w:rPr>
                <w:b/>
                <w:sz w:val="17"/>
              </w:rPr>
              <w:t>Erfasser Wareneingang</w:t>
            </w:r>
          </w:p>
        </w:tc>
        <w:tc>
          <w:tcPr>
            <w:tcW w:type="dxa" w:w="2646"/>
          </w:tcPr>
          <w:p>
            <w:pPr>
              <w:spacing w:after="0" w:line="252" w:lineRule="auto"/>
            </w:pPr>
            <w:r>
              <w:rPr>
                <w:sz w:val="17"/>
              </w:rPr>
              <w:t>Ware annehmen, Wagen wählen, Ware in Fächer legen, Wagen und Fächer scannen, Positionen erfassen</w:t>
            </w:r>
          </w:p>
        </w:tc>
        <w:tc>
          <w:tcPr>
            <w:tcW w:type="dxa" w:w="2716"/>
          </w:tcPr>
          <w:p>
            <w:pPr>
              <w:spacing w:after="0" w:line="252" w:lineRule="auto"/>
            </w:pPr>
            <w:r>
              <w:rPr>
                <w:sz w:val="17"/>
              </w:rPr>
              <w:t>BC Dynamics (Wareneingang, z. B. mit Handscanner)</w:t>
            </w:r>
          </w:p>
        </w:tc>
        <w:tc>
          <w:tcPr>
            <w:tcW w:type="dxa" w:w="2632"/>
          </w:tcPr>
          <w:p>
            <w:pPr>
              <w:spacing w:after="0" w:line="252" w:lineRule="auto"/>
            </w:pPr>
            <w:r>
              <w:rPr>
                <w:sz w:val="17"/>
              </w:rPr>
              <w:t>[Annahme] Erfassungsdialog und Gerät in BC</w:t>
            </w:r>
          </w:p>
        </w:tc>
      </w:tr>
      <w:tr>
        <w:tc>
          <w:tcPr>
            <w:tcW w:type="dxa" w:w="1531"/>
          </w:tcPr>
          <w:p>
            <w:pPr>
              <w:spacing w:after="0" w:line="252" w:lineRule="auto"/>
            </w:pPr>
            <w:r>
              <w:rPr>
                <w:b/>
                <w:sz w:val="17"/>
              </w:rPr>
              <w:t>BC Dynamics</w:t>
            </w:r>
            <w:r>
              <w:rPr>
                <w:sz w:val="17"/>
              </w:rPr>
              <w:t xml:space="preserve"> (Host)</w:t>
            </w:r>
          </w:p>
        </w:tc>
        <w:tc>
          <w:tcPr>
            <w:tcW w:type="dxa" w:w="2646"/>
          </w:tcPr>
          <w:p>
            <w:pPr>
              <w:spacing w:after="0" w:line="252" w:lineRule="auto"/>
            </w:pPr>
            <w:r>
              <w:rPr>
                <w:sz w:val="17"/>
              </w:rPr>
              <w:t xml:space="preserve">Einlagerauftrag mit externer Referenz bilden, prüfen, Telegramm </w:t>
            </w:r>
            <w:r>
              <w:rPr>
                <w:rFonts w:ascii="Consolas" w:hAnsi="Consolas" w:cs="Consolas" w:eastAsia="Consolas"/>
                <w:sz w:val="15"/>
              </w:rPr>
              <w:t>WLSSD</w:t>
            </w:r>
            <w:r>
              <w:rPr>
                <w:sz w:val="17"/>
              </w:rPr>
              <w:t xml:space="preserve"> an WAMAS senden, ACK empfangen, Wagen freigeben</w:t>
            </w:r>
          </w:p>
        </w:tc>
        <w:tc>
          <w:tcPr>
            <w:tcW w:type="dxa" w:w="2716"/>
          </w:tcPr>
          <w:p>
            <w:pPr>
              <w:spacing w:after="0" w:line="252" w:lineRule="auto"/>
            </w:pPr>
            <w:r>
              <w:rPr>
                <w:sz w:val="17"/>
              </w:rPr>
              <w:t xml:space="preserve">ERP Microsoft Dynamics 365 Business Central, Systempartner </w:t>
            </w:r>
            <w:r>
              <w:rPr>
                <w:rFonts w:ascii="Consolas" w:hAnsi="Consolas" w:cs="Consolas" w:eastAsia="Consolas"/>
                <w:sz w:val="15"/>
              </w:rPr>
              <w:t>HOST</w:t>
            </w:r>
          </w:p>
        </w:tc>
        <w:tc>
          <w:tcPr>
            <w:tcW w:type="dxa" w:w="2632"/>
          </w:tcPr>
          <w:p>
            <w:pPr>
              <w:spacing w:after="0" w:line="252" w:lineRule="auto"/>
            </w:pPr>
            <w:r>
              <w:rPr>
                <w:sz w:val="17"/>
              </w:rPr>
              <w:t>[belegt] Telegramm und Host-Rolle. [Annahme] Umsetzung in BC</w:t>
            </w:r>
          </w:p>
        </w:tc>
      </w:tr>
      <w:tr>
        <w:tc>
          <w:tcPr>
            <w:tcW w:type="dxa" w:w="1531"/>
          </w:tcPr>
          <w:p>
            <w:pPr>
              <w:spacing w:after="0" w:line="252" w:lineRule="auto"/>
            </w:pPr>
            <w:r>
              <w:rPr>
                <w:b/>
                <w:sz w:val="17"/>
              </w:rPr>
              <w:t>WAMAS</w:t>
            </w:r>
          </w:p>
        </w:tc>
        <w:tc>
          <w:tcPr>
            <w:tcW w:type="dxa" w:w="2646"/>
          </w:tcPr>
          <w:p>
            <w:pPr>
              <w:spacing w:after="0" w:line="252" w:lineRule="auto"/>
            </w:pPr>
            <w:r>
              <w:rPr>
                <w:sz w:val="17"/>
              </w:rPr>
              <w:t>Storage Demand annehmen, Einlagerung am Lift steuern, ACK an HOST zurückmelden</w:t>
            </w:r>
          </w:p>
        </w:tc>
        <w:tc>
          <w:tcPr>
            <w:tcW w:type="dxa" w:w="2716"/>
          </w:tcPr>
          <w:p>
            <w:pPr>
              <w:spacing w:after="0" w:line="252" w:lineRule="auto"/>
            </w:pPr>
            <w:r>
              <w:rPr>
                <w:sz w:val="17"/>
              </w:rPr>
              <w:t xml:space="preserve">DI-API, Telegramme </w:t>
            </w:r>
            <w:r>
              <w:rPr>
                <w:rFonts w:ascii="Consolas" w:hAnsi="Consolas" w:cs="Consolas" w:eastAsia="Consolas"/>
                <w:sz w:val="15"/>
              </w:rPr>
              <w:t>WLSSD002</w:t>
            </w:r>
            <w:r>
              <w:rPr>
                <w:sz w:val="17"/>
              </w:rPr>
              <w:t xml:space="preserve"> bzw. </w:t>
            </w:r>
            <w:r>
              <w:rPr>
                <w:rFonts w:ascii="Consolas" w:hAnsi="Consolas" w:cs="Consolas" w:eastAsia="Consolas"/>
                <w:sz w:val="15"/>
              </w:rPr>
              <w:t>WLSSD003</w:t>
            </w:r>
            <w:r>
              <w:rPr>
                <w:sz w:val="17"/>
              </w:rPr>
              <w:t xml:space="preserve"> (2.8-Manual)</w:t>
            </w:r>
          </w:p>
        </w:tc>
        <w:tc>
          <w:tcPr>
            <w:tcW w:type="dxa" w:w="2632"/>
          </w:tcPr>
          <w:p>
            <w:pPr>
              <w:spacing w:after="0" w:line="252" w:lineRule="auto"/>
            </w:pPr>
            <w:r>
              <w:rPr>
                <w:sz w:val="17"/>
              </w:rPr>
              <w:t>[belegt] Telegramm. [Annahme] Ablauf in WAMAS</w:t>
            </w:r>
          </w:p>
        </w:tc>
      </w:tr>
      <w:tr>
        <w:tc>
          <w:tcPr>
            <w:tcW w:type="dxa" w:w="1531"/>
          </w:tcPr>
          <w:p>
            <w:pPr>
              <w:spacing w:after="0" w:line="252" w:lineRule="auto"/>
            </w:pPr>
            <w:r>
              <w:rPr>
                <w:b/>
                <w:sz w:val="17"/>
              </w:rPr>
              <w:t>Lift-Bediener</w:t>
            </w:r>
          </w:p>
        </w:tc>
        <w:tc>
          <w:tcPr>
            <w:tcW w:type="dxa" w:w="2646"/>
          </w:tcPr>
          <w:p>
            <w:pPr>
              <w:spacing w:after="0" w:line="252" w:lineRule="auto"/>
            </w:pPr>
            <w:r>
              <w:rPr>
                <w:sz w:val="17"/>
              </w:rPr>
              <w:t>Wagen an den Lift (LogiMat) bringen, Ware je Position aus dem Fach nehmen und einlagern</w:t>
            </w:r>
          </w:p>
        </w:tc>
        <w:tc>
          <w:tcPr>
            <w:tcW w:type="dxa" w:w="2716"/>
          </w:tcPr>
          <w:p>
            <w:pPr>
              <w:spacing w:after="0" w:line="252" w:lineRule="auto"/>
            </w:pPr>
            <w:r>
              <w:rPr>
                <w:sz w:val="17"/>
              </w:rPr>
              <w:t xml:space="preserve">WAMAS Touch am Lift, InfoElemente </w:t>
            </w:r>
            <w:r>
              <w:rPr>
                <w:rFonts w:ascii="Consolas" w:hAnsi="Consolas" w:cs="Consolas" w:eastAsia="Consolas"/>
                <w:sz w:val="15"/>
              </w:rPr>
              <w:t>DemandExtRefLabeled</w:t>
            </w:r>
            <w:r>
              <w:rPr>
                <w:sz w:val="17"/>
              </w:rPr>
              <w:t xml:space="preserve">, </w:t>
            </w:r>
            <w:r>
              <w:rPr>
                <w:rFonts w:ascii="Consolas" w:hAnsi="Consolas" w:cs="Consolas" w:eastAsia="Consolas"/>
                <w:sz w:val="15"/>
              </w:rPr>
              <w:t>DemandLineExtRefValue1/​2</w:t>
            </w:r>
          </w:p>
        </w:tc>
        <w:tc>
          <w:tcPr>
            <w:tcW w:type="dxa" w:w="2632"/>
          </w:tcPr>
          <w:p>
            <w:pPr>
              <w:spacing w:after="0" w:line="252" w:lineRule="auto"/>
            </w:pPr>
            <w:r>
              <w:rPr>
                <w:sz w:val="17"/>
              </w:rPr>
              <w:t>[Annahme] Anzeige am Touch (Konfiguration existiert, Bildschirm nicht in den Dateien)</w:t>
            </w:r>
          </w:p>
        </w:tc>
      </w:tr>
      <w:tr>
        <w:tc>
          <w:tcPr>
            <w:tcW w:type="dxa" w:w="1531"/>
          </w:tcPr>
          <w:p>
            <w:pPr>
              <w:spacing w:after="0" w:line="252" w:lineRule="auto"/>
            </w:pPr>
            <w:r>
              <w:rPr>
                <w:b/>
                <w:sz w:val="17"/>
              </w:rPr>
              <w:t>Admin / Key-User</w:t>
            </w:r>
          </w:p>
        </w:tc>
        <w:tc>
          <w:tcPr>
            <w:tcW w:type="dxa" w:w="2646"/>
          </w:tcPr>
          <w:p>
            <w:pPr>
              <w:spacing w:after="0" w:line="252" w:lineRule="auto"/>
            </w:pPr>
            <w:r>
              <w:rPr>
                <w:sz w:val="17"/>
              </w:rPr>
              <w:t>DI-Verbindung BC Dynamics zu WAMAS einrichten, Referenzschlüssel in BC und in der Touch-Konfiguration abgleichen, Wagen-Nummernkreis festlegen</w:t>
            </w:r>
          </w:p>
        </w:tc>
        <w:tc>
          <w:tcPr>
            <w:tcW w:type="dxa" w:w="2716"/>
          </w:tcPr>
          <w:p>
            <w:pPr>
              <w:spacing w:after="0" w:line="252" w:lineRule="auto"/>
            </w:pPr>
            <w:r>
              <w:rPr>
                <w:sz w:val="17"/>
              </w:rPr>
              <w:t>BC Dynamics, WAMAS-Konfiguration</w:t>
            </w:r>
          </w:p>
        </w:tc>
        <w:tc>
          <w:tcPr>
            <w:tcW w:type="dxa" w:w="2632"/>
          </w:tcPr>
          <w:p>
            <w:pPr>
              <w:spacing w:after="0" w:line="252" w:lineRule="auto"/>
            </w:pPr>
            <w:r>
              <w:rPr>
                <w:sz w:val="17"/>
              </w:rPr>
              <w:t>[Annahme]</w:t>
            </w:r>
          </w:p>
        </w:tc>
      </w:tr>
      <w:tr>
        <w:tc>
          <w:tcPr>
            <w:tcW w:type="dxa" w:w="1531"/>
          </w:tcPr>
          <w:p>
            <w:pPr>
              <w:spacing w:after="0" w:line="252" w:lineRule="auto"/>
            </w:pPr>
            <w:r>
              <w:rPr>
                <w:sz w:val="17"/>
              </w:rPr>
              <w:t>WAMAS Web App (nur Referenz)</w:t>
            </w:r>
          </w:p>
        </w:tc>
        <w:tc>
          <w:tcPr>
            <w:tcW w:type="dxa" w:w="2646"/>
          </w:tcPr>
          <w:p>
            <w:pPr>
              <w:spacing w:after="0" w:line="252" w:lineRule="auto"/>
            </w:pPr>
            <w:r>
              <w:rPr>
                <w:sz w:val="17"/>
              </w:rPr>
              <w:t>Kein Prozessschritt. Liefert Referenzcode für das Telegramm und kann Test-Telegramme erzeugen</w:t>
            </w:r>
          </w:p>
        </w:tc>
        <w:tc>
          <w:tcPr>
            <w:tcW w:type="dxa" w:w="2716"/>
          </w:tcPr>
          <w:p>
            <w:pPr>
              <w:spacing w:after="0" w:line="252" w:lineRule="auto"/>
            </w:pPr>
            <w:r>
              <w:rPr>
                <w:rFonts w:ascii="Consolas" w:hAnsi="Consolas" w:cs="Consolas" w:eastAsia="Consolas"/>
                <w:sz w:val="15"/>
              </w:rPr>
              <w:t>server.py</w:t>
            </w:r>
            <w:r>
              <w:rPr>
                <w:sz w:val="17"/>
              </w:rPr>
              <w:t xml:space="preserve">, </w:t>
            </w:r>
            <w:r>
              <w:rPr>
                <w:rFonts w:ascii="Consolas" w:hAnsi="Consolas" w:cs="Consolas" w:eastAsia="Consolas"/>
                <w:sz w:val="15"/>
              </w:rPr>
              <w:t>order_​builders.​py</w:t>
            </w:r>
          </w:p>
        </w:tc>
        <w:tc>
          <w:tcPr>
            <w:tcW w:type="dxa" w:w="2632"/>
          </w:tcPr>
          <w:p>
            <w:pPr>
              <w:spacing w:after="0" w:line="252" w:lineRule="auto"/>
            </w:pPr>
            <w:r>
              <w:rPr>
                <w:sz w:val="17"/>
              </w:rPr>
              <w:t>[belegt]</w:t>
            </w:r>
          </w:p>
        </w:tc>
      </w:tr>
    </w:tbl>
    <w:p>
      <w:pPr>
        <w:pStyle w:val="BeschriftungSSI"/>
      </w:pPr>
      <w:r>
        <w:t>Tab. 3: Rollen</w:t>
      </w:r>
    </w:p>
    <w:p>
      <w:pPr>
        <w:pStyle w:val="Quelle"/>
      </w:pPr>
      <w:r>
        <w:rPr>
          <w:b/>
        </w:rPr>
        <w:t xml:space="preserve">Quelle: </w:t>
      </w:r>
      <w:r>
        <w:rPr>
          <w:sz w:val="17"/>
        </w:rPr>
        <w:t>Vorgängerdokument v1.0, Kap. „Rollen“; Belege je Aussage siehe Kennzeichnung und Quellenverzeichnis</w:t>
      </w:r>
    </w:p>
    <w:p>
      <w:pPr>
        <w:pStyle w:val="Heading1"/>
      </w:pPr>
      <w:r>
        <w:t>5 Ablauf</w:t>
      </w:r>
    </w:p>
    <w:p>
      <w:pPr>
        <w:keepNext/>
      </w:pPr>
      <w:r>
        <w:drawing>
          <wp:inline xmlns:a="http://schemas.openxmlformats.org/drawingml/2006/main" xmlns:pic="http://schemas.openxmlformats.org/drawingml/2006/picture">
            <wp:extent cx="6048000" cy="2175158"/>
            <wp:docPr id="105" name="Picture 105"/>
            <wp:cNvGraphicFramePr>
              <a:graphicFrameLocks noChangeAspect="1"/>
            </wp:cNvGraphicFramePr>
            <a:graphic>
              <a:graphicData uri="http://schemas.openxmlformats.org/drawingml/2006/picture">
                <pic:pic>
                  <pic:nvPicPr>
                    <pic:cNvPr id="0" name="01_prozess_swimlanes.png"/>
                    <pic:cNvPicPr/>
                  </pic:nvPicPr>
                  <pic:blipFill>
                    <a:blip r:embed="rId15"/>
                    <a:stretch>
                      <a:fillRect/>
                    </a:stretch>
                  </pic:blipFill>
                  <pic:spPr>
                    <a:xfrm>
                      <a:off x="0" y="0"/>
                      <a:ext cx="6048000" cy="2175158"/>
                    </a:xfrm>
                    <a:prstGeom prst="rect"/>
                  </pic:spPr>
                </pic:pic>
              </a:graphicData>
            </a:graphic>
          </wp:inline>
        </w:drawing>
      </w:r>
    </w:p>
    <w:p>
      <w:pPr>
        <w:pStyle w:val="BeschriftungSSI"/>
      </w:pPr>
      <w:r>
        <w:t>Abb. 2: Prozess-Flussdiagramm mit Swimlanes Wareneingang/Erfasser, BC Dynamics, WAMAS, Lift. Gestrichelte Kästen sind Annahmen. Originaldatei 01_prozess_swimlanes.png.</w:t>
      </w:r>
    </w:p>
    <w:p>
      <w:pPr>
        <w:pStyle w:val="Heading2"/>
      </w:pPr>
      <w:r>
        <w:t>5.1 Schritt für Schritt</w:t>
      </w:r>
    </w:p>
    <w:p>
      <w:pPr>
        <w:pStyle w:val="Heading3"/>
      </w:pPr>
      <w:r>
        <w:t>5.1.1 Schritt 1: Anlieferung annehmen</w:t>
      </w:r>
    </w:p>
    <w:p>
      <w:r>
        <w:rPr>
          <w:b/>
        </w:rPr>
        <w:t>Rolle:</w:t>
      </w:r>
      <w:r>
        <w:t xml:space="preserve"> Erfasser</w:t>
      </w:r>
    </w:p>
    <w:p>
      <w:r>
        <w:t>Ware mit Lieferschein kommt an. Die Lieferscheinnummer wird in BC Dynamics zur Scheinnummer (</w:t>
      </w:r>
      <w:r>
        <w:rPr>
          <w:rFonts w:ascii="Consolas" w:hAnsi="Consolas" w:cs="Consolas" w:eastAsia="Consolas"/>
          <w:sz w:val="18"/>
        </w:rPr>
        <w:t>noteNo</w:t>
      </w:r>
      <w:r>
        <w:t xml:space="preserve">, Standardfeld, wie im Beispiel </w:t>
      </w:r>
      <w:r>
        <w:rPr>
          <w:rFonts w:ascii="Consolas" w:hAnsi="Consolas" w:cs="Consolas" w:eastAsia="Consolas"/>
          <w:sz w:val="18"/>
        </w:rPr>
        <w:t>WLSSD_00000025.json</w:t>
      </w:r>
      <w:r>
        <w:t xml:space="preserve"> mit </w:t>
      </w:r>
      <w:r>
        <w:rPr>
          <w:rFonts w:ascii="Consolas" w:hAnsi="Consolas" w:cs="Consolas" w:eastAsia="Consolas"/>
          <w:sz w:val="18"/>
        </w:rPr>
        <w:t>LS-2026-001</w:t>
      </w:r>
      <w:r>
        <w:t xml:space="preserve">) und optional zusätzlich zur Kopf-Referenz </w:t>
      </w:r>
      <w:r>
        <w:rPr>
          <w:rFonts w:ascii="Consolas" w:hAnsi="Consolas" w:cs="Consolas" w:eastAsia="Consolas"/>
          <w:sz w:val="18"/>
        </w:rPr>
        <w:t>LIEFERSCHEIN</w:t>
      </w:r>
      <w:r>
        <w:t>. [Annahme] Lieferschein als führender Beleg</w:t>
      </w:r>
    </w:p>
    <w:p>
      <w:pPr>
        <w:pStyle w:val="Heading3"/>
      </w:pPr>
      <w:r>
        <w:t>5.1.2 Schritt 2: Kommissionierwagen identifizieren</w:t>
      </w:r>
    </w:p>
    <w:p>
      <w:r>
        <w:rPr>
          <w:b/>
        </w:rPr>
        <w:t>Rolle:</w:t>
      </w:r>
      <w:r>
        <w:t xml:space="preserve"> Erfasser, BC Dynamics</w:t>
      </w:r>
    </w:p>
    <w:p>
      <w:r>
        <w:t xml:space="preserve">Freien Wagen nehmen, QR an der Deichsel scannen: </w:t>
      </w:r>
      <w:r>
        <w:rPr>
          <w:rFonts w:ascii="Consolas" w:hAnsi="Consolas" w:cs="Consolas" w:eastAsia="Consolas"/>
          <w:sz w:val="18"/>
        </w:rPr>
        <w:t>KW-1042</w:t>
      </w:r>
      <w:r>
        <w:t xml:space="preserve">. Bei unlesbarem QR die Klartextnummer vom Schild abtippen. [belegt] QR-Inhalt. [Annahme] BC Dynamics prüft, ob der Wagen frei ist (kein offener Einlagerauftrag mit </w:t>
      </w:r>
      <w:r>
        <w:rPr>
          <w:rFonts w:ascii="Consolas" w:hAnsi="Consolas" w:cs="Consolas" w:eastAsia="Consolas"/>
          <w:sz w:val="18"/>
        </w:rPr>
        <w:t>WAGE = KW-1042</w:t>
      </w:r>
      <w:r>
        <w:t>).</w:t>
      </w:r>
    </w:p>
    <w:p>
      <w:pPr>
        <w:pStyle w:val="Heading3"/>
      </w:pPr>
      <w:r>
        <w:t>5.1.3 Schritt 3: Ware je Fach ablegen und erfassen</w:t>
      </w:r>
    </w:p>
    <w:p>
      <w:r>
        <w:rPr>
          <w:b/>
        </w:rPr>
        <w:t>Rolle:</w:t>
      </w:r>
      <w:r>
        <w:t xml:space="preserve"> Erfasser, BC Dynamics</w:t>
      </w:r>
    </w:p>
    <w:p>
      <w:r>
        <w:t>Ware ins Fach legen, Fach-QR scannen (</w:t>
      </w:r>
      <w:r>
        <w:rPr>
          <w:rFonts w:ascii="Consolas" w:hAnsi="Consolas" w:cs="Consolas" w:eastAsia="Consolas"/>
          <w:sz w:val="18"/>
        </w:rPr>
        <w:t>KW-1042|A1</w:t>
      </w:r>
      <w:r>
        <w:t xml:space="preserve">), Artikel, Menge und Charge in BC Dynamics erfassen. Der QR-Inhalt wird am </w:t>
      </w:r>
      <w:r>
        <w:rPr>
          <w:rFonts w:ascii="Consolas" w:hAnsi="Consolas" w:cs="Consolas" w:eastAsia="Consolas"/>
          <w:sz w:val="18"/>
        </w:rPr>
        <w:t>|</w:t>
      </w:r>
      <w:r>
        <w:t xml:space="preserve"> getrennt: links Wagen, rechts Fach [Annahme] . Ein Artikel in zwei Fächern ergibt zwei Positionen. Bei Artikeln mit Seriennummer wird zusätzlich je Stück die Seriennummer gescannt (</w:t>
      </w:r>
      <w:r>
        <w:rPr>
          <w:rFonts w:ascii="Consolas" w:hAnsi="Consolas" w:cs="Consolas" w:eastAsia="Consolas"/>
          <w:sz w:val="18"/>
        </w:rPr>
        <w:t>csia1</w:t>
      </w:r>
      <w:r>
        <w:t>, eine Position je Seriennummer) [Annahme] . Bei Artikeln mit Charge oder MHD werden Charge (</w:t>
      </w:r>
      <w:r>
        <w:rPr>
          <w:rFonts w:ascii="Consolas" w:hAnsi="Consolas" w:cs="Consolas" w:eastAsia="Consolas"/>
          <w:sz w:val="18"/>
        </w:rPr>
        <w:t>batch</w:t>
      </w:r>
      <w:r>
        <w:t>) und MHD (</w:t>
      </w:r>
      <w:r>
        <w:rPr>
          <w:rFonts w:ascii="Consolas" w:hAnsi="Consolas" w:cs="Consolas" w:eastAsia="Consolas"/>
          <w:sz w:val="18"/>
        </w:rPr>
        <w:t>bbDate</w:t>
      </w:r>
      <w:r>
        <w:t>) vom Etikett erfasst; zwei Chargen desselben Artikels ergeben zwei Positionen, am besten in zwei Fächern [Annahme, zu prüfen] .</w:t>
      </w:r>
    </w:p>
    <w:p>
      <w:pPr>
        <w:pStyle w:val="Heading3"/>
      </w:pPr>
      <w:r>
        <w:t>5.1.4 Schritt 4: Einlagerauftrag mit externer Referenz bilden</w:t>
      </w:r>
    </w:p>
    <w:p>
      <w:r>
        <w:rPr>
          <w:b/>
        </w:rPr>
        <w:t>Rolle:</w:t>
      </w:r>
      <w:r>
        <w:t xml:space="preserve"> BC Dynamics</w:t>
      </w:r>
    </w:p>
    <w:p>
      <w:r>
        <w:t xml:space="preserve">Je Zeile: </w:t>
      </w:r>
      <w:r>
        <w:rPr>
          <w:rFonts w:ascii="Consolas" w:hAnsi="Consolas" w:cs="Consolas" w:eastAsia="Consolas"/>
          <w:sz w:val="18"/>
        </w:rPr>
        <w:t>extRefKey</w:t>
      </w:r>
      <w:r>
        <w:t xml:space="preserve"> </w:t>
      </w:r>
      <w:r>
        <w:rPr>
          <w:rFonts w:ascii="Consolas" w:hAnsi="Consolas" w:cs="Consolas" w:eastAsia="Consolas"/>
          <w:sz w:val="18"/>
        </w:rPr>
        <w:t>WAGE</w:t>
      </w:r>
      <w:r>
        <w:t xml:space="preserve">, </w:t>
      </w:r>
      <w:r>
        <w:rPr>
          <w:rFonts w:ascii="Consolas" w:hAnsi="Consolas" w:cs="Consolas" w:eastAsia="Consolas"/>
          <w:sz w:val="18"/>
        </w:rPr>
        <w:t>extRefVal1</w:t>
      </w:r>
      <w:r>
        <w:t xml:space="preserve"> </w:t>
      </w:r>
      <w:r>
        <w:rPr>
          <w:rFonts w:ascii="Consolas" w:hAnsi="Consolas" w:cs="Consolas" w:eastAsia="Consolas"/>
          <w:sz w:val="18"/>
        </w:rPr>
        <w:t>KW-1042</w:t>
      </w:r>
      <w:r>
        <w:t xml:space="preserve">, </w:t>
      </w:r>
      <w:r>
        <w:rPr>
          <w:rFonts w:ascii="Consolas" w:hAnsi="Consolas" w:cs="Consolas" w:eastAsia="Consolas"/>
          <w:sz w:val="18"/>
        </w:rPr>
        <w:t>extRefVal2</w:t>
      </w:r>
      <w:r>
        <w:t xml:space="preserve"> </w:t>
      </w:r>
      <w:r>
        <w:rPr>
          <w:rFonts w:ascii="Consolas" w:hAnsi="Consolas" w:cs="Consolas" w:eastAsia="Consolas"/>
          <w:sz w:val="18"/>
        </w:rPr>
        <w:t>A1</w:t>
      </w:r>
      <w:r>
        <w:t xml:space="preserve">. Kopf: </w:t>
      </w:r>
      <w:r>
        <w:rPr>
          <w:rFonts w:ascii="Consolas" w:hAnsi="Consolas" w:cs="Consolas" w:eastAsia="Consolas"/>
          <w:sz w:val="18"/>
        </w:rPr>
        <w:t>noteNo</w:t>
      </w:r>
      <w:r>
        <w:t xml:space="preserve"> = Lieferscheinnummer; optional </w:t>
      </w:r>
      <w:r>
        <w:rPr>
          <w:rFonts w:ascii="Consolas" w:hAnsi="Consolas" w:cs="Consolas" w:eastAsia="Consolas"/>
          <w:sz w:val="18"/>
        </w:rPr>
        <w:t>extRefKey</w:t>
      </w:r>
      <w:r>
        <w:t xml:space="preserve"> </w:t>
      </w:r>
      <w:r>
        <w:rPr>
          <w:rFonts w:ascii="Consolas" w:hAnsi="Consolas" w:cs="Consolas" w:eastAsia="Consolas"/>
          <w:sz w:val="18"/>
        </w:rPr>
        <w:t>LIEFERSCHEIN</w:t>
      </w:r>
      <w:r>
        <w:t xml:space="preserve">, </w:t>
      </w:r>
      <w:r>
        <w:rPr>
          <w:rFonts w:ascii="Consolas" w:hAnsi="Consolas" w:cs="Consolas" w:eastAsia="Consolas"/>
          <w:sz w:val="18"/>
        </w:rPr>
        <w:t>extRefVal1/2</w:t>
      </w:r>
      <w:r>
        <w:t xml:space="preserve"> Lieferschein- und Bestellnummer; </w:t>
      </w:r>
      <w:r>
        <w:rPr>
          <w:rFonts w:ascii="Consolas" w:hAnsi="Consolas" w:cs="Consolas" w:eastAsia="Consolas"/>
          <w:sz w:val="18"/>
        </w:rPr>
        <w:t>info</w:t>
      </w:r>
      <w:r>
        <w:t xml:space="preserve"> frei (z. B. „Wagen KW-1042“). Auftragsnummer (</w:t>
      </w:r>
      <w:r>
        <w:rPr>
          <w:rFonts w:ascii="Consolas" w:hAnsi="Consolas" w:cs="Consolas" w:eastAsia="Consolas"/>
          <w:sz w:val="18"/>
        </w:rPr>
        <w:t>demandNo</w:t>
      </w:r>
      <w:r>
        <w:t>) eindeutig vergeben. [belegt] Felder, [Annahme] Belegstruktur in BC</w:t>
      </w:r>
    </w:p>
    <w:p>
      <w:pPr>
        <w:pStyle w:val="Heading3"/>
      </w:pPr>
      <w:r>
        <w:t>5.1.5 Schritt 5: Prüfen</w:t>
      </w:r>
    </w:p>
    <w:p>
      <w:r>
        <w:rPr>
          <w:b/>
        </w:rPr>
        <w:t>Rolle:</w:t>
      </w:r>
      <w:r>
        <w:t xml:space="preserve"> BC Dynamics</w:t>
      </w:r>
    </w:p>
    <w:p>
      <w:r>
        <w:t xml:space="preserve">Vor dem Senden prüft BC Dynamics: Auftragsnummer eindeutig, </w:t>
      </w:r>
      <w:r>
        <w:rPr>
          <w:rFonts w:ascii="Consolas" w:hAnsi="Consolas" w:cs="Consolas" w:eastAsia="Consolas"/>
          <w:sz w:val="18"/>
        </w:rPr>
        <w:t>noteNo</w:t>
      </w:r>
      <w:r>
        <w:t xml:space="preserve"> max. 18 Zeichen (2.8), Längen der Referenzen, Menge &gt; 0, Artikel in WAMAS bekannt (Artikelstamm vorher per </w:t>
      </w:r>
      <w:r>
        <w:rPr>
          <w:rFonts w:ascii="Consolas" w:hAnsi="Consolas" w:cs="Consolas" w:eastAsia="Consolas"/>
          <w:sz w:val="18"/>
        </w:rPr>
        <w:t>WLSITEM</w:t>
      </w:r>
      <w:r>
        <w:t xml:space="preserve"> übertragen), Hinweis bei gleichem Artikel und gleicher Charge in mehreren Zeilen, </w:t>
      </w:r>
      <w:r>
        <w:rPr>
          <w:rFonts w:ascii="Consolas" w:hAnsi="Consolas" w:cs="Consolas" w:eastAsia="Consolas"/>
          <w:sz w:val="18"/>
        </w:rPr>
        <w:t>batch</w:t>
      </w:r>
      <w:r>
        <w:t xml:space="preserve"> max. 20 Zeichen, </w:t>
      </w:r>
      <w:r>
        <w:rPr>
          <w:rFonts w:ascii="Consolas" w:hAnsi="Consolas" w:cs="Consolas" w:eastAsia="Consolas"/>
          <w:sz w:val="18"/>
        </w:rPr>
        <w:t>bbDate</w:t>
      </w:r>
      <w:r>
        <w:t xml:space="preserve"> 8 Ziffern JJJJMMTT, Charge und MHD vorhanden bei Artikeln mit Pflicht. [Annahme] Prüfungen in BC; die Regeln stammen aus der Referenzimplementierung (</w:t>
      </w:r>
      <w:r>
        <w:rPr>
          <w:rFonts w:ascii="Consolas" w:hAnsi="Consolas" w:cs="Consolas" w:eastAsia="Consolas"/>
          <w:sz w:val="18"/>
        </w:rPr>
        <w:t>validate_order</w:t>
      </w:r>
      <w:r>
        <w:t>) [belegt] .</w:t>
      </w:r>
    </w:p>
    <w:p>
      <w:pPr>
        <w:pStyle w:val="Heading3"/>
      </w:pPr>
      <w:r>
        <w:t>5.1.6 Schritt 6: Einlagerauftrag an WAMAS senden</w:t>
      </w:r>
    </w:p>
    <w:p>
      <w:r>
        <w:rPr>
          <w:b/>
        </w:rPr>
        <w:t>Rolle:</w:t>
      </w:r>
      <w:r>
        <w:t xml:space="preserve"> BC Dynamics → WAMAS</w:t>
      </w:r>
    </w:p>
    <w:p>
      <w:r>
        <w:t xml:space="preserve">BC Dynamics schickt als Host </w:t>
      </w:r>
      <w:r>
        <w:rPr>
          <w:rFonts w:ascii="Consolas" w:hAnsi="Consolas" w:cs="Consolas" w:eastAsia="Consolas"/>
          <w:sz w:val="18"/>
        </w:rPr>
        <w:t>WLSSD002</w:t>
      </w:r>
      <w:r>
        <w:t xml:space="preserve"> mit </w:t>
      </w:r>
      <w:r>
        <w:rPr>
          <w:rFonts w:ascii="Consolas" w:hAnsi="Consolas" w:cs="Consolas" w:eastAsia="Consolas"/>
          <w:sz w:val="18"/>
        </w:rPr>
        <w:t>WLSSDL002</w:t>
      </w:r>
      <w:r>
        <w:t xml:space="preserve">, </w:t>
      </w:r>
      <w:r>
        <w:rPr>
          <w:rFonts w:ascii="Consolas" w:hAnsi="Consolas" w:cs="Consolas" w:eastAsia="Consolas"/>
          <w:sz w:val="18"/>
        </w:rPr>
        <w:t>WLSSDEXTREF001</w:t>
      </w:r>
      <w:r>
        <w:t xml:space="preserve"> und </w:t>
      </w:r>
      <w:r>
        <w:rPr>
          <w:rFonts w:ascii="Consolas" w:hAnsi="Consolas" w:cs="Consolas" w:eastAsia="Consolas"/>
          <w:sz w:val="18"/>
        </w:rPr>
        <w:t>WLSSDLEXTREF001</w:t>
      </w:r>
      <w:r>
        <w:t xml:space="preserve"> per REST DI-API an WAMAS. Bei Fehler wird dasselbe Telegramm erneut gesendet, nicht neu erfasst. [belegt] Telegramm und DI-API. [Annahme] Sendemechanik in BC</w:t>
      </w:r>
    </w:p>
    <w:p>
      <w:r>
        <w:t xml:space="preserve">Referenz: In der WAMAS Web App entspricht das </w:t>
      </w:r>
      <w:r>
        <w:rPr>
          <w:rFonts w:ascii="Consolas" w:hAnsi="Consolas" w:cs="Consolas" w:eastAsia="Consolas"/>
          <w:sz w:val="18"/>
        </w:rPr>
        <w:t>POST /api/orders?send=true</w:t>
      </w:r>
      <w:r>
        <w:t xml:space="preserve"> bzw. </w:t>
      </w:r>
      <w:r>
        <w:rPr>
          <w:rFonts w:ascii="Consolas" w:hAnsi="Consolas" w:cs="Consolas" w:eastAsia="Consolas"/>
          <w:sz w:val="18"/>
        </w:rPr>
        <w:t>/api/wamas-rest/send</w:t>
      </w:r>
      <w:r>
        <w:t xml:space="preserve"> (escaped-JSON-Hülle).</w:t>
      </w:r>
    </w:p>
    <w:p>
      <w:pPr>
        <w:pStyle w:val="Heading3"/>
      </w:pPr>
      <w:r>
        <w:t>5.1.7 Schritt 7: Storage Demand anlegen</w:t>
      </w:r>
    </w:p>
    <w:p>
      <w:r>
        <w:rPr>
          <w:b/>
        </w:rPr>
        <w:t>Rolle:</w:t>
      </w:r>
      <w:r>
        <w:t xml:space="preserve"> WAMAS</w:t>
      </w:r>
    </w:p>
    <w:p>
      <w:r>
        <w:t xml:space="preserve">WAMAS übernimmt den Demand mit </w:t>
      </w:r>
      <w:r>
        <w:rPr>
          <w:rFonts w:ascii="Consolas" w:hAnsi="Consolas" w:cs="Consolas" w:eastAsia="Consolas"/>
          <w:sz w:val="18"/>
        </w:rPr>
        <w:t>typeId RECV</w:t>
      </w:r>
      <w:r>
        <w:t xml:space="preserve">, Zone </w:t>
      </w:r>
      <w:r>
        <w:rPr>
          <w:rFonts w:ascii="Consolas" w:hAnsi="Consolas" w:cs="Consolas" w:eastAsia="Consolas"/>
          <w:sz w:val="18"/>
        </w:rPr>
        <w:t>ZONEA</w:t>
      </w:r>
      <w:r>
        <w:t xml:space="preserve"> und je Position die Referenzzeile WAGE / KW-1042 / Fach. [belegt] Telegramminhalt. [Annahme] Freigabe- und Zuordnungslogik in WAMAS.</w:t>
      </w:r>
    </w:p>
    <w:p>
      <w:pPr>
        <w:pStyle w:val="Heading3"/>
      </w:pPr>
      <w:r>
        <w:t>5.1.8 Schritt 8: Einlagerung am Lift</w:t>
      </w:r>
    </w:p>
    <w:p>
      <w:r>
        <w:rPr>
          <w:b/>
        </w:rPr>
        <w:t>Rolle:</w:t>
      </w:r>
      <w:r>
        <w:t xml:space="preserve"> Lift-Bediener, WAMAS Touch</w:t>
      </w:r>
    </w:p>
    <w:p>
      <w:r>
        <w:t xml:space="preserve">Wagen wird zum Lift gefahren. Pro Position zeigt WAMAS Touch Artikel und Menge sowie „WAGE Nummer“ </w:t>
      </w:r>
      <w:r>
        <w:rPr>
          <w:rFonts w:ascii="Consolas" w:hAnsi="Consolas" w:cs="Consolas" w:eastAsia="Consolas"/>
          <w:sz w:val="18"/>
        </w:rPr>
        <w:t>KW-1042</w:t>
      </w:r>
      <w:r>
        <w:t xml:space="preserve"> und „Fach Nummer“ </w:t>
      </w:r>
      <w:r>
        <w:rPr>
          <w:rFonts w:ascii="Consolas" w:hAnsi="Consolas" w:cs="Consolas" w:eastAsia="Consolas"/>
          <w:sz w:val="18"/>
        </w:rPr>
        <w:t>A1</w:t>
      </w:r>
      <w:r>
        <w:t>; der Bediener nimmt die Ware aus genau diesem Fach und lagert sie ein. Bei Serienartikeln (</w:t>
      </w:r>
      <w:r>
        <w:rPr>
          <w:rFonts w:ascii="Consolas" w:hAnsi="Consolas" w:cs="Consolas" w:eastAsia="Consolas"/>
          <w:sz w:val="18"/>
        </w:rPr>
        <w:t>csiaIgRegistration01 MANDATORY</w:t>
      </w:r>
      <w:r>
        <w:t xml:space="preserve">) muss er die Seriennummer erfassen bzw. bestätigen [belegt] Pflichterfassung laut User Manual, [Annahme] genaue Maske. Bei Artikeln mit </w:t>
      </w:r>
      <w:r>
        <w:rPr>
          <w:rFonts w:ascii="Consolas" w:hAnsi="Consolas" w:cs="Consolas" w:eastAsia="Consolas"/>
          <w:sz w:val="18"/>
        </w:rPr>
        <w:t>igBatchRegistration</w:t>
      </w:r>
      <w:r>
        <w:t xml:space="preserve"> bzw. </w:t>
      </w:r>
      <w:r>
        <w:rPr>
          <w:rFonts w:ascii="Consolas" w:hAnsi="Consolas" w:cs="Consolas" w:eastAsia="Consolas"/>
          <w:sz w:val="18"/>
        </w:rPr>
        <w:t>igBbDateRegistration MANDATORY</w:t>
      </w:r>
      <w:r>
        <w:t xml:space="preserve"> gibt er Charge bzw. MHD ein oder bestätigt sie (User Manual 6.2.5.1: „enter additional information such as BBD, production date or batch“) [belegt] ; ob die Werte aus dem Telegramm vorbelegt sind [Annahme, zu prüfen] . [Annahme] Anzeige über die InfoElemente </w:t>
      </w:r>
      <w:r>
        <w:rPr>
          <w:rFonts w:ascii="Consolas" w:hAnsi="Consolas" w:cs="Consolas" w:eastAsia="Consolas"/>
          <w:sz w:val="18"/>
        </w:rPr>
        <w:t>DemandLineExtRefValue1/2</w:t>
      </w:r>
      <w:r>
        <w:t>; die Konfiguration ist belegt, der Bildschirm nicht.</w:t>
      </w:r>
    </w:p>
    <w:p>
      <w:pPr>
        <w:pStyle w:val="Heading3"/>
      </w:pPr>
      <w:r>
        <w:t>5.1.9 Schritt 9: Abschluss und Wagen frei</w:t>
      </w:r>
    </w:p>
    <w:p>
      <w:r>
        <w:rPr>
          <w:b/>
        </w:rPr>
        <w:t>Rolle:</w:t>
      </w:r>
      <w:r>
        <w:t xml:space="preserve"> WAMAS → BC Dynamics</w:t>
      </w:r>
    </w:p>
    <w:p>
      <w:r>
        <w:t xml:space="preserve">WAMAS meldet per ACK an HOST zurück (2.8 definiert ACK-Sets für SD inklusive ExtRef; ACK Main State </w:t>
      </w:r>
      <w:r>
        <w:rPr>
          <w:rFonts w:ascii="Consolas" w:hAnsi="Consolas" w:cs="Consolas" w:eastAsia="Consolas"/>
          <w:sz w:val="18"/>
        </w:rPr>
        <w:t>DRAFT, NEW, ACTIVE, FINISHED, ERROR</w:t>
      </w:r>
      <w:r>
        <w:t xml:space="preserve">). Bei </w:t>
      </w:r>
      <w:r>
        <w:rPr>
          <w:rFonts w:ascii="Consolas" w:hAnsi="Consolas" w:cs="Consolas" w:eastAsia="Consolas"/>
          <w:sz w:val="18"/>
        </w:rPr>
        <w:t>FINISHED</w:t>
      </w:r>
      <w:r>
        <w:t xml:space="preserve"> bestätigt BC Dynamics die Einlagerung und gibt den Wagen frei. [belegt] ACK-Enum laut </w:t>
      </w:r>
      <w:r>
        <w:rPr>
          <w:rFonts w:ascii="Consolas" w:hAnsi="Consolas" w:cs="Consolas" w:eastAsia="Consolas"/>
          <w:sz w:val="18"/>
        </w:rPr>
        <w:t>diff_2.7_to_2.8.md</w:t>
      </w:r>
      <w:r>
        <w:t>. [Annahme] Verarbeitung in BC und Wagenfreigabe.</w:t>
      </w:r>
    </w:p>
    <w:p>
      <w:r>
        <w:t xml:space="preserve">Referenz: Die WAMAS Web App empfängt ACKs unter </w:t>
      </w:r>
      <w:r>
        <w:rPr>
          <w:rFonts w:ascii="Consolas" w:hAnsi="Consolas" w:cs="Consolas" w:eastAsia="Consolas"/>
          <w:sz w:val="18"/>
        </w:rPr>
        <w:t>/di-api/v3/{partner}/messages</w:t>
      </w:r>
      <w:r>
        <w:t xml:space="preserve"> und legt sie in </w:t>
      </w:r>
      <w:r>
        <w:rPr>
          <w:rFonts w:ascii="Consolas" w:hAnsi="Consolas" w:cs="Consolas" w:eastAsia="Consolas"/>
          <w:sz w:val="18"/>
        </w:rPr>
        <w:t>wamas_inbox</w:t>
      </w:r>
      <w:r>
        <w:t xml:space="preserve"> ab.</w:t>
      </w:r>
    </w:p>
    <w:p>
      <w:pPr>
        <w:pStyle w:val="Quelle"/>
      </w:pPr>
      <w:r>
        <w:rPr>
          <w:b/>
        </w:rPr>
        <w:t xml:space="preserve">Quelle: </w:t>
      </w:r>
      <w:r>
        <w:rPr>
          <w:sz w:val="17"/>
        </w:rPr>
        <w:t>Vorgängerdokument v1.0, Kap. „Ablauf“; Belege je Aussage siehe Kennzeichnung und Quellenverzeichnis</w:t>
      </w:r>
    </w:p>
    <w:p>
      <w:pPr>
        <w:pStyle w:val="Heading1"/>
      </w:pPr>
      <w:r>
        <w:t>6 Sequenzdiagramm</w:t>
      </w:r>
    </w:p>
    <w:p>
      <w:pPr>
        <w:keepNext/>
      </w:pPr>
      <w:r>
        <w:drawing>
          <wp:inline xmlns:a="http://schemas.openxmlformats.org/drawingml/2006/main" xmlns:pic="http://schemas.openxmlformats.org/drawingml/2006/picture">
            <wp:extent cx="6048000" cy="4366286"/>
            <wp:docPr id="106" name="Picture 106"/>
            <wp:cNvGraphicFramePr>
              <a:graphicFrameLocks noChangeAspect="1"/>
            </wp:cNvGraphicFramePr>
            <a:graphic>
              <a:graphicData uri="http://schemas.openxmlformats.org/drawingml/2006/picture">
                <pic:pic>
                  <pic:nvPicPr>
                    <pic:cNvPr id="0" name="02_sequenz.png"/>
                    <pic:cNvPicPr/>
                  </pic:nvPicPr>
                  <pic:blipFill>
                    <a:blip r:embed="rId16"/>
                    <a:stretch>
                      <a:fillRect/>
                    </a:stretch>
                  </pic:blipFill>
                  <pic:spPr>
                    <a:xfrm>
                      <a:off x="0" y="0"/>
                      <a:ext cx="6048000" cy="4366286"/>
                    </a:xfrm>
                    <a:prstGeom prst="rect"/>
                  </pic:spPr>
                </pic:pic>
              </a:graphicData>
            </a:graphic>
          </wp:inline>
        </w:drawing>
      </w:r>
    </w:p>
    <w:p>
      <w:pPr>
        <w:pStyle w:val="BeschriftungSSI"/>
      </w:pPr>
      <w:r>
        <w:t>Abb. 3: Nachrichtenfluss zwischen Erfasser, BC Dynamics, WAMAS und Lift, inklusive Fehlerpfad beim Senden.</w:t>
      </w:r>
    </w:p>
    <w:p>
      <w:pPr>
        <w:pStyle w:val="Quelle"/>
      </w:pPr>
      <w:r>
        <w:rPr>
          <w:b/>
        </w:rPr>
        <w:t xml:space="preserve">Quelle: </w:t>
      </w:r>
      <w:r>
        <w:rPr>
          <w:sz w:val="17"/>
        </w:rPr>
        <w:t>Vorgängerdokument v1.0, Kap. „Sequenzdiagramm“; Belege je Aussage siehe Kennzeichnung und Quellenverzeichnis</w:t>
      </w:r>
    </w:p>
    <w:p>
      <w:pPr>
        <w:pStyle w:val="Heading1"/>
      </w:pPr>
      <w:r>
        <w:t>7 Feld-Mapping: externe Referenz, Lieferschein, Zusatzinfos, Seriennummer</w:t>
      </w:r>
    </w:p>
    <w:p>
      <w:pPr>
        <w:pStyle w:val="Heading2"/>
      </w:pPr>
      <w:r>
        <w:t>7.1 Kommissionierwagen und Ware → externe Referenz (Empfehlung für die Schnittstelle BC Dynamics zu WAMAS)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98"/>
        <w:gridCol w:w="1781"/>
        <w:gridCol w:w="1532"/>
        <w:gridCol w:w="1449"/>
        <w:gridCol w:w="1365"/>
        <w:gridCol w:w="1698"/>
      </w:tblGrid>
      <w:tr>
        <w:trPr>
          <w:tblHeader w:val="true"/>
        </w:trPr>
        <w:tc>
          <w:tcPr>
            <w:tcW w:type="dxa" w:w="1698"/>
            <w:shd w:val="clear" w:color="auto" w:fill="FEEE19"/>
          </w:tcPr>
          <w:p>
            <w:pPr>
              <w:spacing w:after="0"/>
            </w:pPr>
            <w:r>
              <w:rPr>
                <w:b/>
                <w:sz w:val="17"/>
              </w:rPr>
              <w:t>Information</w:t>
            </w:r>
          </w:p>
        </w:tc>
        <w:tc>
          <w:tcPr>
            <w:tcW w:type="dxa" w:w="1781"/>
            <w:shd w:val="clear" w:color="auto" w:fill="FEEE19"/>
          </w:tcPr>
          <w:p>
            <w:pPr>
              <w:spacing w:after="0"/>
            </w:pPr>
            <w:r>
              <w:rPr>
                <w:b/>
                <w:sz w:val="17"/>
              </w:rPr>
              <w:t>Herkunft in BC Dynamics</w:t>
            </w:r>
          </w:p>
        </w:tc>
        <w:tc>
          <w:tcPr>
            <w:tcW w:type="dxa" w:w="1532"/>
            <w:shd w:val="clear" w:color="auto" w:fill="FEEE19"/>
          </w:tcPr>
          <w:p>
            <w:pPr>
              <w:spacing w:after="0"/>
            </w:pPr>
            <w:r>
              <w:rPr>
                <w:b/>
                <w:sz w:val="17"/>
              </w:rPr>
              <w:t>Record</w:t>
            </w:r>
          </w:p>
        </w:tc>
        <w:tc>
          <w:tcPr>
            <w:tcW w:type="dxa" w:w="1449"/>
            <w:shd w:val="clear" w:color="auto" w:fill="FEEE19"/>
          </w:tcPr>
          <w:p>
            <w:pPr>
              <w:spacing w:after="0"/>
            </w:pPr>
            <w:r>
              <w:rPr>
                <w:b/>
                <w:sz w:val="17"/>
              </w:rPr>
              <w:t>Zielfeld</w:t>
            </w:r>
          </w:p>
        </w:tc>
        <w:tc>
          <w:tcPr>
            <w:tcW w:type="dxa" w:w="1366"/>
            <w:shd w:val="clear" w:color="auto" w:fill="FEEE19"/>
          </w:tcPr>
          <w:p>
            <w:pPr>
              <w:spacing w:after="0"/>
            </w:pPr>
            <w:r>
              <w:rPr>
                <w:b/>
                <w:sz w:val="17"/>
              </w:rPr>
              <w:t>Beispiel</w:t>
            </w:r>
          </w:p>
        </w:tc>
        <w:tc>
          <w:tcPr>
            <w:tcW w:type="dxa" w:w="1698"/>
            <w:shd w:val="clear" w:color="auto" w:fill="FEEE19"/>
          </w:tcPr>
          <w:p>
            <w:pPr>
              <w:spacing w:after="0"/>
            </w:pPr>
            <w:r>
              <w:rPr>
                <w:b/>
                <w:sz w:val="17"/>
              </w:rPr>
              <w:t>Referenz Web App (Label)</w:t>
            </w:r>
          </w:p>
        </w:tc>
      </w:tr>
      <w:tr>
        <w:tc>
          <w:tcPr>
            <w:tcW w:type="dxa" w:w="1698"/>
          </w:tcPr>
          <w:p>
            <w:pPr>
              <w:spacing w:after="0" w:line="252" w:lineRule="auto"/>
            </w:pPr>
            <w:r>
              <w:rPr>
                <w:sz w:val="17"/>
              </w:rPr>
              <w:t>Art der Referenz „Wagen“</w:t>
            </w:r>
          </w:p>
        </w:tc>
        <w:tc>
          <w:tcPr>
            <w:tcW w:type="dxa" w:w="1781"/>
          </w:tcPr>
          <w:p>
            <w:pPr>
              <w:spacing w:after="0" w:line="252" w:lineRule="auto"/>
            </w:pPr>
            <w:r>
              <w:rPr>
                <w:sz w:val="17"/>
              </w:rPr>
              <w:t>fest</w:t>
            </w:r>
          </w:p>
        </w:tc>
        <w:tc>
          <w:tcPr>
            <w:tcW w:type="dxa" w:w="1532"/>
          </w:tcPr>
          <w:p>
            <w:pPr>
              <w:spacing w:after="0" w:line="252" w:lineRule="auto"/>
            </w:pPr>
            <w:r>
              <w:rPr>
                <w:sz w:val="17"/>
              </w:rPr>
              <w:t>WLSSDLEXTREF001</w:t>
            </w:r>
          </w:p>
        </w:tc>
        <w:tc>
          <w:tcPr>
            <w:tcW w:type="dxa" w:w="1449"/>
          </w:tcPr>
          <w:p>
            <w:pPr>
              <w:spacing w:after="0" w:line="252" w:lineRule="auto"/>
            </w:pPr>
            <w:r>
              <w:rPr>
                <w:rFonts w:ascii="Consolas" w:hAnsi="Consolas" w:cs="Consolas" w:eastAsia="Consolas"/>
                <w:sz w:val="15"/>
              </w:rPr>
              <w:t>extRefKey</w:t>
            </w:r>
          </w:p>
        </w:tc>
        <w:tc>
          <w:tcPr>
            <w:tcW w:type="dxa" w:w="1366"/>
          </w:tcPr>
          <w:p>
            <w:pPr>
              <w:spacing w:after="0" w:line="252" w:lineRule="auto"/>
            </w:pPr>
            <w:r>
              <w:rPr>
                <w:rFonts w:ascii="Consolas" w:hAnsi="Consolas" w:cs="Consolas" w:eastAsia="Consolas"/>
                <w:sz w:val="15"/>
              </w:rPr>
              <w:t>WAGE</w:t>
            </w:r>
          </w:p>
        </w:tc>
        <w:tc>
          <w:tcPr>
            <w:tcW w:type="dxa" w:w="1698"/>
          </w:tcPr>
          <w:p>
            <w:pPr>
              <w:spacing w:after="0" w:line="252" w:lineRule="auto"/>
            </w:pPr>
            <w:r>
              <w:rPr>
                <w:sz w:val="17"/>
              </w:rPr>
              <w:t>Referenzschlüssel</w:t>
            </w:r>
          </w:p>
        </w:tc>
      </w:tr>
      <w:tr>
        <w:tc>
          <w:tcPr>
            <w:tcW w:type="dxa" w:w="1698"/>
          </w:tcPr>
          <w:p>
            <w:pPr>
              <w:spacing w:after="0" w:line="252" w:lineRule="auto"/>
            </w:pPr>
            <w:r>
              <w:rPr>
                <w:sz w:val="17"/>
              </w:rPr>
              <w:t>Gesamtwagennummer</w:t>
            </w:r>
          </w:p>
        </w:tc>
        <w:tc>
          <w:tcPr>
            <w:tcW w:type="dxa" w:w="1781"/>
          </w:tcPr>
          <w:p>
            <w:pPr>
              <w:spacing w:after="0" w:line="252" w:lineRule="auto"/>
            </w:pPr>
            <w:r>
              <w:rPr>
                <w:sz w:val="17"/>
              </w:rPr>
              <w:t>QR Deichsel / linker Teil Fach-QR</w:t>
            </w:r>
          </w:p>
        </w:tc>
        <w:tc>
          <w:tcPr>
            <w:tcW w:type="dxa" w:w="1532"/>
          </w:tcPr>
          <w:p>
            <w:pPr>
              <w:spacing w:after="0" w:line="252" w:lineRule="auto"/>
            </w:pPr>
            <w:r>
              <w:rPr>
                <w:sz w:val="17"/>
              </w:rPr>
              <w:t>WLSSDLEXTREF001</w:t>
            </w:r>
          </w:p>
        </w:tc>
        <w:tc>
          <w:tcPr>
            <w:tcW w:type="dxa" w:w="1449"/>
          </w:tcPr>
          <w:p>
            <w:pPr>
              <w:spacing w:after="0" w:line="252" w:lineRule="auto"/>
            </w:pPr>
            <w:r>
              <w:rPr>
                <w:rFonts w:ascii="Consolas" w:hAnsi="Consolas" w:cs="Consolas" w:eastAsia="Consolas"/>
                <w:sz w:val="15"/>
              </w:rPr>
              <w:t>extRefVal1</w:t>
            </w:r>
          </w:p>
        </w:tc>
        <w:tc>
          <w:tcPr>
            <w:tcW w:type="dxa" w:w="1366"/>
          </w:tcPr>
          <w:p>
            <w:pPr>
              <w:spacing w:after="0" w:line="252" w:lineRule="auto"/>
            </w:pPr>
            <w:r>
              <w:rPr>
                <w:rFonts w:ascii="Consolas" w:hAnsi="Consolas" w:cs="Consolas" w:eastAsia="Consolas"/>
                <w:sz w:val="15"/>
              </w:rPr>
              <w:t>KW-1042</w:t>
            </w:r>
          </w:p>
        </w:tc>
        <w:tc>
          <w:tcPr>
            <w:tcW w:type="dxa" w:w="1698"/>
          </w:tcPr>
          <w:p>
            <w:pPr>
              <w:spacing w:after="0" w:line="252" w:lineRule="auto"/>
            </w:pPr>
            <w:r>
              <w:rPr>
                <w:sz w:val="17"/>
              </w:rPr>
              <w:t>Referenzwert 1</w:t>
            </w:r>
          </w:p>
        </w:tc>
      </w:tr>
      <w:tr>
        <w:tc>
          <w:tcPr>
            <w:tcW w:type="dxa" w:w="1698"/>
          </w:tcPr>
          <w:p>
            <w:pPr>
              <w:spacing w:after="0" w:line="252" w:lineRule="auto"/>
            </w:pPr>
            <w:r>
              <w:rPr>
                <w:sz w:val="17"/>
              </w:rPr>
              <w:t>Fach-Lokation auf dem Wagen</w:t>
            </w:r>
          </w:p>
        </w:tc>
        <w:tc>
          <w:tcPr>
            <w:tcW w:type="dxa" w:w="1781"/>
          </w:tcPr>
          <w:p>
            <w:pPr>
              <w:spacing w:after="0" w:line="252" w:lineRule="auto"/>
            </w:pPr>
            <w:r>
              <w:rPr>
                <w:sz w:val="17"/>
              </w:rPr>
              <w:t>rechter Teil Fach-QR</w:t>
            </w:r>
          </w:p>
        </w:tc>
        <w:tc>
          <w:tcPr>
            <w:tcW w:type="dxa" w:w="1532"/>
          </w:tcPr>
          <w:p>
            <w:pPr>
              <w:spacing w:after="0" w:line="252" w:lineRule="auto"/>
            </w:pPr>
            <w:r>
              <w:rPr>
                <w:sz w:val="17"/>
              </w:rPr>
              <w:t>WLSSDLEXTREF001</w:t>
            </w:r>
          </w:p>
        </w:tc>
        <w:tc>
          <w:tcPr>
            <w:tcW w:type="dxa" w:w="1449"/>
          </w:tcPr>
          <w:p>
            <w:pPr>
              <w:spacing w:after="0" w:line="252" w:lineRule="auto"/>
            </w:pPr>
            <w:r>
              <w:rPr>
                <w:rFonts w:ascii="Consolas" w:hAnsi="Consolas" w:cs="Consolas" w:eastAsia="Consolas"/>
                <w:sz w:val="15"/>
              </w:rPr>
              <w:t>extRefVal2</w:t>
            </w:r>
          </w:p>
        </w:tc>
        <w:tc>
          <w:tcPr>
            <w:tcW w:type="dxa" w:w="1366"/>
          </w:tcPr>
          <w:p>
            <w:pPr>
              <w:spacing w:after="0" w:line="252" w:lineRule="auto"/>
            </w:pPr>
            <w:r>
              <w:rPr>
                <w:rFonts w:ascii="Consolas" w:hAnsi="Consolas" w:cs="Consolas" w:eastAsia="Consolas"/>
                <w:sz w:val="15"/>
              </w:rPr>
              <w:t>A1</w:t>
            </w:r>
          </w:p>
        </w:tc>
        <w:tc>
          <w:tcPr>
            <w:tcW w:type="dxa" w:w="1698"/>
          </w:tcPr>
          <w:p>
            <w:pPr>
              <w:spacing w:after="0" w:line="252" w:lineRule="auto"/>
            </w:pPr>
            <w:r>
              <w:rPr>
                <w:sz w:val="17"/>
              </w:rPr>
              <w:t>Referenzwert 2</w:t>
            </w:r>
          </w:p>
        </w:tc>
      </w:tr>
      <w:tr>
        <w:tc>
          <w:tcPr>
            <w:tcW w:type="dxa" w:w="1698"/>
          </w:tcPr>
          <w:p>
            <w:pPr>
              <w:spacing w:after="0" w:line="252" w:lineRule="auto"/>
            </w:pPr>
            <w:r>
              <w:rPr>
                <w:sz w:val="17"/>
              </w:rPr>
              <w:t>Zuordnung zur Position</w:t>
            </w:r>
          </w:p>
        </w:tc>
        <w:tc>
          <w:tcPr>
            <w:tcW w:type="dxa" w:w="1781"/>
          </w:tcPr>
          <w:p>
            <w:pPr>
              <w:spacing w:after="0" w:line="252" w:lineRule="auto"/>
            </w:pPr>
            <w:r>
              <w:rPr>
                <w:sz w:val="17"/>
              </w:rPr>
              <w:t>Mandant (Konstante), Auftragsnummer des Kopfs, Zeilennummer der Position, in der der Block steht</w:t>
            </w:r>
          </w:p>
        </w:tc>
        <w:tc>
          <w:tcPr>
            <w:tcW w:type="dxa" w:w="1532"/>
          </w:tcPr>
          <w:p>
            <w:pPr>
              <w:spacing w:after="0" w:line="252" w:lineRule="auto"/>
            </w:pPr>
            <w:r>
              <w:rPr>
                <w:sz w:val="17"/>
              </w:rPr>
              <w:t>WLSSDLEXTREF001 (Liste in WLSSDL002)</w:t>
            </w:r>
          </w:p>
        </w:tc>
        <w:tc>
          <w:tcPr>
            <w:tcW w:type="dxa" w:w="1449"/>
          </w:tcPr>
          <w:p>
            <w:pPr>
              <w:spacing w:after="0" w:line="252" w:lineRule="auto"/>
            </w:pPr>
            <w:r>
              <w:rPr>
                <w:rFonts w:ascii="Consolas" w:hAnsi="Consolas" w:cs="Consolas" w:eastAsia="Consolas"/>
                <w:sz w:val="15"/>
              </w:rPr>
              <w:t>clientId</w:t>
            </w:r>
            <w:r>
              <w:rPr>
                <w:sz w:val="17"/>
              </w:rPr>
              <w:t xml:space="preserve">, </w:t>
            </w:r>
            <w:r>
              <w:rPr>
                <w:rFonts w:ascii="Consolas" w:hAnsi="Consolas" w:cs="Consolas" w:eastAsia="Consolas"/>
                <w:sz w:val="15"/>
              </w:rPr>
              <w:t>demandNo</w:t>
            </w:r>
            <w:r>
              <w:rPr>
                <w:sz w:val="17"/>
              </w:rPr>
              <w:t xml:space="preserve">, </w:t>
            </w:r>
            <w:r>
              <w:rPr>
                <w:rFonts w:ascii="Consolas" w:hAnsi="Consolas" w:cs="Consolas" w:eastAsia="Consolas"/>
                <w:sz w:val="15"/>
              </w:rPr>
              <w:t>sysPartnerLine</w:t>
            </w:r>
          </w:p>
        </w:tc>
        <w:tc>
          <w:tcPr>
            <w:tcW w:type="dxa" w:w="1366"/>
          </w:tcPr>
          <w:p>
            <w:pPr>
              <w:spacing w:after="0" w:line="252" w:lineRule="auto"/>
            </w:pPr>
            <w:r>
              <w:rPr>
                <w:rFonts w:ascii="Consolas" w:hAnsi="Consolas" w:cs="Consolas" w:eastAsia="Consolas"/>
                <w:sz w:val="15"/>
              </w:rPr>
              <w:t>DEFAULT</w:t>
            </w:r>
            <w:r>
              <w:rPr>
                <w:sz w:val="17"/>
              </w:rPr>
              <w:t xml:space="preserve">, </w:t>
            </w:r>
            <w:r>
              <w:rPr>
                <w:rFonts w:ascii="Consolas" w:hAnsi="Consolas" w:cs="Consolas" w:eastAsia="Consolas"/>
                <w:sz w:val="15"/>
              </w:rPr>
              <w:t>Einl00000043</w:t>
            </w:r>
            <w:r>
              <w:rPr>
                <w:sz w:val="17"/>
              </w:rPr>
              <w:t xml:space="preserve">, </w:t>
            </w:r>
            <w:r>
              <w:rPr>
                <w:rFonts w:ascii="Consolas" w:hAnsi="Consolas" w:cs="Consolas" w:eastAsia="Consolas"/>
                <w:sz w:val="15"/>
              </w:rPr>
              <w:t>1</w:t>
            </w:r>
            <w:r>
              <w:rPr>
                <w:sz w:val="17"/>
              </w:rPr>
              <w:t xml:space="preserve"> (echt Einl000031: </w:t>
            </w:r>
            <w:r>
              <w:rPr>
                <w:rFonts w:ascii="Consolas" w:hAnsi="Consolas" w:cs="Consolas" w:eastAsia="Consolas"/>
                <w:sz w:val="15"/>
              </w:rPr>
              <w:t>DEFAULT</w:t>
            </w:r>
            <w:r>
              <w:rPr>
                <w:sz w:val="17"/>
              </w:rPr>
              <w:t xml:space="preserve">, </w:t>
            </w:r>
            <w:r>
              <w:rPr>
                <w:rFonts w:ascii="Consolas" w:hAnsi="Consolas" w:cs="Consolas" w:eastAsia="Consolas"/>
                <w:sz w:val="15"/>
              </w:rPr>
              <w:t>Einl000031</w:t>
            </w:r>
            <w:r>
              <w:rPr>
                <w:sz w:val="17"/>
              </w:rPr>
              <w:t xml:space="preserve">, </w:t>
            </w:r>
            <w:r>
              <w:rPr>
                <w:rFonts w:ascii="Consolas" w:hAnsi="Consolas" w:cs="Consolas" w:eastAsia="Consolas"/>
                <w:sz w:val="15"/>
              </w:rPr>
              <w:t>1</w:t>
            </w:r>
            <w:r>
              <w:rPr>
                <w:sz w:val="17"/>
              </w:rPr>
              <w:t xml:space="preserve"> bis </w:t>
            </w:r>
            <w:r>
              <w:rPr>
                <w:rFonts w:ascii="Consolas" w:hAnsi="Consolas" w:cs="Consolas" w:eastAsia="Consolas"/>
                <w:sz w:val="15"/>
              </w:rPr>
              <w:t>3</w:t>
            </w:r>
            <w:r>
              <w:rPr>
                <w:sz w:val="17"/>
              </w:rPr>
              <w:t>)</w:t>
            </w:r>
          </w:p>
        </w:tc>
        <w:tc>
          <w:tcPr>
            <w:tcW w:type="dxa" w:w="1698"/>
          </w:tcPr>
          <w:p>
            <w:pPr>
              <w:spacing w:after="0" w:line="252" w:lineRule="auto"/>
            </w:pPr>
            <w:r>
              <w:rPr>
                <w:sz w:val="17"/>
              </w:rPr>
              <w:t>automatisch, Pflicht für die Verknüpfung</w:t>
            </w:r>
          </w:p>
        </w:tc>
      </w:tr>
      <w:tr>
        <w:tc>
          <w:tcPr>
            <w:tcW w:type="dxa" w:w="1698"/>
          </w:tcPr>
          <w:p>
            <w:pPr>
              <w:spacing w:after="0" w:line="252" w:lineRule="auto"/>
            </w:pPr>
            <w:r>
              <w:rPr>
                <w:sz w:val="17"/>
              </w:rPr>
              <w:t>Ware im Fach</w:t>
            </w:r>
          </w:p>
        </w:tc>
        <w:tc>
          <w:tcPr>
            <w:tcW w:type="dxa" w:w="1781"/>
          </w:tcPr>
          <w:p>
            <w:pPr>
              <w:spacing w:after="0" w:line="252" w:lineRule="auto"/>
            </w:pPr>
            <w:r>
              <w:rPr>
                <w:sz w:val="17"/>
              </w:rPr>
              <w:t>Erfassung je Fach</w:t>
            </w:r>
          </w:p>
        </w:tc>
        <w:tc>
          <w:tcPr>
            <w:tcW w:type="dxa" w:w="1532"/>
          </w:tcPr>
          <w:p>
            <w:pPr>
              <w:spacing w:after="0" w:line="252" w:lineRule="auto"/>
            </w:pPr>
            <w:r>
              <w:rPr>
                <w:sz w:val="17"/>
              </w:rPr>
              <w:t>WLSSDL002</w:t>
            </w:r>
          </w:p>
        </w:tc>
        <w:tc>
          <w:tcPr>
            <w:tcW w:type="dxa" w:w="1449"/>
          </w:tcPr>
          <w:p>
            <w:pPr>
              <w:spacing w:after="0" w:line="252" w:lineRule="auto"/>
            </w:pPr>
            <w:r>
              <w:rPr>
                <w:rFonts w:ascii="Consolas" w:hAnsi="Consolas" w:cs="Consolas" w:eastAsia="Consolas"/>
                <w:sz w:val="15"/>
              </w:rPr>
              <w:t>itemNo</w:t>
            </w:r>
            <w:r>
              <w:rPr>
                <w:sz w:val="17"/>
              </w:rPr>
              <w:t xml:space="preserve">, </w:t>
            </w:r>
            <w:r>
              <w:rPr>
                <w:rFonts w:ascii="Consolas" w:hAnsi="Consolas" w:cs="Consolas" w:eastAsia="Consolas"/>
                <w:sz w:val="15"/>
              </w:rPr>
              <w:t>baseQty</w:t>
            </w:r>
            <w:r>
              <w:rPr>
                <w:sz w:val="17"/>
              </w:rPr>
              <w:t xml:space="preserve">, </w:t>
            </w:r>
            <w:r>
              <w:rPr>
                <w:rFonts w:ascii="Consolas" w:hAnsi="Consolas" w:cs="Consolas" w:eastAsia="Consolas"/>
                <w:sz w:val="15"/>
              </w:rPr>
              <w:t>batch</w:t>
            </w:r>
          </w:p>
        </w:tc>
        <w:tc>
          <w:tcPr>
            <w:tcW w:type="dxa" w:w="1366"/>
          </w:tcPr>
          <w:p>
            <w:pPr>
              <w:spacing w:after="0" w:line="252" w:lineRule="auto"/>
            </w:pPr>
            <w:r>
              <w:rPr>
                <w:rFonts w:ascii="Consolas" w:hAnsi="Consolas" w:cs="Consolas" w:eastAsia="Consolas"/>
                <w:sz w:val="15"/>
              </w:rPr>
              <w:t>HAMMER-01</w:t>
            </w:r>
            <w:r>
              <w:rPr>
                <w:sz w:val="17"/>
              </w:rPr>
              <w:t xml:space="preserve">, </w:t>
            </w:r>
            <w:r>
              <w:rPr>
                <w:rFonts w:ascii="Consolas" w:hAnsi="Consolas" w:cs="Consolas" w:eastAsia="Consolas"/>
                <w:sz w:val="15"/>
              </w:rPr>
              <w:t>2.0</w:t>
            </w:r>
            <w:r>
              <w:rPr>
                <w:sz w:val="17"/>
              </w:rPr>
              <w:t xml:space="preserve">, </w:t>
            </w:r>
            <w:r>
              <w:rPr>
                <w:rFonts w:ascii="Consolas" w:hAnsi="Consolas" w:cs="Consolas" w:eastAsia="Consolas"/>
                <w:sz w:val="15"/>
              </w:rPr>
              <w:t>CH-2401</w:t>
            </w:r>
          </w:p>
        </w:tc>
        <w:tc>
          <w:tcPr>
            <w:tcW w:type="dxa" w:w="1698"/>
          </w:tcPr>
          <w:p>
            <w:pPr>
              <w:spacing w:after="0" w:line="252" w:lineRule="auto"/>
            </w:pPr>
            <w:r>
              <w:rPr>
                <w:sz w:val="17"/>
              </w:rPr>
              <w:t>Artikel, Menge, Charge</w:t>
            </w:r>
          </w:p>
        </w:tc>
      </w:tr>
      <w:tr>
        <w:tc>
          <w:tcPr>
            <w:tcW w:type="dxa" w:w="1698"/>
          </w:tcPr>
          <w:p>
            <w:pPr>
              <w:spacing w:after="0" w:line="252" w:lineRule="auto"/>
            </w:pPr>
            <w:r>
              <w:rPr>
                <w:sz w:val="17"/>
              </w:rPr>
              <w:t>Lieferschein (Standard)</w:t>
            </w:r>
          </w:p>
        </w:tc>
        <w:tc>
          <w:tcPr>
            <w:tcW w:type="dxa" w:w="1781"/>
          </w:tcPr>
          <w:p>
            <w:pPr>
              <w:spacing w:after="0" w:line="252" w:lineRule="auto"/>
            </w:pPr>
            <w:r>
              <w:rPr>
                <w:sz w:val="17"/>
              </w:rPr>
              <w:t>Lieferscheinnummer</w:t>
            </w:r>
          </w:p>
        </w:tc>
        <w:tc>
          <w:tcPr>
            <w:tcW w:type="dxa" w:w="1532"/>
          </w:tcPr>
          <w:p>
            <w:pPr>
              <w:spacing w:after="0" w:line="252" w:lineRule="auto"/>
            </w:pPr>
            <w:r>
              <w:rPr>
                <w:sz w:val="17"/>
              </w:rPr>
              <w:t>WLSSD002</w:t>
            </w:r>
          </w:p>
        </w:tc>
        <w:tc>
          <w:tcPr>
            <w:tcW w:type="dxa" w:w="1449"/>
          </w:tcPr>
          <w:p>
            <w:pPr>
              <w:spacing w:after="0" w:line="252" w:lineRule="auto"/>
            </w:pPr>
            <w:r>
              <w:rPr>
                <w:rFonts w:ascii="Consolas" w:hAnsi="Consolas" w:cs="Consolas" w:eastAsia="Consolas"/>
                <w:sz w:val="15"/>
              </w:rPr>
              <w:t>noteNo</w:t>
            </w:r>
            <w:r>
              <w:rPr>
                <w:sz w:val="17"/>
              </w:rPr>
              <w:t xml:space="preserve"> (max. 18)</w:t>
            </w:r>
          </w:p>
        </w:tc>
        <w:tc>
          <w:tcPr>
            <w:tcW w:type="dxa" w:w="1366"/>
          </w:tcPr>
          <w:p>
            <w:pPr>
              <w:spacing w:after="0" w:line="252" w:lineRule="auto"/>
            </w:pPr>
            <w:r>
              <w:rPr>
                <w:rFonts w:ascii="Consolas" w:hAnsi="Consolas" w:cs="Consolas" w:eastAsia="Consolas"/>
                <w:sz w:val="15"/>
              </w:rPr>
              <w:t>LS-8891</w:t>
            </w:r>
          </w:p>
        </w:tc>
        <w:tc>
          <w:tcPr>
            <w:tcW w:type="dxa" w:w="1698"/>
          </w:tcPr>
          <w:p>
            <w:pPr>
              <w:spacing w:after="0" w:line="252" w:lineRule="auto"/>
            </w:pPr>
            <w:r>
              <w:rPr>
                <w:sz w:val="17"/>
              </w:rPr>
              <w:t>Scheinnummer (noteNo)</w:t>
            </w:r>
          </w:p>
        </w:tc>
      </w:tr>
      <w:tr>
        <w:tc>
          <w:tcPr>
            <w:tcW w:type="dxa" w:w="1698"/>
          </w:tcPr>
          <w:p>
            <w:pPr>
              <w:spacing w:after="0" w:line="252" w:lineRule="auto"/>
            </w:pPr>
            <w:r>
              <w:rPr>
                <w:sz w:val="17"/>
              </w:rPr>
              <w:t>Lieferschein mit Bestellung (optional zusätzlich)</w:t>
            </w:r>
          </w:p>
        </w:tc>
        <w:tc>
          <w:tcPr>
            <w:tcW w:type="dxa" w:w="1781"/>
          </w:tcPr>
          <w:p>
            <w:pPr>
              <w:spacing w:after="0" w:line="252" w:lineRule="auto"/>
            </w:pPr>
            <w:r>
              <w:rPr>
                <w:sz w:val="17"/>
              </w:rPr>
              <w:t>Lieferschein / Bestellung</w:t>
            </w:r>
          </w:p>
        </w:tc>
        <w:tc>
          <w:tcPr>
            <w:tcW w:type="dxa" w:w="1532"/>
          </w:tcPr>
          <w:p>
            <w:pPr>
              <w:spacing w:after="0" w:line="252" w:lineRule="auto"/>
            </w:pPr>
            <w:r>
              <w:rPr>
                <w:sz w:val="17"/>
              </w:rPr>
              <w:t>WLSSDEXTREF001</w:t>
            </w:r>
          </w:p>
        </w:tc>
        <w:tc>
          <w:tcPr>
            <w:tcW w:type="dxa" w:w="1449"/>
          </w:tcPr>
          <w:p>
            <w:pPr>
              <w:spacing w:after="0" w:line="252" w:lineRule="auto"/>
            </w:pPr>
            <w:r>
              <w:rPr>
                <w:rFonts w:ascii="Consolas" w:hAnsi="Consolas" w:cs="Consolas" w:eastAsia="Consolas"/>
                <w:sz w:val="15"/>
              </w:rPr>
              <w:t>extRefKey</w:t>
            </w:r>
            <w:r>
              <w:rPr>
                <w:sz w:val="17"/>
              </w:rPr>
              <w:t xml:space="preserve">, </w:t>
            </w:r>
            <w:r>
              <w:rPr>
                <w:rFonts w:ascii="Consolas" w:hAnsi="Consolas" w:cs="Consolas" w:eastAsia="Consolas"/>
                <w:sz w:val="15"/>
              </w:rPr>
              <w:t>extRefVal1</w:t>
            </w:r>
            <w:r>
              <w:rPr>
                <w:sz w:val="17"/>
              </w:rPr>
              <w:t xml:space="preserve">, </w:t>
            </w:r>
            <w:r>
              <w:rPr>
                <w:rFonts w:ascii="Consolas" w:hAnsi="Consolas" w:cs="Consolas" w:eastAsia="Consolas"/>
                <w:sz w:val="15"/>
              </w:rPr>
              <w:t>extRefVal2</w:t>
            </w:r>
          </w:p>
        </w:tc>
        <w:tc>
          <w:tcPr>
            <w:tcW w:type="dxa" w:w="1366"/>
          </w:tcPr>
          <w:p>
            <w:pPr>
              <w:spacing w:after="0" w:line="252" w:lineRule="auto"/>
            </w:pPr>
            <w:r>
              <w:rPr>
                <w:rFonts w:ascii="Consolas" w:hAnsi="Consolas" w:cs="Consolas" w:eastAsia="Consolas"/>
                <w:sz w:val="15"/>
              </w:rPr>
              <w:t>LIEFERSCHEIN</w:t>
            </w:r>
            <w:r>
              <w:rPr>
                <w:sz w:val="17"/>
              </w:rPr>
              <w:t xml:space="preserve">, </w:t>
            </w:r>
            <w:r>
              <w:rPr>
                <w:rFonts w:ascii="Consolas" w:hAnsi="Consolas" w:cs="Consolas" w:eastAsia="Consolas"/>
                <w:sz w:val="15"/>
              </w:rPr>
              <w:t>LS-8891</w:t>
            </w:r>
            <w:r>
              <w:rPr>
                <w:sz w:val="17"/>
              </w:rPr>
              <w:t xml:space="preserve">, </w:t>
            </w:r>
            <w:r>
              <w:rPr>
                <w:rFonts w:ascii="Consolas" w:hAnsi="Consolas" w:cs="Consolas" w:eastAsia="Consolas"/>
                <w:sz w:val="15"/>
              </w:rPr>
              <w:t>4500123456</w:t>
            </w:r>
          </w:p>
        </w:tc>
        <w:tc>
          <w:tcPr>
            <w:tcW w:type="dxa" w:w="1698"/>
          </w:tcPr>
          <w:p>
            <w:pPr>
              <w:spacing w:after="0" w:line="252" w:lineRule="auto"/>
            </w:pPr>
            <w:r>
              <w:rPr>
                <w:sz w:val="17"/>
              </w:rPr>
              <w:t>Referenzschlüssel Auftrag, Referenzwert 1/2</w:t>
            </w:r>
          </w:p>
        </w:tc>
      </w:tr>
      <w:tr>
        <w:tc>
          <w:tcPr>
            <w:tcW w:type="dxa" w:w="1698"/>
          </w:tcPr>
          <w:p>
            <w:pPr>
              <w:spacing w:after="0" w:line="252" w:lineRule="auto"/>
            </w:pPr>
            <w:r>
              <w:rPr>
                <w:sz w:val="17"/>
              </w:rPr>
              <w:t>Zusatzinformation (optional)</w:t>
            </w:r>
          </w:p>
        </w:tc>
        <w:tc>
          <w:tcPr>
            <w:tcW w:type="dxa" w:w="1781"/>
          </w:tcPr>
          <w:p>
            <w:pPr>
              <w:spacing w:after="0" w:line="252" w:lineRule="auto"/>
            </w:pPr>
            <w:r>
              <w:rPr>
                <w:sz w:val="17"/>
              </w:rPr>
              <w:t>frei</w:t>
            </w:r>
          </w:p>
        </w:tc>
        <w:tc>
          <w:tcPr>
            <w:tcW w:type="dxa" w:w="1532"/>
          </w:tcPr>
          <w:p>
            <w:pPr>
              <w:spacing w:after="0" w:line="252" w:lineRule="auto"/>
            </w:pPr>
            <w:r>
              <w:rPr>
                <w:sz w:val="17"/>
              </w:rPr>
              <w:t>WLSSD002</w:t>
            </w:r>
          </w:p>
        </w:tc>
        <w:tc>
          <w:tcPr>
            <w:tcW w:type="dxa" w:w="1449"/>
          </w:tcPr>
          <w:p>
            <w:pPr>
              <w:spacing w:after="0" w:line="252" w:lineRule="auto"/>
            </w:pPr>
            <w:r>
              <w:rPr>
                <w:rFonts w:ascii="Consolas" w:hAnsi="Consolas" w:cs="Consolas" w:eastAsia="Consolas"/>
                <w:sz w:val="15"/>
              </w:rPr>
              <w:t>info</w:t>
            </w:r>
            <w:r>
              <w:rPr>
                <w:sz w:val="17"/>
              </w:rPr>
              <w:t xml:space="preserve">, </w:t>
            </w:r>
            <w:r>
              <w:rPr>
                <w:rFonts w:ascii="Consolas" w:hAnsi="Consolas" w:cs="Consolas" w:eastAsia="Consolas"/>
                <w:sz w:val="15"/>
              </w:rPr>
              <w:t>info2</w:t>
            </w:r>
            <w:r>
              <w:rPr>
                <w:sz w:val="17"/>
              </w:rPr>
              <w:t xml:space="preserve"> (je max. 256)</w:t>
            </w:r>
          </w:p>
        </w:tc>
        <w:tc>
          <w:tcPr>
            <w:tcW w:type="dxa" w:w="1366"/>
          </w:tcPr>
          <w:p>
            <w:pPr>
              <w:spacing w:after="0" w:line="252" w:lineRule="auto"/>
            </w:pPr>
            <w:r>
              <w:rPr>
                <w:rFonts w:ascii="Consolas" w:hAnsi="Consolas" w:cs="Consolas" w:eastAsia="Consolas"/>
                <w:sz w:val="15"/>
              </w:rPr>
              <w:t>Wagen KW-1042</w:t>
            </w:r>
            <w:r>
              <w:rPr>
                <w:sz w:val="17"/>
              </w:rPr>
              <w:t>, leer</w:t>
            </w:r>
          </w:p>
        </w:tc>
        <w:tc>
          <w:tcPr>
            <w:tcW w:type="dxa" w:w="1698"/>
          </w:tcPr>
          <w:p>
            <w:pPr>
              <w:spacing w:after="0" w:line="252" w:lineRule="auto"/>
            </w:pPr>
            <w:r>
              <w:rPr>
                <w:sz w:val="17"/>
              </w:rPr>
              <w:t>Info / Info 2 (erweiterter Kopf)</w:t>
            </w:r>
          </w:p>
        </w:tc>
      </w:tr>
      <w:tr>
        <w:tc>
          <w:tcPr>
            <w:tcW w:type="dxa" w:w="1698"/>
          </w:tcPr>
          <w:p>
            <w:pPr>
              <w:spacing w:after="0" w:line="252" w:lineRule="auto"/>
            </w:pPr>
            <w:r>
              <w:rPr>
                <w:sz w:val="17"/>
              </w:rPr>
              <w:t>Charge (nur Chargenartikel)</w:t>
            </w:r>
          </w:p>
        </w:tc>
        <w:tc>
          <w:tcPr>
            <w:tcW w:type="dxa" w:w="1781"/>
          </w:tcPr>
          <w:p>
            <w:pPr>
              <w:spacing w:after="0" w:line="252" w:lineRule="auto"/>
            </w:pPr>
            <w:r>
              <w:rPr>
                <w:sz w:val="17"/>
              </w:rPr>
              <w:t>Etikett der Ware / Lieferschein</w:t>
            </w:r>
          </w:p>
        </w:tc>
        <w:tc>
          <w:tcPr>
            <w:tcW w:type="dxa" w:w="1532"/>
          </w:tcPr>
          <w:p>
            <w:pPr>
              <w:spacing w:after="0" w:line="252" w:lineRule="auto"/>
            </w:pPr>
            <w:r>
              <w:rPr>
                <w:sz w:val="17"/>
              </w:rPr>
              <w:t>WLSSDL002</w:t>
            </w:r>
          </w:p>
        </w:tc>
        <w:tc>
          <w:tcPr>
            <w:tcW w:type="dxa" w:w="1449"/>
          </w:tcPr>
          <w:p>
            <w:pPr>
              <w:spacing w:after="0" w:line="252" w:lineRule="auto"/>
            </w:pPr>
            <w:r>
              <w:rPr>
                <w:rFonts w:ascii="Consolas" w:hAnsi="Consolas" w:cs="Consolas" w:eastAsia="Consolas"/>
                <w:sz w:val="15"/>
              </w:rPr>
              <w:t>batch</w:t>
            </w:r>
            <w:r>
              <w:rPr>
                <w:sz w:val="17"/>
              </w:rPr>
              <w:t xml:space="preserve"> (max. 20)</w:t>
            </w:r>
          </w:p>
        </w:tc>
        <w:tc>
          <w:tcPr>
            <w:tcW w:type="dxa" w:w="1366"/>
          </w:tcPr>
          <w:p>
            <w:pPr>
              <w:spacing w:after="0" w:line="252" w:lineRule="auto"/>
            </w:pPr>
            <w:r>
              <w:rPr>
                <w:sz w:val="17"/>
              </w:rPr>
              <w:t xml:space="preserve">Beispiel </w:t>
            </w:r>
            <w:r>
              <w:rPr>
                <w:rFonts w:ascii="Consolas" w:hAnsi="Consolas" w:cs="Consolas" w:eastAsia="Consolas"/>
                <w:sz w:val="15"/>
              </w:rPr>
              <w:t>S2403A</w:t>
            </w:r>
            <w:r>
              <w:rPr>
                <w:sz w:val="17"/>
              </w:rPr>
              <w:t>; Akumax: leer</w:t>
            </w:r>
          </w:p>
        </w:tc>
        <w:tc>
          <w:tcPr>
            <w:tcW w:type="dxa" w:w="1698"/>
          </w:tcPr>
          <w:p>
            <w:pPr>
              <w:spacing w:after="0" w:line="252" w:lineRule="auto"/>
            </w:pPr>
            <w:r>
              <w:rPr>
                <w:sz w:val="17"/>
              </w:rPr>
              <w:t>Charge</w:t>
            </w:r>
          </w:p>
        </w:tc>
      </w:tr>
      <w:tr>
        <w:tc>
          <w:tcPr>
            <w:tcW w:type="dxa" w:w="1698"/>
          </w:tcPr>
          <w:p>
            <w:pPr>
              <w:spacing w:after="0" w:line="252" w:lineRule="auto"/>
            </w:pPr>
            <w:r>
              <w:rPr>
                <w:sz w:val="17"/>
              </w:rPr>
              <w:t>MHD (nur MHD-Artikel)</w:t>
            </w:r>
          </w:p>
        </w:tc>
        <w:tc>
          <w:tcPr>
            <w:tcW w:type="dxa" w:w="1781"/>
          </w:tcPr>
          <w:p>
            <w:pPr>
              <w:spacing w:after="0" w:line="252" w:lineRule="auto"/>
            </w:pPr>
            <w:r>
              <w:rPr>
                <w:sz w:val="17"/>
              </w:rPr>
              <w:t>Etikett der Ware, in BC Ablaufdatum [Annahme, zu prüfen]</w:t>
            </w:r>
          </w:p>
        </w:tc>
        <w:tc>
          <w:tcPr>
            <w:tcW w:type="dxa" w:w="1532"/>
          </w:tcPr>
          <w:p>
            <w:pPr>
              <w:spacing w:after="0" w:line="252" w:lineRule="auto"/>
            </w:pPr>
            <w:r>
              <w:rPr>
                <w:sz w:val="17"/>
              </w:rPr>
              <w:t>WLSSDL002</w:t>
            </w:r>
          </w:p>
        </w:tc>
        <w:tc>
          <w:tcPr>
            <w:tcW w:type="dxa" w:w="1449"/>
          </w:tcPr>
          <w:p>
            <w:pPr>
              <w:spacing w:after="0" w:line="252" w:lineRule="auto"/>
            </w:pPr>
            <w:r>
              <w:rPr>
                <w:rFonts w:ascii="Consolas" w:hAnsi="Consolas" w:cs="Consolas" w:eastAsia="Consolas"/>
                <w:sz w:val="15"/>
              </w:rPr>
              <w:t>bbDate</w:t>
            </w:r>
            <w:r>
              <w:rPr>
                <w:sz w:val="17"/>
              </w:rPr>
              <w:t xml:space="preserve"> (DA 8, JJJJMMTT)</w:t>
            </w:r>
          </w:p>
        </w:tc>
        <w:tc>
          <w:tcPr>
            <w:tcW w:type="dxa" w:w="1366"/>
          </w:tcPr>
          <w:p>
            <w:pPr>
              <w:spacing w:after="0" w:line="252" w:lineRule="auto"/>
            </w:pPr>
            <w:r>
              <w:rPr>
                <w:sz w:val="17"/>
              </w:rPr>
              <w:t xml:space="preserve">Beispiel </w:t>
            </w:r>
            <w:r>
              <w:rPr>
                <w:rFonts w:ascii="Consolas" w:hAnsi="Consolas" w:cs="Consolas" w:eastAsia="Consolas"/>
                <w:sz w:val="15"/>
              </w:rPr>
              <w:t>20280331</w:t>
            </w:r>
            <w:r>
              <w:rPr>
                <w:sz w:val="17"/>
              </w:rPr>
              <w:t>; Akumax: leer</w:t>
            </w:r>
          </w:p>
        </w:tc>
        <w:tc>
          <w:tcPr>
            <w:tcW w:type="dxa" w:w="1698"/>
          </w:tcPr>
          <w:p>
            <w:pPr>
              <w:spacing w:after="0" w:line="252" w:lineRule="auto"/>
            </w:pPr>
            <w:r>
              <w:rPr>
                <w:sz w:val="17"/>
              </w:rPr>
              <w:t>nur erweiterte Maske (bbDate)</w:t>
            </w:r>
          </w:p>
        </w:tc>
      </w:tr>
      <w:tr>
        <w:tc>
          <w:tcPr>
            <w:tcW w:type="dxa" w:w="1698"/>
          </w:tcPr>
          <w:p>
            <w:pPr>
              <w:spacing w:after="0" w:line="252" w:lineRule="auto"/>
            </w:pPr>
            <w:r>
              <w:rPr>
                <w:sz w:val="17"/>
              </w:rPr>
              <w:t>Seriennummer (nur Serienartikel)</w:t>
            </w:r>
          </w:p>
        </w:tc>
        <w:tc>
          <w:tcPr>
            <w:tcW w:type="dxa" w:w="1781"/>
          </w:tcPr>
          <w:p>
            <w:pPr>
              <w:spacing w:after="0" w:line="252" w:lineRule="auto"/>
            </w:pPr>
            <w:r>
              <w:rPr>
                <w:sz w:val="17"/>
              </w:rPr>
              <w:t>Scan Seriennummer je Stück</w:t>
            </w:r>
          </w:p>
        </w:tc>
        <w:tc>
          <w:tcPr>
            <w:tcW w:type="dxa" w:w="1532"/>
          </w:tcPr>
          <w:p>
            <w:pPr>
              <w:spacing w:after="0" w:line="252" w:lineRule="auto"/>
            </w:pPr>
            <w:r>
              <w:rPr>
                <w:sz w:val="17"/>
              </w:rPr>
              <w:t>WLSSDL002</w:t>
            </w:r>
          </w:p>
        </w:tc>
        <w:tc>
          <w:tcPr>
            <w:tcW w:type="dxa" w:w="1449"/>
          </w:tcPr>
          <w:p>
            <w:pPr>
              <w:spacing w:after="0" w:line="252" w:lineRule="auto"/>
            </w:pPr>
            <w:r>
              <w:rPr>
                <w:rFonts w:ascii="Consolas" w:hAnsi="Consolas" w:cs="Consolas" w:eastAsia="Consolas"/>
                <w:sz w:val="15"/>
              </w:rPr>
              <w:t>csia1</w:t>
            </w:r>
            <w:r>
              <w:rPr>
                <w:sz w:val="17"/>
              </w:rPr>
              <w:t xml:space="preserve"> (max. 50)</w:t>
            </w:r>
          </w:p>
        </w:tc>
        <w:tc>
          <w:tcPr>
            <w:tcW w:type="dxa" w:w="1366"/>
          </w:tcPr>
          <w:p>
            <w:pPr>
              <w:spacing w:after="0" w:line="252" w:lineRule="auto"/>
            </w:pPr>
            <w:r>
              <w:rPr>
                <w:sz w:val="17"/>
              </w:rPr>
              <w:t xml:space="preserve">Beispiel </w:t>
            </w:r>
            <w:r>
              <w:rPr>
                <w:rFonts w:ascii="Consolas" w:hAnsi="Consolas" w:cs="Consolas" w:eastAsia="Consolas"/>
                <w:sz w:val="15"/>
              </w:rPr>
              <w:t>SN-0001234</w:t>
            </w:r>
            <w:r>
              <w:rPr>
                <w:sz w:val="17"/>
              </w:rPr>
              <w:t>; Akumax: nicht gesendet</w:t>
            </w:r>
          </w:p>
        </w:tc>
        <w:tc>
          <w:tcPr>
            <w:tcW w:type="dxa" w:w="1698"/>
          </w:tcPr>
          <w:p>
            <w:pPr>
              <w:spacing w:after="0" w:line="252" w:lineRule="auto"/>
            </w:pPr>
            <w:r>
              <w:rPr>
                <w:sz w:val="17"/>
              </w:rPr>
              <w:t>in der Referenz-App bei Einlagerung nicht vorhanden</w:t>
            </w:r>
          </w:p>
        </w:tc>
      </w:tr>
      <w:tr>
        <w:tc>
          <w:tcPr>
            <w:tcW w:type="dxa" w:w="1698"/>
          </w:tcPr>
          <w:p>
            <w:pPr>
              <w:spacing w:after="0" w:line="252" w:lineRule="auto"/>
            </w:pPr>
            <w:r>
              <w:rPr>
                <w:sz w:val="17"/>
              </w:rPr>
              <w:t>Wagen am Kopf (optional) [Annahme]</w:t>
            </w:r>
          </w:p>
        </w:tc>
        <w:tc>
          <w:tcPr>
            <w:tcW w:type="dxa" w:w="1781"/>
          </w:tcPr>
          <w:p>
            <w:pPr>
              <w:spacing w:after="0" w:line="252" w:lineRule="auto"/>
            </w:pPr>
            <w:r>
              <w:rPr>
                <w:sz w:val="17"/>
              </w:rPr>
              <w:t>QR Deichsel</w:t>
            </w:r>
          </w:p>
        </w:tc>
        <w:tc>
          <w:tcPr>
            <w:tcW w:type="dxa" w:w="1532"/>
          </w:tcPr>
          <w:p>
            <w:pPr>
              <w:spacing w:after="0" w:line="252" w:lineRule="auto"/>
            </w:pPr>
            <w:r>
              <w:rPr>
                <w:sz w:val="17"/>
              </w:rPr>
              <w:t>WLSSDEXTREF001 (2. Zeile)</w:t>
            </w:r>
          </w:p>
        </w:tc>
        <w:tc>
          <w:tcPr>
            <w:tcW w:type="dxa" w:w="1449"/>
          </w:tcPr>
          <w:p>
            <w:pPr>
              <w:spacing w:after="0" w:line="252" w:lineRule="auto"/>
            </w:pPr>
            <w:r>
              <w:rPr>
                <w:rFonts w:ascii="Consolas" w:hAnsi="Consolas" w:cs="Consolas" w:eastAsia="Consolas"/>
                <w:sz w:val="15"/>
              </w:rPr>
              <w:t>extRefKey</w:t>
            </w:r>
            <w:r>
              <w:rPr>
                <w:sz w:val="17"/>
              </w:rPr>
              <w:t xml:space="preserve"> / </w:t>
            </w:r>
            <w:r>
              <w:rPr>
                <w:rFonts w:ascii="Consolas" w:hAnsi="Consolas" w:cs="Consolas" w:eastAsia="Consolas"/>
                <w:sz w:val="15"/>
              </w:rPr>
              <w:t>extRefVal1</w:t>
            </w:r>
          </w:p>
        </w:tc>
        <w:tc>
          <w:tcPr>
            <w:tcW w:type="dxa" w:w="1366"/>
          </w:tcPr>
          <w:p>
            <w:pPr>
              <w:spacing w:after="0" w:line="252" w:lineRule="auto"/>
            </w:pPr>
            <w:r>
              <w:rPr>
                <w:rFonts w:ascii="Consolas" w:hAnsi="Consolas" w:cs="Consolas" w:eastAsia="Consolas"/>
                <w:sz w:val="15"/>
              </w:rPr>
              <w:t>WAGE</w:t>
            </w:r>
            <w:r>
              <w:rPr>
                <w:sz w:val="17"/>
              </w:rPr>
              <w:t xml:space="preserve"> / </w:t>
            </w:r>
            <w:r>
              <w:rPr>
                <w:rFonts w:ascii="Consolas" w:hAnsi="Consolas" w:cs="Consolas" w:eastAsia="Consolas"/>
                <w:sz w:val="15"/>
              </w:rPr>
              <w:t>KW-1042</w:t>
            </w:r>
          </w:p>
        </w:tc>
        <w:tc>
          <w:tcPr>
            <w:tcW w:type="dxa" w:w="1698"/>
          </w:tcPr>
          <w:p>
            <w:pPr>
              <w:spacing w:after="0" w:line="252" w:lineRule="auto"/>
            </w:pPr>
            <w:r>
              <w:rPr>
                <w:sz w:val="17"/>
              </w:rPr>
              <w:t xml:space="preserve">nur API-Liste </w:t>
            </w:r>
            <w:r>
              <w:rPr>
                <w:rFonts w:ascii="Consolas" w:hAnsi="Consolas" w:cs="Consolas" w:eastAsia="Consolas"/>
                <w:sz w:val="15"/>
              </w:rPr>
              <w:t>extRefs</w:t>
            </w:r>
          </w:p>
        </w:tc>
      </w:tr>
      <w:tr>
        <w:tc>
          <w:tcPr>
            <w:tcW w:type="dxa" w:w="1698"/>
          </w:tcPr>
          <w:p>
            <w:pPr>
              <w:spacing w:after="0" w:line="252" w:lineRule="auto"/>
            </w:pPr>
            <w:r>
              <w:rPr>
                <w:sz w:val="17"/>
              </w:rPr>
              <w:t>Fester Rahmen</w:t>
            </w:r>
          </w:p>
        </w:tc>
        <w:tc>
          <w:tcPr>
            <w:tcW w:type="dxa" w:w="1781"/>
          </w:tcPr>
          <w:p>
            <w:pPr>
              <w:spacing w:after="0" w:line="252" w:lineRule="auto"/>
            </w:pPr>
            <w:r>
              <w:rPr>
                <w:sz w:val="17"/>
              </w:rPr>
              <w:t>Konstanten</w:t>
            </w:r>
          </w:p>
        </w:tc>
        <w:tc>
          <w:tcPr>
            <w:tcW w:type="dxa" w:w="1532"/>
          </w:tcPr>
          <w:p>
            <w:pPr>
              <w:spacing w:after="0" w:line="252" w:lineRule="auto"/>
            </w:pPr>
            <w:r>
              <w:rPr>
                <w:sz w:val="17"/>
              </w:rPr>
              <w:t>WLSSD002 / WLSSDL002</w:t>
            </w:r>
          </w:p>
        </w:tc>
        <w:tc>
          <w:tcPr>
            <w:tcW w:type="dxa" w:w="1449"/>
          </w:tcPr>
          <w:p>
            <w:pPr>
              <w:spacing w:after="0" w:line="252" w:lineRule="auto"/>
            </w:pPr>
            <w:r>
              <w:rPr>
                <w:rFonts w:ascii="Consolas" w:hAnsi="Consolas" w:cs="Consolas" w:eastAsia="Consolas"/>
                <w:sz w:val="15"/>
              </w:rPr>
              <w:t>typeId RECV</w:t>
            </w:r>
            <w:r>
              <w:rPr>
                <w:sz w:val="17"/>
              </w:rPr>
              <w:t xml:space="preserve">, </w:t>
            </w:r>
            <w:r>
              <w:rPr>
                <w:rFonts w:ascii="Consolas" w:hAnsi="Consolas" w:cs="Consolas" w:eastAsia="Consolas"/>
                <w:sz w:val="15"/>
              </w:rPr>
              <w:t>priority 1</w:t>
            </w:r>
            <w:r>
              <w:rPr>
                <w:sz w:val="17"/>
              </w:rPr>
              <w:t xml:space="preserve">, </w:t>
            </w:r>
            <w:r>
              <w:rPr>
                <w:rFonts w:ascii="Consolas" w:hAnsi="Consolas" w:cs="Consolas" w:eastAsia="Consolas"/>
                <w:sz w:val="15"/>
              </w:rPr>
              <w:t>zone</w:t>
            </w:r>
            <w:r>
              <w:rPr>
                <w:sz w:val="17"/>
              </w:rPr>
              <w:t xml:space="preserve">, </w:t>
            </w:r>
            <w:r>
              <w:rPr>
                <w:rFonts w:ascii="Consolas" w:hAnsi="Consolas" w:cs="Consolas" w:eastAsia="Consolas"/>
                <w:sz w:val="15"/>
              </w:rPr>
              <w:t>variant 00000</w:t>
            </w:r>
            <w:r>
              <w:rPr>
                <w:sz w:val="17"/>
              </w:rPr>
              <w:t xml:space="preserve">, </w:t>
            </w:r>
            <w:r>
              <w:rPr>
                <w:rFonts w:ascii="Consolas" w:hAnsi="Consolas" w:cs="Consolas" w:eastAsia="Consolas"/>
                <w:sz w:val="15"/>
              </w:rPr>
              <w:t>gow pDEFAULT</w:t>
            </w:r>
            <w:r>
              <w:rPr>
                <w:sz w:val="17"/>
              </w:rPr>
              <w:t xml:space="preserve">, </w:t>
            </w:r>
            <w:r>
              <w:rPr>
                <w:rFonts w:ascii="Consolas" w:hAnsi="Consolas" w:cs="Consolas" w:eastAsia="Consolas"/>
                <w:sz w:val="15"/>
              </w:rPr>
              <w:t>stockRating 100</w:t>
            </w:r>
            <w:r>
              <w:rPr>
                <w:sz w:val="17"/>
              </w:rPr>
              <w:t xml:space="preserve">, </w:t>
            </w:r>
            <w:r>
              <w:rPr>
                <w:rFonts w:ascii="Consolas" w:hAnsi="Consolas" w:cs="Consolas" w:eastAsia="Consolas"/>
                <w:sz w:val="15"/>
              </w:rPr>
              <w:t>numBquWqu 1</w:t>
            </w:r>
          </w:p>
        </w:tc>
        <w:tc>
          <w:tcPr>
            <w:tcW w:type="dxa" w:w="1366"/>
          </w:tcPr>
          <w:p>
            <w:pPr>
              <w:spacing w:after="0" w:line="252" w:lineRule="auto"/>
            </w:pPr>
            <w:r>
              <w:rPr>
                <w:sz w:val="17"/>
              </w:rPr>
              <w:t>siehe JSON</w:t>
            </w:r>
          </w:p>
        </w:tc>
        <w:tc>
          <w:tcPr>
            <w:tcW w:type="dxa" w:w="1698"/>
          </w:tcPr>
          <w:p>
            <w:pPr>
              <w:spacing w:after="0" w:line="252" w:lineRule="auto"/>
            </w:pPr>
            <w:r>
              <w:rPr>
                <w:sz w:val="17"/>
              </w:rPr>
              <w:t>Defaults</w:t>
            </w:r>
          </w:p>
        </w:tc>
      </w:tr>
    </w:tbl>
    <w:p>
      <w:pPr>
        <w:pStyle w:val="BeschriftungSSI"/>
      </w:pPr>
      <w:r>
        <w:t>Tab. 4: Kommissionierwagen und Ware → externe Referenz (Empfehlung für die Schnittstelle BC Dynamics zu WAMAS)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Warum an der Position?</w:t>
            </w:r>
          </w:p>
          <w:p>
            <w:pPr>
              <w:spacing w:after="40"/>
            </w:pPr>
            <w:r>
              <w:rPr>
                <w:sz w:val="19"/>
              </w:rPr>
              <w:t>Nur die Positions-Referenz ist einer Demand Line (</w:t>
            </w:r>
            <w:r>
              <w:rPr>
                <w:rFonts w:ascii="Consolas" w:hAnsi="Consolas" w:cs="Consolas" w:eastAsia="Consolas"/>
                <w:sz w:val="17"/>
              </w:rPr>
              <w:t>sysPartnerLine</w:t>
            </w:r>
            <w:r>
              <w:rPr>
                <w:sz w:val="19"/>
              </w:rPr>
              <w:t xml:space="preserve">) zugeordnet und verknüpft damit Artikel, Menge und Charge mit Wagen und Fach. Das entspricht dem Konzept („An der Position bleiben beide Werte“) und dem Beispiel </w:t>
            </w:r>
            <w:r>
              <w:rPr>
                <w:rFonts w:ascii="Consolas" w:hAnsi="Consolas" w:cs="Consolas" w:eastAsia="Consolas"/>
                <w:sz w:val="17"/>
              </w:rPr>
              <w:t>WLSSD_00000025.json</w:t>
            </w:r>
            <w:r>
              <w:rPr>
                <w:sz w:val="19"/>
              </w:rPr>
              <w:t>.</w:t>
            </w:r>
          </w:p>
        </w:tc>
      </w:tr>
    </w:tbl>
    <w:p>
      <w:pPr>
        <w:spacing w:after="40"/>
      </w:pPr>
    </w:p>
    <w:p>
      <w:pPr>
        <w:pStyle w:val="Heading2"/>
      </w:pPr>
      <w:r>
        <w:t>7.2 Varianten, die nicht empfohlen werden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Variante</w:t>
            </w:r>
          </w:p>
        </w:tc>
        <w:tc>
          <w:tcPr>
            <w:tcW w:type="dxa" w:w="3175"/>
            <w:shd w:val="clear" w:color="auto" w:fill="FEEE19"/>
          </w:tcPr>
          <w:p>
            <w:pPr>
              <w:spacing w:after="0"/>
            </w:pPr>
            <w:r>
              <w:rPr>
                <w:b/>
                <w:sz w:val="17"/>
              </w:rPr>
              <w:t>Verhalten</w:t>
            </w:r>
          </w:p>
        </w:tc>
        <w:tc>
          <w:tcPr>
            <w:tcW w:type="dxa" w:w="3175"/>
            <w:shd w:val="clear" w:color="auto" w:fill="FEEE19"/>
          </w:tcPr>
          <w:p>
            <w:pPr>
              <w:spacing w:after="0"/>
            </w:pPr>
            <w:r>
              <w:rPr>
                <w:b/>
                <w:sz w:val="17"/>
              </w:rPr>
              <w:t>Bewertung</w:t>
            </w:r>
          </w:p>
        </w:tc>
      </w:tr>
      <w:tr>
        <w:tc>
          <w:tcPr>
            <w:tcW w:type="dxa" w:w="3175"/>
          </w:tcPr>
          <w:p>
            <w:pPr>
              <w:spacing w:after="0" w:line="252" w:lineRule="auto"/>
            </w:pPr>
            <w:r>
              <w:rPr>
                <w:sz w:val="17"/>
              </w:rPr>
              <w:t>Wagennummer in eine gemeinsame Positions-Referenz für alle Zeilen (in der Web App „Positions-Referenz 1/2 (alle Zeilen)“)</w:t>
            </w:r>
          </w:p>
        </w:tc>
        <w:tc>
          <w:tcPr>
            <w:tcW w:type="dxa" w:w="3175"/>
          </w:tcPr>
          <w:p>
            <w:pPr>
              <w:spacing w:after="0" w:line="252" w:lineRule="auto"/>
            </w:pPr>
            <w:r>
              <w:rPr>
                <w:sz w:val="17"/>
              </w:rPr>
              <w:t xml:space="preserve">gleiche Werte an </w:t>
            </w:r>
            <w:r>
              <w:rPr>
                <w:b/>
                <w:sz w:val="17"/>
              </w:rPr>
              <w:t>jeder</w:t>
            </w:r>
            <w:r>
              <w:rPr>
                <w:sz w:val="17"/>
              </w:rPr>
              <w:t xml:space="preserve"> Position</w:t>
            </w:r>
          </w:p>
        </w:tc>
        <w:tc>
          <w:tcPr>
            <w:tcW w:type="dxa" w:w="3175"/>
          </w:tcPr>
          <w:p>
            <w:pPr>
              <w:spacing w:after="0" w:line="252" w:lineRule="auto"/>
            </w:pPr>
            <w:r>
              <w:rPr>
                <w:sz w:val="17"/>
              </w:rPr>
              <w:t>Für die Wagennummer möglich, für das Fach ungeeignet</w:t>
            </w:r>
          </w:p>
        </w:tc>
      </w:tr>
      <w:tr>
        <w:tc>
          <w:tcPr>
            <w:tcW w:type="dxa" w:w="3175"/>
          </w:tcPr>
          <w:p>
            <w:pPr>
              <w:spacing w:after="0" w:line="252" w:lineRule="auto"/>
            </w:pPr>
            <w:r>
              <w:rPr>
                <w:sz w:val="17"/>
              </w:rPr>
              <w:t xml:space="preserve">Wagen/Fach </w:t>
            </w:r>
            <w:r>
              <w:rPr>
                <w:b/>
                <w:sz w:val="17"/>
              </w:rPr>
              <w:t>nur</w:t>
            </w:r>
            <w:r>
              <w:rPr>
                <w:sz w:val="17"/>
              </w:rPr>
              <w:t xml:space="preserve"> in Kopffeldern </w:t>
            </w:r>
            <w:r>
              <w:rPr>
                <w:rFonts w:ascii="Consolas" w:hAnsi="Consolas" w:cs="Consolas" w:eastAsia="Consolas"/>
                <w:sz w:val="15"/>
              </w:rPr>
              <w:t>info</w:t>
            </w:r>
            <w:r>
              <w:rPr>
                <w:sz w:val="17"/>
              </w:rPr>
              <w:t xml:space="preserve"> / </w:t>
            </w:r>
            <w:r>
              <w:rPr>
                <w:rFonts w:ascii="Consolas" w:hAnsi="Consolas" w:cs="Consolas" w:eastAsia="Consolas"/>
                <w:sz w:val="15"/>
              </w:rPr>
              <w:t>info2</w:t>
            </w:r>
            <w:r>
              <w:rPr>
                <w:sz w:val="17"/>
              </w:rPr>
              <w:t xml:space="preserve"> in </w:t>
            </w:r>
            <w:r>
              <w:rPr>
                <w:rFonts w:ascii="Consolas" w:hAnsi="Consolas" w:cs="Consolas" w:eastAsia="Consolas"/>
                <w:sz w:val="15"/>
              </w:rPr>
              <w:t>WLSSD002</w:t>
            </w:r>
          </w:p>
        </w:tc>
        <w:tc>
          <w:tcPr>
            <w:tcW w:type="dxa" w:w="3175"/>
          </w:tcPr>
          <w:p>
            <w:pPr>
              <w:spacing w:after="0" w:line="252" w:lineRule="auto"/>
            </w:pPr>
            <w:r>
              <w:rPr>
                <w:sz w:val="17"/>
              </w:rPr>
              <w:t>keine externe Referenz; 2.8 erlaubt 256 Zeichen</w:t>
            </w:r>
          </w:p>
        </w:tc>
        <w:tc>
          <w:tcPr>
            <w:tcW w:type="dxa" w:w="3175"/>
          </w:tcPr>
          <w:p>
            <w:pPr>
              <w:spacing w:after="0" w:line="252" w:lineRule="auto"/>
            </w:pPr>
            <w:r>
              <w:rPr>
                <w:sz w:val="17"/>
              </w:rPr>
              <w:t xml:space="preserve">Widerspricht der Vorgabe „externe Referenz“. Zusätzlich als freie Zusatzinformation ist es möglich: das echte Telegramm Einl000031 sendet </w:t>
            </w:r>
            <w:r>
              <w:rPr>
                <w:rFonts w:ascii="Consolas" w:hAnsi="Consolas" w:cs="Consolas" w:eastAsia="Consolas"/>
                <w:sz w:val="15"/>
              </w:rPr>
              <w:t>info</w:t>
            </w:r>
            <w:r>
              <w:rPr>
                <w:sz w:val="17"/>
              </w:rPr>
              <w:t xml:space="preserve"> „Wagen KW-1001“ [echt gesendet]</w:t>
            </w:r>
          </w:p>
        </w:tc>
      </w:tr>
      <w:tr>
        <w:tc>
          <w:tcPr>
            <w:tcW w:type="dxa" w:w="3175"/>
          </w:tcPr>
          <w:p>
            <w:pPr>
              <w:spacing w:after="0" w:line="252" w:lineRule="auto"/>
            </w:pPr>
            <w:r>
              <w:rPr>
                <w:rFonts w:ascii="Consolas" w:hAnsi="Consolas" w:cs="Consolas" w:eastAsia="Consolas"/>
                <w:sz w:val="15"/>
              </w:rPr>
              <w:t>extLuId</w:t>
            </w:r>
            <w:r>
              <w:rPr>
                <w:sz w:val="17"/>
              </w:rPr>
              <w:t xml:space="preserve"> (Externe LE)</w:t>
            </w:r>
          </w:p>
        </w:tc>
        <w:tc>
          <w:tcPr>
            <w:tcW w:type="dxa" w:w="3175"/>
          </w:tcPr>
          <w:p>
            <w:pPr>
              <w:spacing w:after="0" w:line="252" w:lineRule="auto"/>
            </w:pPr>
            <w:r>
              <w:rPr>
                <w:sz w:val="17"/>
              </w:rPr>
              <w:t xml:space="preserve">erst Subelement von </w:t>
            </w:r>
            <w:r>
              <w:rPr>
                <w:rFonts w:ascii="Consolas" w:hAnsi="Consolas" w:cs="Consolas" w:eastAsia="Consolas"/>
                <w:sz w:val="15"/>
              </w:rPr>
              <w:t>WLSSD003</w:t>
            </w:r>
            <w:r>
              <w:rPr>
                <w:sz w:val="17"/>
              </w:rPr>
              <w:t xml:space="preserve">; bei </w:t>
            </w:r>
            <w:r>
              <w:rPr>
                <w:rFonts w:ascii="Consolas" w:hAnsi="Consolas" w:cs="Consolas" w:eastAsia="Consolas"/>
                <w:sz w:val="15"/>
              </w:rPr>
              <w:t>WLSSD002</w:t>
            </w:r>
            <w:r>
              <w:rPr>
                <w:sz w:val="17"/>
              </w:rPr>
              <w:t xml:space="preserve"> lehnt WAMAS den Tag ab</w:t>
            </w:r>
          </w:p>
        </w:tc>
        <w:tc>
          <w:tcPr>
            <w:tcW w:type="dxa" w:w="3175"/>
          </w:tcPr>
          <w:p>
            <w:pPr>
              <w:spacing w:after="0" w:line="252" w:lineRule="auto"/>
            </w:pPr>
            <w:r>
              <w:rPr>
                <w:sz w:val="17"/>
              </w:rPr>
              <w:t>Erst mit Umstellung auf 003 denkbar, nicht Teil dieser Lösung</w:t>
            </w:r>
          </w:p>
        </w:tc>
      </w:tr>
      <w:tr>
        <w:tc>
          <w:tcPr>
            <w:tcW w:type="dxa" w:w="3175"/>
          </w:tcPr>
          <w:p>
            <w:pPr>
              <w:spacing w:after="0" w:line="252" w:lineRule="auto"/>
            </w:pPr>
            <w:r>
              <w:rPr>
                <w:sz w:val="17"/>
              </w:rPr>
              <w:t xml:space="preserve">Präfixe im Wert wie </w:t>
            </w:r>
            <w:r>
              <w:rPr>
                <w:rFonts w:ascii="Consolas" w:hAnsi="Consolas" w:cs="Consolas" w:eastAsia="Consolas"/>
                <w:sz w:val="15"/>
              </w:rPr>
              <w:t>„Wage Nr: 1“</w:t>
            </w:r>
          </w:p>
        </w:tc>
        <w:tc>
          <w:tcPr>
            <w:tcW w:type="dxa" w:w="3175"/>
          </w:tcPr>
          <w:p>
            <w:pPr>
              <w:spacing w:after="0" w:line="252" w:lineRule="auto"/>
            </w:pPr>
            <w:r>
              <w:rPr>
                <w:sz w:val="17"/>
              </w:rPr>
              <w:t xml:space="preserve">so im Beispiel </w:t>
            </w:r>
            <w:r>
              <w:rPr>
                <w:rFonts w:ascii="Consolas" w:hAnsi="Consolas" w:cs="Consolas" w:eastAsia="Consolas"/>
                <w:sz w:val="15"/>
              </w:rPr>
              <w:t>WLSSD_​00000025.​json</w:t>
            </w:r>
            <w:r>
              <w:rPr>
                <w:sz w:val="17"/>
              </w:rPr>
              <w:t>, uneinheitlich (</w:t>
            </w:r>
            <w:r>
              <w:rPr>
                <w:rFonts w:ascii="Consolas" w:hAnsi="Consolas" w:cs="Consolas" w:eastAsia="Consolas"/>
                <w:sz w:val="15"/>
              </w:rPr>
              <w:t>Wage</w:t>
            </w:r>
            <w:r>
              <w:rPr>
                <w:sz w:val="17"/>
              </w:rPr>
              <w:t xml:space="preserve"> / </w:t>
            </w:r>
            <w:r>
              <w:rPr>
                <w:rFonts w:ascii="Consolas" w:hAnsi="Consolas" w:cs="Consolas" w:eastAsia="Consolas"/>
                <w:sz w:val="15"/>
              </w:rPr>
              <w:t>WAGE</w:t>
            </w:r>
            <w:r>
              <w:rPr>
                <w:sz w:val="17"/>
              </w:rPr>
              <w:t>)</w:t>
            </w:r>
          </w:p>
        </w:tc>
        <w:tc>
          <w:tcPr>
            <w:tcW w:type="dxa" w:w="3175"/>
          </w:tcPr>
          <w:p>
            <w:pPr>
              <w:spacing w:after="0" w:line="252" w:lineRule="auto"/>
            </w:pPr>
            <w:r>
              <w:rPr>
                <w:sz w:val="17"/>
              </w:rPr>
              <w:t>Reine Werte (</w:t>
            </w:r>
            <w:r>
              <w:rPr>
                <w:rFonts w:ascii="Consolas" w:hAnsi="Consolas" w:cs="Consolas" w:eastAsia="Consolas"/>
                <w:sz w:val="15"/>
              </w:rPr>
              <w:t>KW-1042</w:t>
            </w:r>
            <w:r>
              <w:rPr>
                <w:sz w:val="17"/>
              </w:rPr>
              <w:t xml:space="preserve">, </w:t>
            </w:r>
            <w:r>
              <w:rPr>
                <w:rFonts w:ascii="Consolas" w:hAnsi="Consolas" w:cs="Consolas" w:eastAsia="Consolas"/>
                <w:sz w:val="15"/>
              </w:rPr>
              <w:t>A1</w:t>
            </w:r>
            <w:r>
              <w:rPr>
                <w:sz w:val="17"/>
              </w:rPr>
              <w:t>) empfohlen, die Bedeutung liefert das Touch-Label</w:t>
            </w:r>
          </w:p>
        </w:tc>
      </w:tr>
    </w:tbl>
    <w:p>
      <w:pPr>
        <w:pStyle w:val="BeschriftungSSI"/>
      </w:pPr>
      <w:r>
        <w:t>Tab. 5: Varianten, die nicht empfohlen werden</w:t>
      </w:r>
    </w:p>
    <w:p>
      <w:pPr>
        <w:pStyle w:val="Heading2"/>
      </w:pPr>
      <w:r>
        <w:t>7.3 Referenzimplementierung und Test</w:t>
      </w:r>
    </w:p>
    <w:p>
      <w:r>
        <w:t xml:space="preserve">Für Tests der WAMAS-Seite ohne fertige BC-Anbindung kann die WAMAS Web App dasselbe Telegramm erzeugen, z. B. über „Auftrag aus Excel“ (Blatt </w:t>
      </w:r>
      <w:r>
        <w:rPr>
          <w:rFonts w:ascii="Consolas" w:hAnsi="Consolas" w:cs="Consolas" w:eastAsia="Consolas"/>
          <w:sz w:val="18"/>
        </w:rPr>
        <w:t>Order</w:t>
      </w:r>
      <w:r>
        <w:t xml:space="preserve">: </w:t>
      </w:r>
      <w:r>
        <w:rPr>
          <w:rFonts w:ascii="Consolas" w:hAnsi="Consolas" w:cs="Consolas" w:eastAsia="Consolas"/>
          <w:sz w:val="18"/>
        </w:rPr>
        <w:t>type</w:t>
      </w:r>
      <w:r>
        <w:t xml:space="preserve"> Einlagerung, </w:t>
      </w:r>
      <w:r>
        <w:rPr>
          <w:rFonts w:ascii="Consolas" w:hAnsi="Consolas" w:cs="Consolas" w:eastAsia="Consolas"/>
          <w:sz w:val="18"/>
        </w:rPr>
        <w:t>orderNo</w:t>
      </w:r>
      <w:r>
        <w:t xml:space="preserve">, </w:t>
      </w:r>
      <w:r>
        <w:rPr>
          <w:rFonts w:ascii="Consolas" w:hAnsi="Consolas" w:cs="Consolas" w:eastAsia="Consolas"/>
          <w:sz w:val="18"/>
        </w:rPr>
        <w:t>scheinnummer</w:t>
      </w:r>
      <w:r>
        <w:t xml:space="preserve">, </w:t>
      </w:r>
      <w:r>
        <w:rPr>
          <w:rFonts w:ascii="Consolas" w:hAnsi="Consolas" w:cs="Consolas" w:eastAsia="Consolas"/>
          <w:sz w:val="18"/>
        </w:rPr>
        <w:t>referenzschluessel</w:t>
      </w:r>
      <w:r>
        <w:t xml:space="preserve"> LIEFERSCHEIN, </w:t>
      </w:r>
      <w:r>
        <w:rPr>
          <w:rFonts w:ascii="Consolas" w:hAnsi="Consolas" w:cs="Consolas" w:eastAsia="Consolas"/>
          <w:sz w:val="18"/>
        </w:rPr>
        <w:t>referenzwert1/2</w:t>
      </w:r>
      <w:r>
        <w:t xml:space="preserve">; Blatt </w:t>
      </w:r>
      <w:r>
        <w:rPr>
          <w:rFonts w:ascii="Consolas" w:hAnsi="Consolas" w:cs="Consolas" w:eastAsia="Consolas"/>
          <w:sz w:val="18"/>
        </w:rPr>
        <w:t>Positions</w:t>
      </w:r>
      <w:r>
        <w:t xml:space="preserve">: </w:t>
      </w:r>
      <w:r>
        <w:rPr>
          <w:rFonts w:ascii="Consolas" w:hAnsi="Consolas" w:cs="Consolas" w:eastAsia="Consolas"/>
          <w:sz w:val="18"/>
        </w:rPr>
        <w:t>itemNo, baseQty, batch, extRefKey, extRefVal1, extRefVal2</w:t>
      </w:r>
      <w:r>
        <w:t xml:space="preserve">). Das ist ein Testweg, kein Prozessschritt. Achtung: der Excel-Import kürzt </w:t>
      </w:r>
      <w:r>
        <w:rPr>
          <w:rFonts w:ascii="Consolas" w:hAnsi="Consolas" w:cs="Consolas" w:eastAsia="Consolas"/>
          <w:sz w:val="18"/>
        </w:rPr>
        <w:t>note</w:t>
      </w:r>
      <w:r>
        <w:t xml:space="preserve"> auf 20 Zeichen, WAMAS 2.8 erlaubt für </w:t>
      </w:r>
      <w:r>
        <w:rPr>
          <w:rFonts w:ascii="Consolas" w:hAnsi="Consolas" w:cs="Consolas" w:eastAsia="Consolas"/>
          <w:sz w:val="18"/>
        </w:rPr>
        <w:t>noteNo</w:t>
      </w:r>
      <w:r>
        <w:t xml:space="preserve"> nur 18.</w:t>
      </w:r>
    </w:p>
    <w:p>
      <w:pPr>
        <w:pStyle w:val="Heading2"/>
      </w:pPr>
      <w:r>
        <w:t>7.4 Lieferschein: noteNo und externe Referenz LIEFERSCHEIN</w:t>
      </w:r>
    </w:p>
    <w:p>
      <w:r>
        <w:t xml:space="preserve">Die Lieferscheinnummer steht im Standardfeld </w:t>
      </w:r>
      <w:r>
        <w:rPr>
          <w:rFonts w:ascii="Consolas" w:hAnsi="Consolas" w:cs="Consolas" w:eastAsia="Consolas"/>
          <w:sz w:val="18"/>
        </w:rPr>
        <w:t>noteNo</w:t>
      </w:r>
      <w:r>
        <w:t xml:space="preserve"> des Kopfs </w:t>
      </w:r>
      <w:r>
        <w:rPr>
          <w:rFonts w:ascii="Consolas" w:hAnsi="Consolas" w:cs="Consolas" w:eastAsia="Consolas"/>
          <w:sz w:val="18"/>
        </w:rPr>
        <w:t>WLSSD002</w:t>
      </w:r>
      <w:r>
        <w:t xml:space="preserve"> (Scheinnummer, Text, max. 18 Zeichen). Das Manual beschreibt das Feld als freien Text zum Einlagerschein, „only serves informational purposes“ [belegt] . </w:t>
      </w:r>
      <w:r>
        <w:rPr>
          <w:rFonts w:ascii="Consolas" w:hAnsi="Consolas" w:cs="Consolas" w:eastAsia="Consolas"/>
          <w:sz w:val="18"/>
        </w:rPr>
        <w:t>noteNo</w:t>
      </w:r>
      <w:r>
        <w:t xml:space="preserve"> kann allein als Lieferschein dienen. Die Kopf-Referenz </w:t>
      </w:r>
      <w:r>
        <w:rPr>
          <w:rFonts w:ascii="Consolas" w:hAnsi="Consolas" w:cs="Consolas" w:eastAsia="Consolas"/>
          <w:sz w:val="18"/>
        </w:rPr>
        <w:t>WLSSDEXTREF001</w:t>
      </w:r>
      <w:r>
        <w:t xml:space="preserve"> mit </w:t>
      </w:r>
      <w:r>
        <w:rPr>
          <w:rFonts w:ascii="Consolas" w:hAnsi="Consolas" w:cs="Consolas" w:eastAsia="Consolas"/>
          <w:sz w:val="18"/>
        </w:rPr>
        <w:t>extRefKey LIEFERSCHEIN</w:t>
      </w:r>
      <w:r>
        <w:t xml:space="preserve"> bleibt bestehen, ist aber optional bzw. zusätzlich.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0"/>
        <w:gridCol w:w="2421"/>
        <w:gridCol w:w="2421"/>
        <w:gridCol w:w="2421"/>
      </w:tblGrid>
      <w:tr>
        <w:trPr>
          <w:tblHeader w:val="true"/>
        </w:trPr>
        <w:tc>
          <w:tcPr>
            <w:tcW w:type="dxa" w:w="2260"/>
            <w:shd w:val="clear" w:color="auto" w:fill="FEEE19"/>
          </w:tcPr>
          <w:p>
            <w:pPr>
              <w:spacing w:after="0"/>
            </w:pPr>
            <w:r>
              <w:rPr>
                <w:b/>
                <w:sz w:val="17"/>
              </w:rPr>
              <w:t>Variante</w:t>
            </w:r>
          </w:p>
        </w:tc>
        <w:tc>
          <w:tcPr>
            <w:tcW w:type="dxa" w:w="2421"/>
            <w:shd w:val="clear" w:color="auto" w:fill="FEEE19"/>
          </w:tcPr>
          <w:p>
            <w:pPr>
              <w:spacing w:after="0"/>
            </w:pPr>
            <w:r>
              <w:rPr>
                <w:b/>
                <w:sz w:val="17"/>
              </w:rPr>
              <w:t>Felder</w:t>
            </w:r>
          </w:p>
        </w:tc>
        <w:tc>
          <w:tcPr>
            <w:tcW w:type="dxa" w:w="2421"/>
            <w:shd w:val="clear" w:color="auto" w:fill="FEEE19"/>
          </w:tcPr>
          <w:p>
            <w:pPr>
              <w:spacing w:after="0"/>
            </w:pPr>
            <w:r>
              <w:rPr>
                <w:b/>
                <w:sz w:val="17"/>
              </w:rPr>
              <w:t>Vorteile</w:t>
            </w:r>
          </w:p>
        </w:tc>
        <w:tc>
          <w:tcPr>
            <w:tcW w:type="dxa" w:w="2421"/>
            <w:shd w:val="clear" w:color="auto" w:fill="FEEE19"/>
          </w:tcPr>
          <w:p>
            <w:pPr>
              <w:spacing w:after="0"/>
            </w:pPr>
            <w:r>
              <w:rPr>
                <w:b/>
                <w:sz w:val="17"/>
              </w:rPr>
              <w:t>Nachteile</w:t>
            </w:r>
          </w:p>
        </w:tc>
      </w:tr>
      <w:tr>
        <w:tc>
          <w:tcPr>
            <w:tcW w:type="dxa" w:w="2260"/>
          </w:tcPr>
          <w:p>
            <w:pPr>
              <w:spacing w:after="0" w:line="252" w:lineRule="auto"/>
            </w:pPr>
            <w:r>
              <w:rPr>
                <w:b/>
                <w:sz w:val="17"/>
              </w:rPr>
              <w:t>Variante 1: nur noteNo (Standardfeld)</w:t>
            </w:r>
          </w:p>
        </w:tc>
        <w:tc>
          <w:tcPr>
            <w:tcW w:type="dxa" w:w="2421"/>
          </w:tcPr>
          <w:p>
            <w:pPr>
              <w:spacing w:after="0" w:line="252" w:lineRule="auto"/>
            </w:pPr>
            <w:r>
              <w:rPr>
                <w:sz w:val="17"/>
              </w:rPr>
              <w:t>WLSSD002.noteNo = Lieferscheinnummer</w:t>
            </w:r>
          </w:p>
        </w:tc>
        <w:tc>
          <w:tcPr>
            <w:tcW w:type="dxa" w:w="2421"/>
          </w:tcPr>
          <w:p>
            <w:pPr>
              <w:spacing w:after="0" w:line="252" w:lineRule="auto"/>
            </w:pPr>
            <w:r>
              <w:rPr>
                <w:sz w:val="17"/>
              </w:rPr>
              <w:t>Standardfeld jedes Einlagerauftrags; keine Zusatzkonfiguration im WAMAS Touch nötig; ein Wert, einfach zu prüfen; reicht allein als Lieferscheinbezug</w:t>
            </w:r>
          </w:p>
        </w:tc>
        <w:tc>
          <w:tcPr>
            <w:tcW w:type="dxa" w:w="2421"/>
          </w:tcPr>
          <w:p>
            <w:pPr>
              <w:spacing w:after="0" w:line="252" w:lineRule="auto"/>
            </w:pPr>
            <w:r>
              <w:rPr>
                <w:sz w:val="17"/>
              </w:rPr>
              <w:t>max. 18 Zeichen; nur ein Wert (keine Bestellnummer); laut Manual nur informativ, keine Logik daran; Bezeichnung in WAMAS fest („Note number“/​Scheinnummer)</w:t>
            </w:r>
          </w:p>
        </w:tc>
      </w:tr>
      <w:tr>
        <w:tc>
          <w:tcPr>
            <w:tcW w:type="dxa" w:w="2260"/>
          </w:tcPr>
          <w:p>
            <w:pPr>
              <w:spacing w:after="0" w:line="252" w:lineRule="auto"/>
            </w:pPr>
            <w:r>
              <w:rPr>
                <w:b/>
                <w:sz w:val="17"/>
              </w:rPr>
              <w:t>Variante 2: noteNo plus extRef LIEFERSCHEIN (zusätzlich)</w:t>
            </w:r>
          </w:p>
        </w:tc>
        <w:tc>
          <w:tcPr>
            <w:tcW w:type="dxa" w:w="2421"/>
          </w:tcPr>
          <w:p>
            <w:pPr>
              <w:spacing w:after="0" w:line="252" w:lineRule="auto"/>
            </w:pPr>
            <w:r>
              <w:rPr>
                <w:sz w:val="17"/>
              </w:rPr>
              <w:t>noteNo = Lieferscheinnummer und WLSSDEXTREF001: extRefKey LIEFERSCHEIN, extRefVal1 Lieferscheinnummer, extRefVal2 Bestellnummer</w:t>
            </w:r>
          </w:p>
        </w:tc>
        <w:tc>
          <w:tcPr>
            <w:tcW w:type="dxa" w:w="2421"/>
          </w:tcPr>
          <w:p>
            <w:pPr>
              <w:spacing w:after="0" w:line="252" w:lineRule="auto"/>
            </w:pPr>
            <w:r>
              <w:rPr>
                <w:sz w:val="17"/>
              </w:rPr>
              <w:t>512 Zeichen je Wert; zweiter Wert für die Bestellnummer; am Touch über das InfoElement DemandExtRefLabeled mit Label anzeigbar (Konfiguration im Test vorhanden); 0 bis n Kopf-Referenzen möglich</w:t>
            </w:r>
          </w:p>
        </w:tc>
        <w:tc>
          <w:tcPr>
            <w:tcW w:type="dxa" w:w="2421"/>
          </w:tcPr>
          <w:p>
            <w:pPr>
              <w:spacing w:after="0" w:line="252" w:lineRule="auto"/>
            </w:pPr>
            <w:r>
              <w:rPr>
                <w:sz w:val="17"/>
              </w:rPr>
              <w:t>Lieferscheinnummer steht doppelt; Schlüssel muss genau zur Touch-Konfiguration passen; mehr Fehlerquellen (Einl000031 echt: extRefVal2 LS-AKU-1002 statt Bestellnummer)</w:t>
            </w:r>
          </w:p>
        </w:tc>
      </w:tr>
    </w:tbl>
    <w:p>
      <w:pPr>
        <w:pStyle w:val="BeschriftungSSI"/>
      </w:pPr>
      <w:r>
        <w:t>Tab. 6: Lieferschein: noteNo und externe Referenz LIEFERSCHEIN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Empfehlung</w:t>
            </w:r>
          </w:p>
          <w:p>
            <w:pPr>
              <w:spacing w:after="40"/>
            </w:pPr>
            <w:r>
              <w:rPr>
                <w:sz w:val="19"/>
              </w:rPr>
              <w:t>noteNo immer mit der Lieferscheinnummer füllen (Standard, reicht allein). Die Kopf-Referenz LIEFERSCHEIN bleibt als optionale Ergänzung, solange die Bestellnummer mitgegeben oder der Lieferschein am Touch über DemandExtRefLabeled angezeigt werden soll; dann extRefVal1 = noteNo (gleicher Wert) und extRefVal2 = Bestellnummer. Lieferscheinnummern über 18 Zeichen: noteNo gekürzt, Volltext in extRefVal1.</w:t>
            </w:r>
          </w:p>
        </w:tc>
      </w:tr>
    </w:tbl>
    <w:p>
      <w:pPr>
        <w:spacing w:after="40"/>
      </w:pPr>
    </w:p>
    <w:p>
      <w:pPr>
        <w:pStyle w:val="Heading2"/>
      </w:pPr>
      <w:r>
        <w:t>7.5 Zusatzinformationen info und info2</w:t>
      </w:r>
    </w:p>
    <w:p>
      <w:r>
        <w:t>info und info2 sind freie, optionale Textfelder am Kopf (WLSSD002) für Zusatzinformationen, je max. 256 Zeichen. Das Manual beschreibt sie als „Additional information relevant to the user can be added as free text“. WAMAS wertet sie nicht aus. Beispiel: info „Wagen KW-1001“ (so im echt gesendeten Einl000031), info2 leer oder z. B. Lieferant. An der Position (WLSSDL002) gibt es keine info-Felder; Wagen und Fach stehen dort in WLSSDLEXTREF001. [belegt]</w:t>
      </w:r>
    </w:p>
    <w:p>
      <w:pPr>
        <w:pStyle w:val="Heading2"/>
      </w:pPr>
      <w:r>
        <w:t>7.6 Seriennummer über CSIA 01 (csia1)</w:t>
      </w:r>
    </w:p>
    <w:p>
      <w:r>
        <w:t xml:space="preserve">Vorgabe: </w:t>
      </w:r>
      <w:r>
        <w:rPr>
          <w:b/>
        </w:rPr>
        <w:t>CSIA 1 = Seriennummer</w:t>
      </w:r>
      <w:r>
        <w:t xml:space="preserve"> [Vorgabe Nutzer] . Die Seriennummer wird je Position im Feld </w:t>
      </w:r>
      <w:r>
        <w:rPr>
          <w:rFonts w:ascii="Consolas" w:hAnsi="Consolas" w:cs="Consolas" w:eastAsia="Consolas"/>
          <w:sz w:val="18"/>
        </w:rPr>
        <w:t>csia1</w:t>
      </w:r>
      <w:r>
        <w:t xml:space="preserve"> des Satzes </w:t>
      </w:r>
      <w:r>
        <w:rPr>
          <w:rFonts w:ascii="Consolas" w:hAnsi="Consolas" w:cs="Consolas" w:eastAsia="Consolas"/>
          <w:sz w:val="18"/>
        </w:rPr>
        <w:t>WLSSDL002</w:t>
      </w:r>
      <w:r>
        <w:t xml:space="preserve"> mitgegeben (Text, max. 50). Damit WAMAS sie führt und am Lift abfragt, braucht der Artikel im Artikelstamm </w:t>
      </w:r>
      <w:r>
        <w:rPr>
          <w:rFonts w:ascii="Consolas" w:hAnsi="Consolas" w:cs="Consolas" w:eastAsia="Consolas"/>
          <w:sz w:val="18"/>
        </w:rPr>
        <w:t>csiaStockMode01</w:t>
      </w:r>
      <w:r>
        <w:t xml:space="preserve"> und </w:t>
      </w:r>
      <w:r>
        <w:rPr>
          <w:rFonts w:ascii="Consolas" w:hAnsi="Consolas" w:cs="Consolas" w:eastAsia="Consolas"/>
          <w:sz w:val="18"/>
        </w:rPr>
        <w:t>csiaIgRegistration01</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Echte Aufträge</w:t>
            </w:r>
          </w:p>
          <w:p>
            <w:pPr>
              <w:spacing w:after="40"/>
            </w:pPr>
            <w:r>
              <w:rPr>
                <w:sz w:val="19"/>
              </w:rPr>
              <w:t>Die echten Aufträge Einl000031 bis 33 (Akumax) haben keine Seriennummern: csia1 wird nicht gesendet bzw. bleibt leer, die Akumax-Artikel bekommen keine csia-Einstellungen (entspricht NOT_APPLICABLE).</w:t>
            </w:r>
          </w:p>
        </w:tc>
      </w:tr>
    </w:tbl>
    <w:p>
      <w:pPr>
        <w:spacing w:after="40"/>
      </w:pPr>
    </w:p>
    <w:p>
      <w:pPr>
        <w:pStyle w:val="Heading3"/>
      </w:pPr>
      <w:r>
        <w:t>7.6.1 Was belegt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97"/>
        <w:gridCol w:w="1134"/>
        <w:gridCol w:w="4194"/>
      </w:tblGrid>
      <w:tr>
        <w:trPr>
          <w:tblHeader w:val="true"/>
        </w:trPr>
        <w:tc>
          <w:tcPr>
            <w:tcW w:type="dxa" w:w="4197"/>
            <w:shd w:val="clear" w:color="auto" w:fill="FEEE19"/>
          </w:tcPr>
          <w:p>
            <w:pPr>
              <w:spacing w:after="0"/>
            </w:pPr>
            <w:r>
              <w:rPr>
                <w:b/>
                <w:sz w:val="17"/>
              </w:rPr>
              <w:t>Aussage</w:t>
            </w:r>
          </w:p>
        </w:tc>
        <w:tc>
          <w:tcPr>
            <w:tcW w:type="dxa" w:w="1134"/>
            <w:shd w:val="clear" w:color="auto" w:fill="FEEE19"/>
          </w:tcPr>
          <w:p>
            <w:pPr>
              <w:spacing w:after="0"/>
            </w:pPr>
            <w:r>
              <w:rPr>
                <w:b/>
                <w:sz w:val="17"/>
              </w:rPr>
              <w:t>Status</w:t>
            </w:r>
          </w:p>
        </w:tc>
        <w:tc>
          <w:tcPr>
            <w:tcW w:type="dxa" w:w="4194"/>
            <w:shd w:val="clear" w:color="auto" w:fill="FEEE19"/>
          </w:tcPr>
          <w:p>
            <w:pPr>
              <w:spacing w:after="0"/>
            </w:pPr>
            <w:r>
              <w:rPr>
                <w:b/>
                <w:sz w:val="17"/>
              </w:rPr>
              <w:t>Quelle</w:t>
            </w:r>
          </w:p>
        </w:tc>
      </w:tr>
      <w:tr>
        <w:tc>
          <w:tcPr>
            <w:tcW w:type="dxa" w:w="4197"/>
          </w:tcPr>
          <w:p>
            <w:pPr>
              <w:spacing w:after="0" w:line="252" w:lineRule="auto"/>
            </w:pPr>
            <w:r>
              <w:rPr>
                <w:sz w:val="17"/>
              </w:rPr>
              <w:t>CSIA heisst „customizable stock-identifying attributes“: bis zu 20 frei definierbare Bestandsmerkmale je Mandant, zusätzlich zu Charge, MHD und Herstelldatum. Sie gehören zum Bestandsobjekt (StockObject sia.csia.csia01 bis csia20).</w:t>
            </w:r>
          </w:p>
        </w:tc>
        <w:tc>
          <w:tcPr>
            <w:tcW w:type="dxa" w:w="1134"/>
          </w:tcPr>
          <w:p>
            <w:pPr>
              <w:spacing w:after="0" w:line="252" w:lineRule="auto"/>
            </w:pPr>
            <w:r>
              <w:rPr>
                <w:sz w:val="17"/>
              </w:rPr>
              <w:t>[belegt]</w:t>
            </w:r>
          </w:p>
        </w:tc>
        <w:tc>
          <w:tcPr>
            <w:tcW w:type="dxa" w:w="4194"/>
          </w:tcPr>
          <w:p>
            <w:pPr>
              <w:spacing w:after="0" w:line="252" w:lineRule="auto"/>
            </w:pPr>
            <w:r>
              <w:rPr>
                <w:sz w:val="17"/>
              </w:rPr>
              <w:t>IM S. 71 und 78; AM 3.6.1.7, S. 103</w:t>
            </w:r>
          </w:p>
        </w:tc>
      </w:tr>
      <w:tr>
        <w:tc>
          <w:tcPr>
            <w:tcW w:type="dxa" w:w="4197"/>
          </w:tcPr>
          <w:p>
            <w:pPr>
              <w:spacing w:after="0" w:line="252" w:lineRule="auto"/>
            </w:pPr>
            <w:r>
              <w:rPr>
                <w:sz w:val="17"/>
              </w:rPr>
              <w:t>Name, Datentyp (alphanumerisch, numerisch, Datum, ...), Länge und Zugriffsmodus jeder CSIA werden je Mandant im Dialog MD017 Maintain Client, Reiter Customizable SIA, festgelegt. Die Bezeichnung am Touch folgt dieser CSIA-Beschreibung.</w:t>
            </w:r>
          </w:p>
        </w:tc>
        <w:tc>
          <w:tcPr>
            <w:tcW w:type="dxa" w:w="1134"/>
          </w:tcPr>
          <w:p>
            <w:pPr>
              <w:spacing w:after="0" w:line="252" w:lineRule="auto"/>
            </w:pPr>
            <w:r>
              <w:rPr>
                <w:sz w:val="17"/>
              </w:rPr>
              <w:t>[belegt]</w:t>
            </w:r>
          </w:p>
        </w:tc>
        <w:tc>
          <w:tcPr>
            <w:tcW w:type="dxa" w:w="4194"/>
          </w:tcPr>
          <w:p>
            <w:pPr>
              <w:spacing w:after="0" w:line="252" w:lineRule="auto"/>
            </w:pPr>
            <w:r>
              <w:rPr>
                <w:sz w:val="17"/>
              </w:rPr>
              <w:t>AM S. 103/104; UM S. 60</w:t>
            </w:r>
          </w:p>
        </w:tc>
      </w:tr>
      <w:tr>
        <w:tc>
          <w:tcPr>
            <w:tcW w:type="dxa" w:w="4197"/>
          </w:tcPr>
          <w:p>
            <w:pPr>
              <w:spacing w:after="0" w:line="252" w:lineRule="auto"/>
            </w:pPr>
            <w:r>
              <w:rPr>
                <w:sz w:val="17"/>
              </w:rPr>
              <w:t>CSIA 01 bedeutet bei diesem Projekt Seriennummer. Das ist eine Festlegung, keine Vorgabe von WAMAS; in MD017 muss CSIA 01 aktiviert und z. B. „Seriennummer“ benannt sein.</w:t>
            </w:r>
          </w:p>
        </w:tc>
        <w:tc>
          <w:tcPr>
            <w:tcW w:type="dxa" w:w="1134"/>
          </w:tcPr>
          <w:p>
            <w:pPr>
              <w:spacing w:after="0" w:line="252" w:lineRule="auto"/>
            </w:pPr>
            <w:r>
              <w:rPr>
                <w:sz w:val="17"/>
              </w:rPr>
              <w:t>[Vorgabe Nutzer]</w:t>
            </w:r>
          </w:p>
        </w:tc>
        <w:tc>
          <w:tcPr>
            <w:tcW w:type="dxa" w:w="4194"/>
          </w:tcPr>
          <w:p>
            <w:pPr>
              <w:spacing w:after="0" w:line="252" w:lineRule="auto"/>
            </w:pPr>
            <w:r>
              <w:rPr>
                <w:sz w:val="17"/>
              </w:rPr>
              <w:t>Nutzer-Vorgabe</w:t>
            </w:r>
          </w:p>
        </w:tc>
      </w:tr>
      <w:tr>
        <w:tc>
          <w:tcPr>
            <w:tcW w:type="dxa" w:w="4197"/>
          </w:tcPr>
          <w:p>
            <w:pPr>
              <w:spacing w:after="0" w:line="252" w:lineRule="auto"/>
            </w:pPr>
            <w:r>
              <w:rPr>
                <w:sz w:val="17"/>
              </w:rPr>
              <w:t>Einlagerauftrag, Position WLSSDL002: CSIA 01 bis 20, XML-Kurzname csia1 bis csia20, Typ S, Länge 50, kein Pflichtfeld laut Tabelle. Die Beschreibung schreibt csia01 bis csia20; im JSON gilt der Kurzname csia1.</w:t>
            </w:r>
          </w:p>
        </w:tc>
        <w:tc>
          <w:tcPr>
            <w:tcW w:type="dxa" w:w="1134"/>
          </w:tcPr>
          <w:p>
            <w:pPr>
              <w:spacing w:after="0" w:line="252" w:lineRule="auto"/>
            </w:pPr>
            <w:r>
              <w:rPr>
                <w:sz w:val="17"/>
              </w:rPr>
              <w:t>[belegt]</w:t>
            </w:r>
          </w:p>
        </w:tc>
        <w:tc>
          <w:tcPr>
            <w:tcW w:type="dxa" w:w="4194"/>
          </w:tcPr>
          <w:p>
            <w:pPr>
              <w:spacing w:after="0" w:line="252" w:lineRule="auto"/>
            </w:pPr>
            <w:r>
              <w:rPr>
                <w:sz w:val="17"/>
              </w:rPr>
              <w:t>IM Tab. 40, S. 71/72, S. 78</w:t>
            </w:r>
          </w:p>
        </w:tc>
      </w:tr>
      <w:tr>
        <w:tc>
          <w:tcPr>
            <w:tcW w:type="dxa" w:w="4197"/>
          </w:tcPr>
          <w:p>
            <w:pPr>
              <w:spacing w:after="0" w:line="252" w:lineRule="auto"/>
            </w:pPr>
            <w:r>
              <w:rPr>
                <w:sz w:val="17"/>
              </w:rPr>
              <w:t>Artikelstamm WLSITEM001: csiaStockMode01 bis 20 (Bestandsmodus, Item stockModes.​csia01), csiaIgRegistration01 bis 20 (Erfassung im Wareneingang, IgItem.​registrationModes), csiaOgRegistration01 bis 20 (Erfassung im Warenausgang, OgItem). Je Enum E 14 mit NOT_APPLICABLE (keine Eingabe möglich), OPTIONAL (darf leer sein), MANDATORY (muss erfasst werden).</w:t>
            </w:r>
          </w:p>
        </w:tc>
        <w:tc>
          <w:tcPr>
            <w:tcW w:type="dxa" w:w="1134"/>
          </w:tcPr>
          <w:p>
            <w:pPr>
              <w:spacing w:after="0" w:line="252" w:lineRule="auto"/>
            </w:pPr>
            <w:r>
              <w:rPr>
                <w:sz w:val="17"/>
              </w:rPr>
              <w:t>[belegt]</w:t>
            </w:r>
          </w:p>
        </w:tc>
        <w:tc>
          <w:tcPr>
            <w:tcW w:type="dxa" w:w="4194"/>
          </w:tcPr>
          <w:p>
            <w:pPr>
              <w:spacing w:after="0" w:line="252" w:lineRule="auto"/>
            </w:pPr>
            <w:r>
              <w:rPr>
                <w:sz w:val="17"/>
              </w:rPr>
              <w:t>IM WLSITEM001 Tab. 14; Enums Tab. 25 und 29, S. 59 bis 61</w:t>
            </w:r>
          </w:p>
        </w:tc>
      </w:tr>
      <w:tr>
        <w:tc>
          <w:tcPr>
            <w:tcW w:type="dxa" w:w="4197"/>
          </w:tcPr>
          <w:p>
            <w:pPr>
              <w:spacing w:after="0" w:line="252" w:lineRule="auto"/>
            </w:pPr>
            <w:r>
              <w:rPr>
                <w:sz w:val="17"/>
              </w:rPr>
              <w:t>Am Touch (Artikel, Reiter Stock-Identifying Attribute) bedeutet MANDATORY: der Bediener muss die CSIA im Wareneingang, in der Bestandsführung oder im Warenausgang erfassen bzw. korrigieren; OPTIONAL: er kann; NOT_APPLICABLE: er darf nicht.</w:t>
            </w:r>
          </w:p>
        </w:tc>
        <w:tc>
          <w:tcPr>
            <w:tcW w:type="dxa" w:w="1134"/>
          </w:tcPr>
          <w:p>
            <w:pPr>
              <w:spacing w:after="0" w:line="252" w:lineRule="auto"/>
            </w:pPr>
            <w:r>
              <w:rPr>
                <w:sz w:val="17"/>
              </w:rPr>
              <w:t>[belegt]</w:t>
            </w:r>
          </w:p>
        </w:tc>
        <w:tc>
          <w:tcPr>
            <w:tcW w:type="dxa" w:w="4194"/>
          </w:tcPr>
          <w:p>
            <w:pPr>
              <w:spacing w:after="0" w:line="252" w:lineRule="auto"/>
            </w:pPr>
            <w:r>
              <w:rPr>
                <w:sz w:val="17"/>
              </w:rPr>
              <w:t>UM 5.1.5, S. 59; AM 3.6.3.3, S. 118</w:t>
            </w:r>
          </w:p>
        </w:tc>
      </w:tr>
      <w:tr>
        <w:tc>
          <w:tcPr>
            <w:tcW w:type="dxa" w:w="4197"/>
          </w:tcPr>
          <w:p>
            <w:pPr>
              <w:spacing w:after="0" w:line="252" w:lineRule="auto"/>
            </w:pPr>
            <w:r>
              <w:rPr>
                <w:sz w:val="17"/>
              </w:rPr>
              <w:t>Seriennummern verwaltet WAMAS über CSIA-Gruppierungen (MD080 Maintain CSIA Grouping) mit Eindeutigkeit No, Item, Client oder Global. Eine eindeutige CSIA wird bei jedem Anlegen oder Ändern eines Bestandsobjekts geprüft, auch im Wareneingang. Bei eindeutiger CSIA ist OPTIONAL nicht zulässig.</w:t>
            </w:r>
          </w:p>
        </w:tc>
        <w:tc>
          <w:tcPr>
            <w:tcW w:type="dxa" w:w="1134"/>
          </w:tcPr>
          <w:p>
            <w:pPr>
              <w:spacing w:after="0" w:line="252" w:lineRule="auto"/>
            </w:pPr>
            <w:r>
              <w:rPr>
                <w:sz w:val="17"/>
              </w:rPr>
              <w:t>[belegt]</w:t>
            </w:r>
          </w:p>
        </w:tc>
        <w:tc>
          <w:tcPr>
            <w:tcW w:type="dxa" w:w="4194"/>
          </w:tcPr>
          <w:p>
            <w:pPr>
              <w:spacing w:after="0" w:line="252" w:lineRule="auto"/>
            </w:pPr>
            <w:r>
              <w:rPr>
                <w:sz w:val="17"/>
              </w:rPr>
              <w:t>AM 3.6.10, S. 133/134; AM S. 118</w:t>
            </w:r>
          </w:p>
        </w:tc>
      </w:tr>
      <w:tr>
        <w:tc>
          <w:tcPr>
            <w:tcW w:type="dxa" w:w="4197"/>
          </w:tcPr>
          <w:p>
            <w:pPr>
              <w:spacing w:after="0" w:line="252" w:lineRule="auto"/>
            </w:pPr>
            <w:r>
              <w:rPr>
                <w:sz w:val="17"/>
              </w:rPr>
              <w:t>Zwei CSIA in einer Gruppierung bilden einen Bereich „von / bis“ (niedrigere Nummer = von), z. B. für Seriennummernbereiche; dann ist keine Eindeutigkeitsprüfung möglich.</w:t>
            </w:r>
          </w:p>
        </w:tc>
        <w:tc>
          <w:tcPr>
            <w:tcW w:type="dxa" w:w="1134"/>
          </w:tcPr>
          <w:p>
            <w:pPr>
              <w:spacing w:after="0" w:line="252" w:lineRule="auto"/>
            </w:pPr>
            <w:r>
              <w:rPr>
                <w:sz w:val="17"/>
              </w:rPr>
              <w:t>[belegt]</w:t>
            </w:r>
          </w:p>
        </w:tc>
        <w:tc>
          <w:tcPr>
            <w:tcW w:type="dxa" w:w="4194"/>
          </w:tcPr>
          <w:p>
            <w:pPr>
              <w:spacing w:after="0" w:line="252" w:lineRule="auto"/>
            </w:pPr>
            <w:r>
              <w:rPr>
                <w:sz w:val="17"/>
              </w:rPr>
              <w:t>AM S. 104 und 133</w:t>
            </w:r>
          </w:p>
        </w:tc>
      </w:tr>
      <w:tr>
        <w:tc>
          <w:tcPr>
            <w:tcW w:type="dxa" w:w="4197"/>
          </w:tcPr>
          <w:p>
            <w:pPr>
              <w:spacing w:after="0" w:line="252" w:lineRule="auto"/>
            </w:pPr>
            <w:r>
              <w:rPr>
                <w:sz w:val="17"/>
              </w:rPr>
              <w:t>Rückmeldung: WLSSDLACK001 (Position) und WLSSDLACTIVITYACK001 (je Einlagerbewegung) enthalten csia1 bis csia20 (S 50). Der Bestandsbericht enthält csia01 bis 20 und kann danach gruppieren.</w:t>
            </w:r>
          </w:p>
        </w:tc>
        <w:tc>
          <w:tcPr>
            <w:tcW w:type="dxa" w:w="1134"/>
          </w:tcPr>
          <w:p>
            <w:pPr>
              <w:spacing w:after="0" w:line="252" w:lineRule="auto"/>
            </w:pPr>
            <w:r>
              <w:rPr>
                <w:sz w:val="17"/>
              </w:rPr>
              <w:t>[belegt]</w:t>
            </w:r>
          </w:p>
        </w:tc>
        <w:tc>
          <w:tcPr>
            <w:tcW w:type="dxa" w:w="4194"/>
          </w:tcPr>
          <w:p>
            <w:pPr>
              <w:spacing w:after="0" w:line="252" w:lineRule="auto"/>
            </w:pPr>
            <w:r>
              <w:rPr>
                <w:sz w:val="17"/>
              </w:rPr>
              <w:t>IM Tab. 50/51, S. 84 bis 89, S. 93/94</w:t>
            </w:r>
          </w:p>
        </w:tc>
      </w:tr>
      <w:tr>
        <w:tc>
          <w:tcPr>
            <w:tcW w:type="dxa" w:w="4197"/>
          </w:tcPr>
          <w:p>
            <w:pPr>
              <w:spacing w:after="0" w:line="252" w:lineRule="auto"/>
            </w:pPr>
            <w:r>
              <w:rPr>
                <w:sz w:val="17"/>
              </w:rPr>
              <w:t>Am Touch sind standardmässig nur 5 CSIA nutzbar (Parameter logimat.​dialogs.​md002.​allowAllCsia); CSIA 01 liegt darin.</w:t>
            </w:r>
          </w:p>
        </w:tc>
        <w:tc>
          <w:tcPr>
            <w:tcW w:type="dxa" w:w="1134"/>
          </w:tcPr>
          <w:p>
            <w:pPr>
              <w:spacing w:after="0" w:line="252" w:lineRule="auto"/>
            </w:pPr>
            <w:r>
              <w:rPr>
                <w:sz w:val="17"/>
              </w:rPr>
              <w:t>[belegt]</w:t>
            </w:r>
          </w:p>
        </w:tc>
        <w:tc>
          <w:tcPr>
            <w:tcW w:type="dxa" w:w="4194"/>
          </w:tcPr>
          <w:p>
            <w:pPr>
              <w:spacing w:after="0" w:line="252" w:lineRule="auto"/>
            </w:pPr>
            <w:r>
              <w:rPr>
                <w:sz w:val="17"/>
              </w:rPr>
              <w:t>AM S. 173</w:t>
            </w:r>
          </w:p>
        </w:tc>
      </w:tr>
      <w:tr>
        <w:tc>
          <w:tcPr>
            <w:tcW w:type="dxa" w:w="4197"/>
          </w:tcPr>
          <w:p>
            <w:pPr>
              <w:spacing w:after="0" w:line="252" w:lineRule="auto"/>
            </w:pPr>
            <w:r>
              <w:rPr>
                <w:sz w:val="17"/>
              </w:rPr>
              <w:t>Die Referenz-App (WAMAS Web App) sendet bei Einlagerungen keine CSIA; csia1 bis 20 nutzt sie nur in der Inventur (INVENTUR_​CSIA_​KEYS). diff_​2.​7_​to_​2.​8.​md fordert „CSIA line-level im SD-Flow ergänzen“. de.json (csiaNote) behauptet, WLSITEM001 habe keine csia-Felder; das widerspricht dem Manual 2.8.</w:t>
            </w:r>
          </w:p>
        </w:tc>
        <w:tc>
          <w:tcPr>
            <w:tcW w:type="dxa" w:w="1134"/>
          </w:tcPr>
          <w:p>
            <w:pPr>
              <w:spacing w:after="0" w:line="252" w:lineRule="auto"/>
            </w:pPr>
            <w:r>
              <w:rPr>
                <w:sz w:val="17"/>
              </w:rPr>
              <w:t>[belegt]</w:t>
            </w:r>
          </w:p>
        </w:tc>
        <w:tc>
          <w:tcPr>
            <w:tcW w:type="dxa" w:w="4194"/>
          </w:tcPr>
          <w:p>
            <w:pPr>
              <w:spacing w:after="0" w:line="252" w:lineRule="auto"/>
            </w:pPr>
            <w:r>
              <w:rPr>
                <w:sz w:val="17"/>
              </w:rPr>
              <w:t>order_​builders.​py Z. 8, server.py Z. 572, diff_​2.​7_​to_​2.​8.​md Z. 31, de.json Z. 852</w:t>
            </w:r>
          </w:p>
        </w:tc>
      </w:tr>
    </w:tbl>
    <w:p>
      <w:pPr>
        <w:pStyle w:val="BeschriftungSSI"/>
      </w:pPr>
      <w:r>
        <w:t>Tab. 7: Was belegt ist</w:t>
      </w:r>
    </w:p>
    <w:p>
      <w:pPr>
        <w:pStyle w:val="Heading3"/>
      </w:pPr>
      <w:r>
        <w:t>7.6.2 Nötige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97"/>
        <w:gridCol w:w="3463"/>
        <w:gridCol w:w="3463"/>
      </w:tblGrid>
      <w:tr>
        <w:trPr>
          <w:tblHeader w:val="true"/>
        </w:trPr>
        <w:tc>
          <w:tcPr>
            <w:tcW w:type="dxa" w:w="2598"/>
            <w:shd w:val="clear" w:color="auto" w:fill="FEEE19"/>
          </w:tcPr>
          <w:p>
            <w:pPr>
              <w:spacing w:after="0"/>
            </w:pPr>
            <w:r>
              <w:rPr>
                <w:b/>
                <w:sz w:val="17"/>
              </w:rPr>
              <w:t>Ebene</w:t>
            </w:r>
          </w:p>
        </w:tc>
        <w:tc>
          <w:tcPr>
            <w:tcW w:type="dxa" w:w="3463"/>
            <w:shd w:val="clear" w:color="auto" w:fill="FEEE19"/>
          </w:tcPr>
          <w:p>
            <w:pPr>
              <w:spacing w:after="0"/>
            </w:pPr>
            <w:r>
              <w:rPr>
                <w:b/>
                <w:sz w:val="17"/>
              </w:rPr>
              <w:t>Einstellung für Seriennummer (CSIA 01)</w:t>
            </w:r>
          </w:p>
        </w:tc>
        <w:tc>
          <w:tcPr>
            <w:tcW w:type="dxa" w:w="3463"/>
            <w:shd w:val="clear" w:color="auto" w:fill="FEEE19"/>
          </w:tcPr>
          <w:p>
            <w:pPr>
              <w:spacing w:after="0"/>
            </w:pPr>
            <w:r>
              <w:rPr>
                <w:b/>
                <w:sz w:val="17"/>
              </w:rPr>
              <w:t>Status</w:t>
            </w:r>
          </w:p>
        </w:tc>
      </w:tr>
      <w:tr>
        <w:tc>
          <w:tcPr>
            <w:tcW w:type="dxa" w:w="2598"/>
          </w:tcPr>
          <w:p>
            <w:pPr>
              <w:spacing w:after="0" w:line="252" w:lineRule="auto"/>
            </w:pPr>
            <w:r>
              <w:rPr>
                <w:sz w:val="17"/>
              </w:rPr>
              <w:t>Mandant (WAMAS Desktop MD017)</w:t>
            </w:r>
          </w:p>
        </w:tc>
        <w:tc>
          <w:tcPr>
            <w:tcW w:type="dxa" w:w="3463"/>
          </w:tcPr>
          <w:p>
            <w:pPr>
              <w:spacing w:after="0" w:line="252" w:lineRule="auto"/>
            </w:pPr>
            <w:r>
              <w:rPr>
                <w:sz w:val="17"/>
              </w:rPr>
              <w:t>CSIA 01 aktivieren, Beschreibung „Seriennummer“, Datentyp alphanumerisch, Länge passend (max. 50 im Telegramm)</w:t>
            </w:r>
          </w:p>
        </w:tc>
        <w:tc>
          <w:tcPr>
            <w:tcW w:type="dxa" w:w="3463"/>
          </w:tcPr>
          <w:p>
            <w:pPr>
              <w:spacing w:after="0" w:line="252" w:lineRule="auto"/>
            </w:pPr>
            <w:r>
              <w:rPr>
                <w:sz w:val="17"/>
              </w:rPr>
              <w:t>[belegt] Einstellungen, [Annahme] konkrete Werte</w:t>
            </w:r>
          </w:p>
        </w:tc>
      </w:tr>
      <w:tr>
        <w:tc>
          <w:tcPr>
            <w:tcW w:type="dxa" w:w="2598"/>
          </w:tcPr>
          <w:p>
            <w:pPr>
              <w:spacing w:after="0" w:line="252" w:lineRule="auto"/>
            </w:pPr>
            <w:r>
              <w:rPr>
                <w:sz w:val="17"/>
              </w:rPr>
              <w:t>CSIA-Gruppierung (MD080), optional</w:t>
            </w:r>
          </w:p>
        </w:tc>
        <w:tc>
          <w:tcPr>
            <w:tcW w:type="dxa" w:w="3463"/>
          </w:tcPr>
          <w:p>
            <w:pPr>
              <w:spacing w:after="0" w:line="252" w:lineRule="auto"/>
            </w:pPr>
            <w:r>
              <w:rPr>
                <w:sz w:val="17"/>
              </w:rPr>
              <w:t>Gruppierung mit 1 CSIA, Eindeutigkeit Item (eine Seriennummer je Artikel nur einmal im Lager), CSIA 01 zuordnen</w:t>
            </w:r>
          </w:p>
        </w:tc>
        <w:tc>
          <w:tcPr>
            <w:tcW w:type="dxa" w:w="3463"/>
          </w:tcPr>
          <w:p>
            <w:pPr>
              <w:spacing w:after="0" w:line="252" w:lineRule="auto"/>
            </w:pPr>
            <w:r>
              <w:rPr>
                <w:sz w:val="17"/>
              </w:rPr>
              <w:t>[belegt] Funktion, [Annahme] Wahl Item</w:t>
            </w:r>
          </w:p>
        </w:tc>
      </w:tr>
      <w:tr>
        <w:tc>
          <w:tcPr>
            <w:tcW w:type="dxa" w:w="2598"/>
          </w:tcPr>
          <w:p>
            <w:pPr>
              <w:spacing w:after="0" w:line="252" w:lineRule="auto"/>
            </w:pPr>
            <w:r>
              <w:rPr>
                <w:sz w:val="17"/>
              </w:rPr>
              <w:t>Artikelstamm WLSITEM001: csiaStockMode01</w:t>
            </w:r>
          </w:p>
        </w:tc>
        <w:tc>
          <w:tcPr>
            <w:tcW w:type="dxa" w:w="3463"/>
          </w:tcPr>
          <w:p>
            <w:pPr>
              <w:spacing w:after="0" w:line="252" w:lineRule="auto"/>
            </w:pPr>
            <w:r>
              <w:rPr>
                <w:sz w:val="17"/>
              </w:rPr>
              <w:t>MANDATORY für Artikel mit Seriennummer (Bestand wird je Seriennummer geführt), NOT_APPLICABLE für alle anderen</w:t>
            </w:r>
          </w:p>
        </w:tc>
        <w:tc>
          <w:tcPr>
            <w:tcW w:type="dxa" w:w="3463"/>
          </w:tcPr>
          <w:p>
            <w:pPr>
              <w:spacing w:after="0" w:line="252" w:lineRule="auto"/>
            </w:pPr>
            <w:r>
              <w:rPr>
                <w:sz w:val="17"/>
              </w:rPr>
              <w:t>[belegt] Feld und Werte, [Annahme] Wirkung „je Seriennummer getrennt“</w:t>
            </w:r>
          </w:p>
        </w:tc>
      </w:tr>
      <w:tr>
        <w:tc>
          <w:tcPr>
            <w:tcW w:type="dxa" w:w="2598"/>
          </w:tcPr>
          <w:p>
            <w:pPr>
              <w:spacing w:after="0" w:line="252" w:lineRule="auto"/>
            </w:pPr>
            <w:r>
              <w:rPr>
                <w:sz w:val="17"/>
              </w:rPr>
              <w:t>Artikelstamm WLSITEM001: csiaIgRegistration01</w:t>
            </w:r>
          </w:p>
        </w:tc>
        <w:tc>
          <w:tcPr>
            <w:tcW w:type="dxa" w:w="3463"/>
          </w:tcPr>
          <w:p>
            <w:pPr>
              <w:spacing w:after="0" w:line="252" w:lineRule="auto"/>
            </w:pPr>
            <w:r>
              <w:rPr>
                <w:sz w:val="17"/>
              </w:rPr>
              <w:t>MANDATORY: Seriennummer muss beim Einlagern erfasst bzw. bestätigt werden (bei eindeutiger CSIA nur MANDATORY oder NOT_APPLICABLE)</w:t>
            </w:r>
          </w:p>
        </w:tc>
        <w:tc>
          <w:tcPr>
            <w:tcW w:type="dxa" w:w="3463"/>
          </w:tcPr>
          <w:p>
            <w:pPr>
              <w:spacing w:after="0" w:line="252" w:lineRule="auto"/>
            </w:pPr>
            <w:r>
              <w:rPr>
                <w:sz w:val="17"/>
              </w:rPr>
              <w:t>[belegt]</w:t>
            </w:r>
          </w:p>
        </w:tc>
      </w:tr>
      <w:tr>
        <w:tc>
          <w:tcPr>
            <w:tcW w:type="dxa" w:w="2598"/>
          </w:tcPr>
          <w:p>
            <w:pPr>
              <w:spacing w:after="0" w:line="252" w:lineRule="auto"/>
            </w:pPr>
            <w:r>
              <w:rPr>
                <w:sz w:val="17"/>
              </w:rPr>
              <w:t>Artikelstamm WLSITEM001: csiaOgRegistration01</w:t>
            </w:r>
          </w:p>
        </w:tc>
        <w:tc>
          <w:tcPr>
            <w:tcW w:type="dxa" w:w="3463"/>
          </w:tcPr>
          <w:p>
            <w:pPr>
              <w:spacing w:after="0" w:line="252" w:lineRule="auto"/>
            </w:pPr>
            <w:r>
              <w:rPr>
                <w:sz w:val="17"/>
              </w:rPr>
              <w:t>MANDATORY, wenn die Seriennummer auch beim Auslagern erfasst werden soll; sonst NOT_APPLICABLE</w:t>
            </w:r>
          </w:p>
        </w:tc>
        <w:tc>
          <w:tcPr>
            <w:tcW w:type="dxa" w:w="3463"/>
          </w:tcPr>
          <w:p>
            <w:pPr>
              <w:spacing w:after="0" w:line="252" w:lineRule="auto"/>
            </w:pPr>
            <w:r>
              <w:rPr>
                <w:sz w:val="17"/>
              </w:rPr>
              <w:t>[belegt] Feld, [Annahme] Bedarf</w:t>
            </w:r>
          </w:p>
        </w:tc>
      </w:tr>
      <w:tr>
        <w:tc>
          <w:tcPr>
            <w:tcW w:type="dxa" w:w="2598"/>
          </w:tcPr>
          <w:p>
            <w:pPr>
              <w:spacing w:after="0" w:line="252" w:lineRule="auto"/>
            </w:pPr>
            <w:r>
              <w:rPr>
                <w:sz w:val="17"/>
              </w:rPr>
              <w:t>Einlagerauftrag WLSSDL002: csia1</w:t>
            </w:r>
          </w:p>
        </w:tc>
        <w:tc>
          <w:tcPr>
            <w:tcW w:type="dxa" w:w="3463"/>
          </w:tcPr>
          <w:p>
            <w:pPr>
              <w:spacing w:after="0" w:line="252" w:lineRule="auto"/>
            </w:pPr>
            <w:r>
              <w:rPr>
                <w:sz w:val="17"/>
              </w:rPr>
              <w:t>Seriennummer je Position; eine Position je Seriennummer mit baseQty 1</w:t>
            </w:r>
          </w:p>
        </w:tc>
        <w:tc>
          <w:tcPr>
            <w:tcW w:type="dxa" w:w="3463"/>
          </w:tcPr>
          <w:p>
            <w:pPr>
              <w:spacing w:after="0" w:line="252" w:lineRule="auto"/>
            </w:pPr>
            <w:r>
              <w:rPr>
                <w:sz w:val="17"/>
              </w:rPr>
              <w:t>[belegt] Feld, [Annahme] eine Position je Stück</w:t>
            </w:r>
          </w:p>
        </w:tc>
      </w:tr>
    </w:tbl>
    <w:p>
      <w:pPr>
        <w:pStyle w:val="BeschriftungSSI"/>
      </w:pPr>
      <w:r>
        <w:t>Tab. 8: Nötige Einstellungen</w:t>
      </w:r>
    </w:p>
    <w:p>
      <w:pPr>
        <w:pStyle w:val="Heading3"/>
      </w:pPr>
      <w:r>
        <w:t>7.6.3 Was am Lift passiert</w:t>
      </w:r>
    </w:p>
    <w:p>
      <w:pPr>
        <w:tabs>
          <w:tab w:pos="425" w:val="left"/>
        </w:tabs>
        <w:spacing w:after="60"/>
        <w:ind w:left="425" w:hanging="425"/>
      </w:pPr>
      <w:r>
        <w:rPr>
          <w:b/>
        </w:rPr>
        <w:t>1.</w:t>
        <w:tab/>
      </w:r>
      <w:r>
        <w:t>WAMAS übernimmt csia1 als bestellten CSIA-Wert der Position (sqa.csia.csia01). [belegt] Feld im ACK, [Annahme] Übernahme als Vorgabe</w:t>
      </w:r>
    </w:p>
    <w:p>
      <w:pPr>
        <w:tabs>
          <w:tab w:pos="425" w:val="left"/>
        </w:tabs>
        <w:spacing w:after="60"/>
        <w:ind w:left="425" w:hanging="425"/>
      </w:pPr>
      <w:r>
        <w:rPr>
          <w:b/>
        </w:rPr>
        <w:t>2.</w:t>
        <w:tab/>
      </w:r>
      <w:r>
        <w:t>Am Lift zeigt der Touch das Feld mit der Bezeichnung aus MD017 („Seriennummer“). Bei csiaIgRegistration01 MANDATORY muss der Bediener die Seriennummer erfassen bzw. bestätigen, bevor er die Einlagerung abschliesst. [belegt] Pflichterfassung, [Annahme] genaue Maske und ob vorbelegt</w:t>
      </w:r>
    </w:p>
    <w:p>
      <w:pPr>
        <w:tabs>
          <w:tab w:pos="425" w:val="left"/>
        </w:tabs>
        <w:spacing w:after="60"/>
        <w:ind w:left="425" w:hanging="425"/>
      </w:pPr>
      <w:r>
        <w:rPr>
          <w:b/>
        </w:rPr>
        <w:t>3.</w:t>
        <w:tab/>
      </w:r>
      <w:r>
        <w:t>Ist CSIA 01 eindeutig (MD080), lehnt WAMAS eine Seriennummer ab, die es für den Artikel schon im Lager gibt. [belegt]</w:t>
      </w:r>
    </w:p>
    <w:p>
      <w:pPr>
        <w:tabs>
          <w:tab w:pos="425" w:val="left"/>
        </w:tabs>
        <w:spacing w:after="60"/>
        <w:ind w:left="425" w:hanging="425"/>
      </w:pPr>
      <w:r>
        <w:rPr>
          <w:b/>
        </w:rPr>
        <w:t>4.</w:t>
        <w:tab/>
      </w:r>
      <w:r>
        <w:t>Das Bestandsobjekt im Fach trägt die Seriennummer; Auslagerung und Inventur können danach suchen und gruppieren. [belegt] Bestandsmerkmal, [Annahme] Nutzung</w:t>
      </w:r>
    </w:p>
    <w:p>
      <w:pPr>
        <w:tabs>
          <w:tab w:pos="425" w:val="left"/>
        </w:tabs>
        <w:spacing w:after="60"/>
        <w:ind w:left="425" w:hanging="425"/>
      </w:pPr>
      <w:r>
        <w:rPr>
          <w:b/>
        </w:rPr>
        <w:t>5.</w:t>
        <w:tab/>
      </w:r>
      <w:r>
        <w:t>WAMAS meldet die tatsächlich eingelagerte Seriennummer im ACK an BC Dynamics zurück (WLSSDLACTIVITYACK001.csia1); BC kann sie mit der gesendeten vergleichen. [belegt] Feld, [Annahme] Auswertung in BC</w:t>
      </w:r>
    </w:p>
    <w:p>
      <w:pPr>
        <w:tabs>
          <w:tab w:pos="425" w:val="left"/>
        </w:tabs>
        <w:spacing w:after="60"/>
        <w:ind w:left="425" w:hanging="425"/>
      </w:pPr>
      <w:r>
        <w:rPr>
          <w:b/>
        </w:rPr>
        <w:t>6.</w:t>
        <w:tab/>
      </w:r>
      <w:r>
        <w:t>Fehlt csia1 bei einem Artikel mit csiaIgRegistration01 MANDATORY, muss der Bediener die Seriennummer am Lift erfassen; ob WAMAS den Auftrag schon beim Import ablehnt, ist nicht belegt. [Annahme]</w:t>
      </w:r>
    </w:p>
    <w:p>
      <w:pPr>
        <w:pStyle w:val="Heading3"/>
      </w:pPr>
      <w:r>
        <w:t>7.6.4 Beispiel (nicht aus den Akumax-Aufträgen)</w:t>
      </w:r>
    </w:p>
    <w:p>
      <w:r>
        <w:t>Position mit Seriennummer, ein Stück je Position; Artikel und Werte sind erfunden und dienen nur der Darstellung:</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"Einl0000xx",</w:t>
            </w:r>
          </w:p>
          <w:p>
            <w:pPr>
              <w:pStyle w:val="Code"/>
            </w:pPr>
            <w:r>
              <w:t xml:space="preserve">  "sysPartnerLine": 1,</w:t>
            </w:r>
          </w:p>
          <w:p>
            <w:pPr>
              <w:pStyle w:val="Code"/>
            </w:pPr>
            <w:r>
              <w:t xml:space="preserve">  "recordState": "",</w:t>
            </w:r>
          </w:p>
          <w:p>
            <w:pPr>
              <w:pStyle w:val="Code"/>
            </w:pPr>
            <w:r>
              <w:t xml:space="preserve">  "itemNo": "SN-ARTIKEL-01",</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1.0,</w:t>
            </w:r>
          </w:p>
          <w:p>
            <w:pPr>
              <w:pStyle w:val="Code"/>
            </w:pPr>
            <w:r>
              <w:t xml:space="preserve">  "csia1": "SN-0001234",</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"Einl0000xx",</w:t>
            </w:r>
          </w:p>
          <w:p>
            <w:pPr>
              <w:pStyle w:val="Code"/>
            </w:pPr>
            <w:r>
              <w:t xml:space="preserve">      "extRefKey": "WAGE",</w:t>
            </w:r>
          </w:p>
          <w:p>
            <w:pPr>
              <w:pStyle w:val="Code"/>
            </w:pPr>
            <w:r>
              <w:t xml:space="preserve">      "extRefVal1": "KW-1001",</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w:t>
            </w:r>
          </w:p>
        </w:tc>
      </w:tr>
    </w:tbl>
    <w:p>
      <w:pPr>
        <w:pStyle w:val="BeschriftungSSI"/>
      </w:pPr>
      <w:r>
        <w:t>Abb. 4: Aufbau: Beispiel (nicht aus den Akumax-Aufträgen)</w:t>
      </w:r>
    </w:p>
    <w:p>
      <w:r>
        <w:t>Dazu im Artikelstamm (Ausschnitt WLSITEM001):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"itemNo": "SN-ARTIKEL-01",</w:t>
            </w:r>
          </w:p>
          <w:p>
            <w:pPr>
              <w:pStyle w:val="Code"/>
            </w:pPr>
            <w:r>
              <w:t xml:space="preserve">  "csiaStockMode01": "MANDATORY",</w:t>
            </w:r>
          </w:p>
          <w:p>
            <w:pPr>
              <w:pStyle w:val="Code"/>
            </w:pPr>
            <w:r>
              <w:t xml:space="preserve">  "csiaIgRegistration01": "MANDATORY",</w:t>
            </w:r>
          </w:p>
          <w:p>
            <w:pPr>
              <w:pStyle w:val="Code"/>
            </w:pPr>
            <w:r>
              <w:t xml:space="preserve">  "csiaOgRegistration01": "MANDATORY"</w:t>
            </w:r>
          </w:p>
          <w:p>
            <w:pPr>
              <w:pStyle w:val="Code"/>
            </w:pPr>
            <w:r>
              <w:t>}</w:t>
            </w:r>
          </w:p>
        </w:tc>
      </w:tr>
    </w:tbl>
    <w:p>
      <w:pPr>
        <w:pStyle w:val="BeschriftungSSI"/>
      </w:pPr>
      <w:r>
        <w:t>Abb. 5: Aufbau: Beispiel (nicht aus den Akumax-Aufträgen)</w:t>
      </w:r>
    </w:p>
    <w:p>
      <w:pPr>
        <w:pStyle w:val="Heading2"/>
      </w:pPr>
      <w:r>
        <w:t>7.7 Charge (batch) und MHD (bbDate)</w:t>
      </w:r>
    </w:p>
    <w:p>
      <w:r>
        <w:t xml:space="preserve">Charge und Mindesthaltbarkeitsdatum gehen je Position in die Standardfelder </w:t>
      </w:r>
      <w:r>
        <w:rPr>
          <w:rFonts w:ascii="Consolas" w:hAnsi="Consolas" w:cs="Consolas" w:eastAsia="Consolas"/>
          <w:sz w:val="18"/>
        </w:rPr>
        <w:t>batch</w:t>
      </w:r>
      <w:r>
        <w:t xml:space="preserve"> (Text, max. 20) und </w:t>
      </w:r>
      <w:r>
        <w:rPr>
          <w:rFonts w:ascii="Consolas" w:hAnsi="Consolas" w:cs="Consolas" w:eastAsia="Consolas"/>
          <w:sz w:val="18"/>
        </w:rPr>
        <w:t>bbDate</w:t>
      </w:r>
      <w:r>
        <w:t xml:space="preserve"> (Datum, 8 Stellen JJJJMMTT) des Satzes </w:t>
      </w:r>
      <w:r>
        <w:rPr>
          <w:rFonts w:ascii="Consolas" w:hAnsi="Consolas" w:cs="Consolas" w:eastAsia="Consolas"/>
          <w:sz w:val="18"/>
        </w:rPr>
        <w:t>WLSSDL002</w:t>
      </w:r>
      <w:r>
        <w:t xml:space="preserve">. Das sind keine CSIA-Felder; die Seriennummer bleibt in </w:t>
      </w:r>
      <w:r>
        <w:rPr>
          <w:rFonts w:ascii="Consolas" w:hAnsi="Consolas" w:cs="Consolas" w:eastAsia="Consolas"/>
          <w:sz w:val="18"/>
        </w:rPr>
        <w:t>csia1</w:t>
      </w:r>
      <w:r>
        <w:t xml:space="preserve">. Damit WAMAS Charge und MHD führt und am Lift abfragt, braucht der Artikel im Artikelstamm die Einstellungen </w:t>
      </w:r>
      <w:r>
        <w:rPr>
          <w:rFonts w:ascii="Consolas" w:hAnsi="Consolas" w:cs="Consolas" w:eastAsia="Consolas"/>
          <w:sz w:val="18"/>
        </w:rPr>
        <w:t>batchStockMode</w:t>
      </w:r>
      <w:r>
        <w:t xml:space="preserve"> / </w:t>
      </w:r>
      <w:r>
        <w:rPr>
          <w:rFonts w:ascii="Consolas" w:hAnsi="Consolas" w:cs="Consolas" w:eastAsia="Consolas"/>
          <w:sz w:val="18"/>
        </w:rPr>
        <w:t>igBatchRegistration</w:t>
      </w:r>
      <w:r>
        <w:t xml:space="preserve"> bzw. </w:t>
      </w:r>
      <w:r>
        <w:rPr>
          <w:rFonts w:ascii="Consolas" w:hAnsi="Consolas" w:cs="Consolas" w:eastAsia="Consolas"/>
          <w:sz w:val="18"/>
        </w:rPr>
        <w:t>bbDateStockMode</w:t>
      </w:r>
      <w:r>
        <w:t xml:space="preserve"> / </w:t>
      </w:r>
      <w:r>
        <w:rPr>
          <w:rFonts w:ascii="Consolas" w:hAnsi="Consolas" w:cs="Consolas" w:eastAsia="Consolas"/>
          <w:sz w:val="18"/>
        </w:rPr>
        <w:t>igBbDateRegistration</w:t>
      </w:r>
      <w:r>
        <w:t>. [belegt]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Echte Aufträge</w:t>
            </w:r>
          </w:p>
          <w:p>
            <w:pPr>
              <w:spacing w:after="40"/>
            </w:pPr>
            <w:r>
              <w:rPr>
                <w:sz w:val="19"/>
              </w:rPr>
              <w:t>Die echten Aufträge Einl000031 bis 33 (Akumax) senden keine Charge und kein MHD; batch und bbDate sind leer, die Artikel haben keine Einstellungen. Fachlich naheliegend wären Charge und MHD z. B. für die sterilen Akupunkturnadeln (JB-...) und die Öle und Lotionen (SCH-..., SF-...). Das ist ein Vorschlag, keine Vorgabe.</w:t>
            </w:r>
          </w:p>
        </w:tc>
      </w:tr>
    </w:tbl>
    <w:p>
      <w:pPr>
        <w:spacing w:after="40"/>
      </w:pPr>
    </w:p>
    <w:p>
      <w:pPr>
        <w:pStyle w:val="Heading3"/>
      </w:pPr>
      <w:r>
        <w:t>7.7.1 Was belegt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082"/>
        <w:gridCol w:w="1360"/>
        <w:gridCol w:w="4082"/>
      </w:tblGrid>
      <w:tr>
        <w:trPr>
          <w:tblHeader w:val="true"/>
        </w:trPr>
        <w:tc>
          <w:tcPr>
            <w:tcW w:type="dxa" w:w="4082"/>
            <w:shd w:val="clear" w:color="auto" w:fill="FEEE19"/>
          </w:tcPr>
          <w:p>
            <w:pPr>
              <w:spacing w:after="0"/>
            </w:pPr>
            <w:r>
              <w:rPr>
                <w:b/>
                <w:sz w:val="17"/>
              </w:rPr>
              <w:t>Aussage</w:t>
            </w:r>
          </w:p>
        </w:tc>
        <w:tc>
          <w:tcPr>
            <w:tcW w:type="dxa" w:w="1361"/>
            <w:shd w:val="clear" w:color="auto" w:fill="FEEE19"/>
          </w:tcPr>
          <w:p>
            <w:pPr>
              <w:spacing w:after="0"/>
            </w:pPr>
            <w:r>
              <w:rPr>
                <w:b/>
                <w:sz w:val="17"/>
              </w:rPr>
              <w:t>Status</w:t>
            </w:r>
          </w:p>
        </w:tc>
        <w:tc>
          <w:tcPr>
            <w:tcW w:type="dxa" w:w="4082"/>
            <w:shd w:val="clear" w:color="auto" w:fill="FEEE19"/>
          </w:tcPr>
          <w:p>
            <w:pPr>
              <w:spacing w:after="0"/>
            </w:pPr>
            <w:r>
              <w:rPr>
                <w:b/>
                <w:sz w:val="17"/>
              </w:rPr>
              <w:t>Quelle</w:t>
            </w:r>
          </w:p>
        </w:tc>
      </w:tr>
      <w:tr>
        <w:tc>
          <w:tcPr>
            <w:tcW w:type="dxa" w:w="4082"/>
          </w:tcPr>
          <w:p>
            <w:pPr>
              <w:spacing w:after="0" w:line="252" w:lineRule="auto"/>
            </w:pPr>
            <w:r>
              <w:rPr>
                <w:sz w:val="17"/>
              </w:rPr>
              <w:t>Die Position WLSSDL002 hat die Felder batch (Charge, S 20), bbDate (MHD, DA 8) und prodDate (Herstelldatum, DA 8), alle laut Tabelle optional. Sie stehen zwischen numBquWqu und baseQty.</w:t>
            </w:r>
          </w:p>
        </w:tc>
        <w:tc>
          <w:tcPr>
            <w:tcW w:type="dxa" w:w="1361"/>
          </w:tcPr>
          <w:p>
            <w:pPr>
              <w:spacing w:after="0" w:line="252" w:lineRule="auto"/>
            </w:pPr>
            <w:r>
              <w:rPr>
                <w:sz w:val="17"/>
              </w:rPr>
              <w:t>[belegt]</w:t>
            </w:r>
          </w:p>
        </w:tc>
        <w:tc>
          <w:tcPr>
            <w:tcW w:type="dxa" w:w="4082"/>
          </w:tcPr>
          <w:p>
            <w:pPr>
              <w:spacing w:after="0" w:line="252" w:lineRule="auto"/>
            </w:pPr>
            <w:r>
              <w:rPr>
                <w:sz w:val="17"/>
              </w:rPr>
              <w:t>IM Tab. 40 Nr. 7 bis 9, S. 70; Beschreibung S. 78</w:t>
            </w:r>
          </w:p>
        </w:tc>
      </w:tr>
      <w:tr>
        <w:tc>
          <w:tcPr>
            <w:tcW w:type="dxa" w:w="4082"/>
          </w:tcPr>
          <w:p>
            <w:pPr>
              <w:spacing w:after="0" w:line="252" w:lineRule="auto"/>
            </w:pPr>
            <w:r>
              <w:rPr>
                <w:sz w:val="17"/>
              </w:rPr>
              <w:t>Datumsfelder vom Typ DA haben immer 8 Stellen im Format JJJJMMTT, z. B. 20280331. Ein Datum wie 31.03.2028 oder 2028-03-31 ist im Telegramm nicht zulässig.</w:t>
            </w:r>
          </w:p>
        </w:tc>
        <w:tc>
          <w:tcPr>
            <w:tcW w:type="dxa" w:w="1361"/>
          </w:tcPr>
          <w:p>
            <w:pPr>
              <w:spacing w:after="0" w:line="252" w:lineRule="auto"/>
            </w:pPr>
            <w:r>
              <w:rPr>
                <w:sz w:val="17"/>
              </w:rPr>
              <w:t>[belegt]</w:t>
            </w:r>
          </w:p>
        </w:tc>
        <w:tc>
          <w:tcPr>
            <w:tcW w:type="dxa" w:w="4082"/>
          </w:tcPr>
          <w:p>
            <w:pPr>
              <w:spacing w:after="0" w:line="252" w:lineRule="auto"/>
            </w:pPr>
            <w:r>
              <w:rPr>
                <w:sz w:val="17"/>
              </w:rPr>
              <w:t>IM Tab. 6, S. 30</w:t>
            </w:r>
          </w:p>
        </w:tc>
      </w:tr>
      <w:tr>
        <w:tc>
          <w:tcPr>
            <w:tcW w:type="dxa" w:w="4082"/>
          </w:tcPr>
          <w:p>
            <w:pPr>
              <w:spacing w:after="0" w:line="252" w:lineRule="auto"/>
            </w:pPr>
            <w:r>
              <w:rPr>
                <w:sz w:val="17"/>
              </w:rPr>
              <w:t>Überschreitet ein Wert die Feldlänge, setzt WAMAS das Telegramm auf Error. BC Dynamics muss Chargennummern über 20 Zeichen vor dem Senden abweisen.</w:t>
            </w:r>
          </w:p>
        </w:tc>
        <w:tc>
          <w:tcPr>
            <w:tcW w:type="dxa" w:w="1361"/>
          </w:tcPr>
          <w:p>
            <w:pPr>
              <w:spacing w:after="0" w:line="252" w:lineRule="auto"/>
            </w:pPr>
            <w:r>
              <w:rPr>
                <w:sz w:val="17"/>
              </w:rPr>
              <w:t>[belegt]</w:t>
            </w:r>
          </w:p>
        </w:tc>
        <w:tc>
          <w:tcPr>
            <w:tcW w:type="dxa" w:w="4082"/>
          </w:tcPr>
          <w:p>
            <w:pPr>
              <w:spacing w:after="0" w:line="252" w:lineRule="auto"/>
            </w:pPr>
            <w:r>
              <w:rPr>
                <w:sz w:val="17"/>
              </w:rPr>
              <w:t>IM Tab. 6, S. 30</w:t>
            </w:r>
          </w:p>
        </w:tc>
      </w:tr>
      <w:tr>
        <w:tc>
          <w:tcPr>
            <w:tcW w:type="dxa" w:w="4082"/>
          </w:tcPr>
          <w:p>
            <w:pPr>
              <w:spacing w:after="0" w:line="252" w:lineRule="auto"/>
            </w:pPr>
            <w:r>
              <w:rPr>
                <w:sz w:val="17"/>
              </w:rPr>
              <w:t>Die Referenz-App prüft batch bisher auf 50 Zeichen; für WAMAS 2.8 gilt 20.</w:t>
            </w:r>
          </w:p>
        </w:tc>
        <w:tc>
          <w:tcPr>
            <w:tcW w:type="dxa" w:w="1361"/>
          </w:tcPr>
          <w:p>
            <w:pPr>
              <w:spacing w:after="0" w:line="252" w:lineRule="auto"/>
            </w:pPr>
            <w:r>
              <w:rPr>
                <w:sz w:val="17"/>
              </w:rPr>
              <w:t>[belegt]</w:t>
            </w:r>
          </w:p>
        </w:tc>
        <w:tc>
          <w:tcPr>
            <w:tcW w:type="dxa" w:w="4082"/>
          </w:tcPr>
          <w:p>
            <w:pPr>
              <w:spacing w:after="0" w:line="252" w:lineRule="auto"/>
            </w:pPr>
            <w:r>
              <w:rPr>
                <w:sz w:val="17"/>
              </w:rPr>
              <w:t>server.py Z. 1359</w:t>
            </w:r>
          </w:p>
        </w:tc>
      </w:tr>
      <w:tr>
        <w:tc>
          <w:tcPr>
            <w:tcW w:type="dxa" w:w="4082"/>
          </w:tcPr>
          <w:p>
            <w:pPr>
              <w:spacing w:after="0" w:line="252" w:lineRule="auto"/>
            </w:pPr>
            <w:r>
              <w:rPr>
                <w:sz w:val="17"/>
              </w:rPr>
              <w:t>Die Akumax-Aufträge Einl000031 bis 33 senden batch, bbDate und prodDate leer; die Akumax-Artikel haben keine Charge- oder MHD-Einstellungen.</w:t>
            </w:r>
          </w:p>
        </w:tc>
        <w:tc>
          <w:tcPr>
            <w:tcW w:type="dxa" w:w="1361"/>
          </w:tcPr>
          <w:p>
            <w:pPr>
              <w:spacing w:after="0" w:line="252" w:lineRule="auto"/>
            </w:pPr>
            <w:r>
              <w:rPr>
                <w:sz w:val="17"/>
              </w:rPr>
              <w:t>[belegt]</w:t>
            </w:r>
          </w:p>
        </w:tc>
        <w:tc>
          <w:tcPr>
            <w:tcW w:type="dxa" w:w="4082"/>
          </w:tcPr>
          <w:p>
            <w:pPr>
              <w:spacing w:after="0" w:line="252" w:lineRule="auto"/>
            </w:pPr>
            <w:r>
              <w:rPr>
                <w:sz w:val="17"/>
              </w:rPr>
              <w:t>Telegramme out/​einlagerungen, akumax_​items_​payload.​json</w:t>
            </w:r>
          </w:p>
        </w:tc>
      </w:tr>
      <w:tr>
        <w:tc>
          <w:tcPr>
            <w:tcW w:type="dxa" w:w="4082"/>
          </w:tcPr>
          <w:p>
            <w:pPr>
              <w:spacing w:after="0" w:line="252" w:lineRule="auto"/>
            </w:pPr>
            <w:r>
              <w:rPr>
                <w:sz w:val="17"/>
              </w:rPr>
              <w:t>Artikelstamm WLSITEM001 steuert je Merkmal drei Ebenen: Bestandsführung (batchStockMode, bbDateStockMode, prodDateStockMode), Erfassung im Wareneingang (igBatchRegistration, igBbDateRegistration, igProdDateRegistration) und Erfassung im Warenausgang (ogBatchRegistration, ogBbDateRegistration, ogProdDateRegistration). Je Enum E 14 mit NOT_APPLICABLE, OPTIONAL, MANDATORY.</w:t>
            </w:r>
          </w:p>
        </w:tc>
        <w:tc>
          <w:tcPr>
            <w:tcW w:type="dxa" w:w="1361"/>
          </w:tcPr>
          <w:p>
            <w:pPr>
              <w:spacing w:after="0" w:line="252" w:lineRule="auto"/>
            </w:pPr>
            <w:r>
              <w:rPr>
                <w:sz w:val="17"/>
              </w:rPr>
              <w:t>[belegt]</w:t>
            </w:r>
          </w:p>
        </w:tc>
        <w:tc>
          <w:tcPr>
            <w:tcW w:type="dxa" w:w="4082"/>
          </w:tcPr>
          <w:p>
            <w:pPr>
              <w:spacing w:after="0" w:line="252" w:lineRule="auto"/>
            </w:pPr>
            <w:r>
              <w:rPr>
                <w:sz w:val="17"/>
              </w:rPr>
              <w:t>IM Tab. 14 Nr. 7 bis 9, 30 bis 32, 53 bis 55; Enums Tab. 22 bis 32, S. 58 bis 61</w:t>
            </w:r>
          </w:p>
        </w:tc>
      </w:tr>
      <w:tr>
        <w:tc>
          <w:tcPr>
            <w:tcW w:type="dxa" w:w="4082"/>
          </w:tcPr>
          <w:p>
            <w:pPr>
              <w:spacing w:after="0" w:line="252" w:lineRule="auto"/>
            </w:pPr>
            <w:r>
              <w:rPr>
                <w:sz w:val="17"/>
              </w:rPr>
              <w:t>Die Referenz-App erzwingt: bbDateStockMode MANDATORY verlangt igBbDateRegistration MANDATORY. Der „Charge-Cluster“ der Referenz-App setzt batchStockMode, igBatchRegistration und ogBatchRegistration gleich.</w:t>
            </w:r>
          </w:p>
        </w:tc>
        <w:tc>
          <w:tcPr>
            <w:tcW w:type="dxa" w:w="1361"/>
          </w:tcPr>
          <w:p>
            <w:pPr>
              <w:spacing w:after="0" w:line="252" w:lineRule="auto"/>
            </w:pPr>
            <w:r>
              <w:rPr>
                <w:sz w:val="17"/>
              </w:rPr>
              <w:t>[belegt]</w:t>
            </w:r>
          </w:p>
        </w:tc>
        <w:tc>
          <w:tcPr>
            <w:tcW w:type="dxa" w:w="4082"/>
          </w:tcPr>
          <w:p>
            <w:pPr>
              <w:spacing w:after="0" w:line="252" w:lineRule="auto"/>
            </w:pPr>
            <w:r>
              <w:rPr>
                <w:sz w:val="17"/>
              </w:rPr>
              <w:t>server.py Z. 166; de.json chargeClusterNote</w:t>
            </w:r>
          </w:p>
        </w:tc>
      </w:tr>
      <w:tr>
        <w:tc>
          <w:tcPr>
            <w:tcW w:type="dxa" w:w="4082"/>
          </w:tcPr>
          <w:p>
            <w:pPr>
              <w:spacing w:after="0" w:line="252" w:lineRule="auto"/>
            </w:pPr>
            <w:r>
              <w:rPr>
                <w:sz w:val="17"/>
              </w:rPr>
              <w:t>timeBasedAccMode BBD: Das MHD bestimmt, welche Ware im Warenausgang gewählt wird; die MHD-Erfassung muss dafür Pflicht sein. Das ist die Grundlage für FEFO (First Expired, First Out).</w:t>
            </w:r>
          </w:p>
        </w:tc>
        <w:tc>
          <w:tcPr>
            <w:tcW w:type="dxa" w:w="1361"/>
          </w:tcPr>
          <w:p>
            <w:pPr>
              <w:spacing w:after="0" w:line="252" w:lineRule="auto"/>
            </w:pPr>
            <w:r>
              <w:rPr>
                <w:sz w:val="17"/>
              </w:rPr>
              <w:t>[belegt]</w:t>
            </w:r>
          </w:p>
        </w:tc>
        <w:tc>
          <w:tcPr>
            <w:tcW w:type="dxa" w:w="4082"/>
          </w:tcPr>
          <w:p>
            <w:pPr>
              <w:spacing w:after="0" w:line="252" w:lineRule="auto"/>
            </w:pPr>
            <w:r>
              <w:rPr>
                <w:sz w:val="17"/>
              </w:rPr>
              <w:t>IM Tab. 35, S. 64</w:t>
            </w:r>
          </w:p>
        </w:tc>
      </w:tr>
      <w:tr>
        <w:tc>
          <w:tcPr>
            <w:tcW w:type="dxa" w:w="4082"/>
          </w:tcPr>
          <w:p>
            <w:pPr>
              <w:spacing w:after="0" w:line="252" w:lineRule="auto"/>
            </w:pPr>
            <w:r>
              <w:rPr>
                <w:sz w:val="17"/>
              </w:rPr>
              <w:t>itemEquivPeriod / itemEquivPeriodUnit legt fest, wie weit Registrierdatum, MHD oder Herstelldatum abweichen dürfen (d, mo, yr); fehlt der Wert, gilt die Warengruppe. Für Abweichungen je Kunde muss am Partner (MD018) die Strategie „Mild“ gesetzt sein.</w:t>
            </w:r>
          </w:p>
        </w:tc>
        <w:tc>
          <w:tcPr>
            <w:tcW w:type="dxa" w:w="1361"/>
          </w:tcPr>
          <w:p>
            <w:pPr>
              <w:spacing w:after="0" w:line="252" w:lineRule="auto"/>
            </w:pPr>
            <w:r>
              <w:rPr>
                <w:sz w:val="17"/>
              </w:rPr>
              <w:t>[belegt]</w:t>
            </w:r>
          </w:p>
        </w:tc>
        <w:tc>
          <w:tcPr>
            <w:tcW w:type="dxa" w:w="4082"/>
          </w:tcPr>
          <w:p>
            <w:pPr>
              <w:spacing w:after="0" w:line="252" w:lineRule="auto"/>
            </w:pPr>
            <w:r>
              <w:rPr>
                <w:sz w:val="17"/>
              </w:rPr>
              <w:t>UM 5.1.1, S. 57; AM 3.6.3.1, S. 113</w:t>
            </w:r>
          </w:p>
        </w:tc>
      </w:tr>
      <w:tr>
        <w:tc>
          <w:tcPr>
            <w:tcW w:type="dxa" w:w="4082"/>
          </w:tcPr>
          <w:p>
            <w:pPr>
              <w:spacing w:after="0" w:line="252" w:lineRule="auto"/>
            </w:pPr>
            <w:r>
              <w:rPr>
                <w:sz w:val="17"/>
              </w:rPr>
              <w:t>Am Lift kann der Bediener beim Einlagern MHD, Herstelldatum oder Charge in eigenen Feldern eingeben („If required, enter additional information such as BBD, production date or batch“).</w:t>
            </w:r>
          </w:p>
        </w:tc>
        <w:tc>
          <w:tcPr>
            <w:tcW w:type="dxa" w:w="1361"/>
          </w:tcPr>
          <w:p>
            <w:pPr>
              <w:spacing w:after="0" w:line="252" w:lineRule="auto"/>
            </w:pPr>
            <w:r>
              <w:rPr>
                <w:sz w:val="17"/>
              </w:rPr>
              <w:t>[belegt]</w:t>
            </w:r>
          </w:p>
        </w:tc>
        <w:tc>
          <w:tcPr>
            <w:tcW w:type="dxa" w:w="4082"/>
          </w:tcPr>
          <w:p>
            <w:pPr>
              <w:spacing w:after="0" w:line="252" w:lineRule="auto"/>
            </w:pPr>
            <w:r>
              <w:rPr>
                <w:sz w:val="17"/>
              </w:rPr>
              <w:t>UM 6.2.5.1, S. 105</w:t>
            </w:r>
          </w:p>
        </w:tc>
      </w:tr>
      <w:tr>
        <w:tc>
          <w:tcPr>
            <w:tcW w:type="dxa" w:w="4082"/>
          </w:tcPr>
          <w:p>
            <w:pPr>
              <w:spacing w:after="0" w:line="252" w:lineRule="auto"/>
            </w:pPr>
            <w:r>
              <w:rPr>
                <w:sz w:val="17"/>
              </w:rPr>
              <w:t>Bestandshomogenität (SM041): Mit den Kriterien Charge und MHD nimmt ein Behälter je Artikel nur eine Charge bzw. ein MHD auf.</w:t>
            </w:r>
          </w:p>
        </w:tc>
        <w:tc>
          <w:tcPr>
            <w:tcW w:type="dxa" w:w="1361"/>
          </w:tcPr>
          <w:p>
            <w:pPr>
              <w:spacing w:after="0" w:line="252" w:lineRule="auto"/>
            </w:pPr>
            <w:r>
              <w:rPr>
                <w:sz w:val="17"/>
              </w:rPr>
              <w:t>[belegt]</w:t>
            </w:r>
          </w:p>
        </w:tc>
        <w:tc>
          <w:tcPr>
            <w:tcW w:type="dxa" w:w="4082"/>
          </w:tcPr>
          <w:p>
            <w:pPr>
              <w:spacing w:after="0" w:line="252" w:lineRule="auto"/>
            </w:pPr>
            <w:r>
              <w:rPr>
                <w:sz w:val="17"/>
              </w:rPr>
              <w:t>AM 3.6.6</w:t>
            </w:r>
          </w:p>
        </w:tc>
      </w:tr>
      <w:tr>
        <w:tc>
          <w:tcPr>
            <w:tcW w:type="dxa" w:w="4082"/>
          </w:tcPr>
          <w:p>
            <w:pPr>
              <w:spacing w:after="0" w:line="252" w:lineRule="auto"/>
            </w:pPr>
            <w:r>
              <w:rPr>
                <w:sz w:val="17"/>
              </w:rPr>
              <w:t>Die Rückmeldung enthält batch und bbDate je Position (WLSSDLACK001) und je Einlagerbewegung (WLSSDLACTIVITYACK001). BC Dynamics erhält so die tatsächlich eingelagerte Charge und das MHD.</w:t>
            </w:r>
          </w:p>
        </w:tc>
        <w:tc>
          <w:tcPr>
            <w:tcW w:type="dxa" w:w="1361"/>
          </w:tcPr>
          <w:p>
            <w:pPr>
              <w:spacing w:after="0" w:line="252" w:lineRule="auto"/>
            </w:pPr>
            <w:r>
              <w:rPr>
                <w:sz w:val="17"/>
              </w:rPr>
              <w:t>[belegt]</w:t>
            </w:r>
          </w:p>
        </w:tc>
        <w:tc>
          <w:tcPr>
            <w:tcW w:type="dxa" w:w="4082"/>
          </w:tcPr>
          <w:p>
            <w:pPr>
              <w:spacing w:after="0" w:line="252" w:lineRule="auto"/>
            </w:pPr>
            <w:r>
              <w:rPr>
                <w:sz w:val="17"/>
              </w:rPr>
              <w:t>IM Tab. 50, S. 83; Tab. 51, S. 88</w:t>
            </w:r>
          </w:p>
        </w:tc>
      </w:tr>
      <w:tr>
        <w:tc>
          <w:tcPr>
            <w:tcW w:type="dxa" w:w="4082"/>
          </w:tcPr>
          <w:p>
            <w:pPr>
              <w:spacing w:after="0" w:line="252" w:lineRule="auto"/>
            </w:pPr>
            <w:r>
              <w:rPr>
                <w:sz w:val="17"/>
              </w:rPr>
              <w:t>Ob WAMAS batch und bbDate aus der Position am Touch vorbelegt anzeigt oder nur als Vorgabe speichert, ist im Manual nicht beschrieben.</w:t>
            </w:r>
          </w:p>
        </w:tc>
        <w:tc>
          <w:tcPr>
            <w:tcW w:type="dxa" w:w="1361"/>
          </w:tcPr>
          <w:p>
            <w:pPr>
              <w:spacing w:after="0" w:line="252" w:lineRule="auto"/>
            </w:pPr>
            <w:r>
              <w:rPr>
                <w:sz w:val="17"/>
              </w:rPr>
              <w:t>[Annahme, zu prüfen]</w:t>
            </w:r>
          </w:p>
        </w:tc>
        <w:tc>
          <w:tcPr>
            <w:tcW w:type="dxa" w:w="4082"/>
          </w:tcPr>
          <w:p>
            <w:pPr>
              <w:spacing w:after="0" w:line="252" w:lineRule="auto"/>
            </w:pPr>
            <w:r>
              <w:rPr>
                <w:sz w:val="17"/>
              </w:rPr>
              <w:t>Test am Lift</w:t>
            </w:r>
          </w:p>
        </w:tc>
      </w:tr>
    </w:tbl>
    <w:p>
      <w:pPr>
        <w:pStyle w:val="BeschriftungSSI"/>
      </w:pPr>
      <w:r>
        <w:t>Tab. 9: Was belegt ist</w:t>
      </w:r>
    </w:p>
    <w:p>
      <w:pPr>
        <w:pStyle w:val="Heading3"/>
      </w:pPr>
      <w:r>
        <w:t>7.7.2 Nötige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25"/>
        <w:gridCol w:w="3697"/>
        <w:gridCol w:w="3603"/>
      </w:tblGrid>
      <w:tr>
        <w:trPr>
          <w:tblHeader w:val="true"/>
        </w:trPr>
        <w:tc>
          <w:tcPr>
            <w:tcW w:type="dxa" w:w="2225"/>
            <w:shd w:val="clear" w:color="auto" w:fill="FEEE19"/>
          </w:tcPr>
          <w:p>
            <w:pPr>
              <w:spacing w:after="0"/>
            </w:pPr>
            <w:r>
              <w:rPr>
                <w:b/>
                <w:sz w:val="17"/>
              </w:rPr>
              <w:t>Ebene</w:t>
            </w:r>
          </w:p>
        </w:tc>
        <w:tc>
          <w:tcPr>
            <w:tcW w:type="dxa" w:w="3697"/>
            <w:shd w:val="clear" w:color="auto" w:fill="FEEE19"/>
          </w:tcPr>
          <w:p>
            <w:pPr>
              <w:spacing w:after="0"/>
            </w:pPr>
            <w:r>
              <w:rPr>
                <w:b/>
                <w:sz w:val="17"/>
              </w:rPr>
              <w:t>Einstellung für Charge und MHD</w:t>
            </w:r>
          </w:p>
        </w:tc>
        <w:tc>
          <w:tcPr>
            <w:tcW w:type="dxa" w:w="3603"/>
            <w:shd w:val="clear" w:color="auto" w:fill="FEEE19"/>
          </w:tcPr>
          <w:p>
            <w:pPr>
              <w:spacing w:after="0"/>
            </w:pPr>
            <w:r>
              <w:rPr>
                <w:b/>
                <w:sz w:val="17"/>
              </w:rPr>
              <w:t>Status</w:t>
            </w:r>
          </w:p>
        </w:tc>
      </w:tr>
      <w:tr>
        <w:tc>
          <w:tcPr>
            <w:tcW w:type="dxa" w:w="2225"/>
          </w:tcPr>
          <w:p>
            <w:pPr>
              <w:spacing w:after="0" w:line="252" w:lineRule="auto"/>
            </w:pPr>
            <w:r>
              <w:rPr>
                <w:sz w:val="17"/>
              </w:rPr>
              <w:t>Artikel mit Charge (WLSITEM001)</w:t>
            </w:r>
          </w:p>
        </w:tc>
        <w:tc>
          <w:tcPr>
            <w:tcW w:type="dxa" w:w="3697"/>
          </w:tcPr>
          <w:p>
            <w:pPr>
              <w:spacing w:after="0" w:line="252" w:lineRule="auto"/>
            </w:pPr>
            <w:r>
              <w:rPr>
                <w:sz w:val="17"/>
              </w:rPr>
              <w:t>batchStockMode MANDATORY, igBatchRegistration MANDATORY, ogBatchRegistration MANDATORY (Charge auch beim Kommissionieren bestätigen) oder OPTIONAL</w:t>
            </w:r>
          </w:p>
        </w:tc>
        <w:tc>
          <w:tcPr>
            <w:tcW w:type="dxa" w:w="3603"/>
          </w:tcPr>
          <w:p>
            <w:pPr>
              <w:spacing w:after="0" w:line="252" w:lineRule="auto"/>
            </w:pPr>
            <w:r>
              <w:rPr>
                <w:sz w:val="17"/>
              </w:rPr>
              <w:t>[belegt] Felder und Werte, [Annahme, zu prüfen] Wahl OG</w:t>
            </w:r>
          </w:p>
        </w:tc>
      </w:tr>
      <w:tr>
        <w:tc>
          <w:tcPr>
            <w:tcW w:type="dxa" w:w="2225"/>
          </w:tcPr>
          <w:p>
            <w:pPr>
              <w:spacing w:after="0" w:line="252" w:lineRule="auto"/>
            </w:pPr>
            <w:r>
              <w:rPr>
                <w:sz w:val="17"/>
              </w:rPr>
              <w:t>Artikel mit MHD (WLSITEM001)</w:t>
            </w:r>
          </w:p>
        </w:tc>
        <w:tc>
          <w:tcPr>
            <w:tcW w:type="dxa" w:w="3697"/>
          </w:tcPr>
          <w:p>
            <w:pPr>
              <w:spacing w:after="0" w:line="252" w:lineRule="auto"/>
            </w:pPr>
            <w:r>
              <w:rPr>
                <w:sz w:val="17"/>
              </w:rPr>
              <w:t>bbDateStockMode MANDATORY, igBbDateRegistration MANDATORY (Referenz-App erzwingt das), ogBbDateRegistration OPTIONAL oder MANDATORY</w:t>
            </w:r>
          </w:p>
        </w:tc>
        <w:tc>
          <w:tcPr>
            <w:tcW w:type="dxa" w:w="3603"/>
          </w:tcPr>
          <w:p>
            <w:pPr>
              <w:spacing w:after="0" w:line="252" w:lineRule="auto"/>
            </w:pPr>
            <w:r>
              <w:rPr>
                <w:sz w:val="17"/>
              </w:rPr>
              <w:t>[belegt] Felder, Regel Referenz-App, [Annahme, zu prüfen] Wahl OG</w:t>
            </w:r>
          </w:p>
        </w:tc>
      </w:tr>
      <w:tr>
        <w:tc>
          <w:tcPr>
            <w:tcW w:type="dxa" w:w="2225"/>
          </w:tcPr>
          <w:p>
            <w:pPr>
              <w:spacing w:after="0" w:line="252" w:lineRule="auto"/>
            </w:pPr>
            <w:r>
              <w:rPr>
                <w:sz w:val="17"/>
              </w:rPr>
              <w:t>FEFO (WLSITEM001)</w:t>
            </w:r>
          </w:p>
        </w:tc>
        <w:tc>
          <w:tcPr>
            <w:tcW w:type="dxa" w:w="3697"/>
          </w:tcPr>
          <w:p>
            <w:pPr>
              <w:spacing w:after="0" w:line="252" w:lineRule="auto"/>
            </w:pPr>
            <w:r>
              <w:rPr>
                <w:sz w:val="17"/>
              </w:rPr>
              <w:t>timeBasedAccMode BBD; itemEquivPeriod 0 mit itemEquivPeriodUnit d (keine Abweichung) oder ein vereinbarter Spielraum, z. B. 1 mo</w:t>
            </w:r>
          </w:p>
        </w:tc>
        <w:tc>
          <w:tcPr>
            <w:tcW w:type="dxa" w:w="3603"/>
          </w:tcPr>
          <w:p>
            <w:pPr>
              <w:spacing w:after="0" w:line="252" w:lineRule="auto"/>
            </w:pPr>
            <w:r>
              <w:rPr>
                <w:sz w:val="17"/>
              </w:rPr>
              <w:t>[belegt] Felder, [Annahme, zu prüfen] Werte</w:t>
            </w:r>
          </w:p>
        </w:tc>
      </w:tr>
      <w:tr>
        <w:tc>
          <w:tcPr>
            <w:tcW w:type="dxa" w:w="2225"/>
          </w:tcPr>
          <w:p>
            <w:pPr>
              <w:spacing w:after="0" w:line="252" w:lineRule="auto"/>
            </w:pPr>
            <w:r>
              <w:rPr>
                <w:sz w:val="17"/>
              </w:rPr>
              <w:t>Herstelldatum (WLSITEM001)</w:t>
            </w:r>
          </w:p>
        </w:tc>
        <w:tc>
          <w:tcPr>
            <w:tcW w:type="dxa" w:w="3697"/>
          </w:tcPr>
          <w:p>
            <w:pPr>
              <w:spacing w:after="0" w:line="252" w:lineRule="auto"/>
            </w:pPr>
            <w:r>
              <w:rPr>
                <w:sz w:val="17"/>
              </w:rPr>
              <w:t>prodDateStockMode, igProdDateRegistration, ogProdDateRegistration NOT_APPLICABLE</w:t>
            </w:r>
          </w:p>
        </w:tc>
        <w:tc>
          <w:tcPr>
            <w:tcW w:type="dxa" w:w="3603"/>
          </w:tcPr>
          <w:p>
            <w:pPr>
              <w:spacing w:after="0" w:line="252" w:lineRule="auto"/>
            </w:pPr>
            <w:r>
              <w:rPr>
                <w:sz w:val="17"/>
              </w:rPr>
              <w:t>[Annahme, zu prüfen]</w:t>
            </w:r>
          </w:p>
        </w:tc>
      </w:tr>
      <w:tr>
        <w:tc>
          <w:tcPr>
            <w:tcW w:type="dxa" w:w="2225"/>
          </w:tcPr>
          <w:p>
            <w:pPr>
              <w:spacing w:after="0" w:line="252" w:lineRule="auto"/>
            </w:pPr>
            <w:r>
              <w:rPr>
                <w:sz w:val="17"/>
              </w:rPr>
              <w:t>Artikel ohne Charge und MHD</w:t>
            </w:r>
          </w:p>
        </w:tc>
        <w:tc>
          <w:tcPr>
            <w:tcW w:type="dxa" w:w="3697"/>
          </w:tcPr>
          <w:p>
            <w:pPr>
              <w:spacing w:after="0" w:line="252" w:lineRule="auto"/>
            </w:pPr>
            <w:r>
              <w:rPr>
                <w:sz w:val="17"/>
              </w:rPr>
              <w:t>alle sechs Felder NOT_APPLICABLE bzw. nicht senden; timeBasedAccMode REG_TIME (Default der Referenz-App)</w:t>
            </w:r>
          </w:p>
        </w:tc>
        <w:tc>
          <w:tcPr>
            <w:tcW w:type="dxa" w:w="3603"/>
          </w:tcPr>
          <w:p>
            <w:pPr>
              <w:spacing w:after="0" w:line="252" w:lineRule="auto"/>
            </w:pPr>
            <w:r>
              <w:rPr>
                <w:sz w:val="17"/>
              </w:rPr>
              <w:t>[belegt] Default, [Annahme, zu prüfen] Verhalten bei leerem Wert</w:t>
            </w:r>
          </w:p>
        </w:tc>
      </w:tr>
      <w:tr>
        <w:tc>
          <w:tcPr>
            <w:tcW w:type="dxa" w:w="2225"/>
          </w:tcPr>
          <w:p>
            <w:pPr>
              <w:spacing w:after="0" w:line="252" w:lineRule="auto"/>
            </w:pPr>
            <w:r>
              <w:rPr>
                <w:sz w:val="17"/>
              </w:rPr>
              <w:t>Systemparameter (LM053)</w:t>
            </w:r>
          </w:p>
        </w:tc>
        <w:tc>
          <w:tcPr>
            <w:tcW w:type="dxa" w:w="3697"/>
          </w:tcPr>
          <w:p>
            <w:pPr>
              <w:spacing w:after="0" w:line="252" w:lineRule="auto"/>
            </w:pPr>
            <w:r>
              <w:rPr>
                <w:sz w:val="17"/>
              </w:rPr>
              <w:t>Reiter Systemparameter: Vorgaben für Charge/​MHD/​Herstelldatum; Reiter Stock Selection Mode: für „Picking reservation“ die MHD-Regel (kleiner gleich, grösser gleich, gleich, egal)</w:t>
            </w:r>
          </w:p>
        </w:tc>
        <w:tc>
          <w:tcPr>
            <w:tcW w:type="dxa" w:w="3603"/>
          </w:tcPr>
          <w:p>
            <w:pPr>
              <w:spacing w:after="0" w:line="252" w:lineRule="auto"/>
            </w:pPr>
            <w:r>
              <w:rPr>
                <w:sz w:val="17"/>
              </w:rPr>
              <w:t>[belegt] AM 3.1.3.1/3.1.3.2</w:t>
            </w:r>
          </w:p>
        </w:tc>
      </w:tr>
      <w:tr>
        <w:tc>
          <w:tcPr>
            <w:tcW w:type="dxa" w:w="2225"/>
          </w:tcPr>
          <w:p>
            <w:pPr>
              <w:spacing w:after="0" w:line="252" w:lineRule="auto"/>
            </w:pPr>
            <w:r>
              <w:rPr>
                <w:sz w:val="17"/>
              </w:rPr>
              <w:t>Bestandshomogenität (SM041)</w:t>
            </w:r>
          </w:p>
        </w:tc>
        <w:tc>
          <w:tcPr>
            <w:tcW w:type="dxa" w:w="3697"/>
          </w:tcPr>
          <w:p>
            <w:pPr>
              <w:spacing w:after="0" w:line="252" w:lineRule="auto"/>
            </w:pPr>
            <w:r>
              <w:rPr>
                <w:sz w:val="17"/>
              </w:rPr>
              <w:t>Kriterien Charge und MHD aktivieren, damit Chargen und MHD nicht im selben Behälter gemischt werden</w:t>
            </w:r>
          </w:p>
        </w:tc>
        <w:tc>
          <w:tcPr>
            <w:tcW w:type="dxa" w:w="3603"/>
          </w:tcPr>
          <w:p>
            <w:pPr>
              <w:spacing w:after="0" w:line="252" w:lineRule="auto"/>
            </w:pPr>
            <w:r>
              <w:rPr>
                <w:sz w:val="17"/>
              </w:rPr>
              <w:t>[belegt] Funktion, [Annahme, zu prüfen] Bedarf</w:t>
            </w:r>
          </w:p>
        </w:tc>
      </w:tr>
      <w:tr>
        <w:tc>
          <w:tcPr>
            <w:tcW w:type="dxa" w:w="2225"/>
          </w:tcPr>
          <w:p>
            <w:pPr>
              <w:spacing w:after="0" w:line="252" w:lineRule="auto"/>
            </w:pPr>
            <w:r>
              <w:rPr>
                <w:sz w:val="17"/>
              </w:rPr>
              <w:t>BC Dynamics</w:t>
            </w:r>
          </w:p>
        </w:tc>
        <w:tc>
          <w:tcPr>
            <w:tcW w:type="dxa" w:w="3697"/>
          </w:tcPr>
          <w:p>
            <w:pPr>
              <w:spacing w:after="0" w:line="252" w:lineRule="auto"/>
            </w:pPr>
            <w:r>
              <w:rPr>
                <w:sz w:val="17"/>
              </w:rPr>
              <w:t>Artikelverfolgungscode mit chargenspezifischer Verfolgung und Ablaufdatum; Ablaufdatum in BC = MHD (bbDate) in WAMAS</w:t>
            </w:r>
          </w:p>
        </w:tc>
        <w:tc>
          <w:tcPr>
            <w:tcW w:type="dxa" w:w="3603"/>
          </w:tcPr>
          <w:p>
            <w:pPr>
              <w:spacing w:after="0" w:line="252" w:lineRule="auto"/>
            </w:pPr>
            <w:r>
              <w:rPr>
                <w:sz w:val="17"/>
              </w:rPr>
              <w:t>[Annahme, zu prüfen]</w:t>
            </w:r>
          </w:p>
        </w:tc>
      </w:tr>
    </w:tbl>
    <w:p>
      <w:pPr>
        <w:pStyle w:val="BeschriftungSSI"/>
      </w:pPr>
      <w:r>
        <w:t>Tab. 10: Nötige Einstellungen</w:t>
      </w:r>
    </w:p>
    <w:p>
      <w:pPr>
        <w:pStyle w:val="Heading3"/>
      </w:pPr>
      <w:r>
        <w:t>7.7.3 Was am Lift passiert</w:t>
      </w:r>
    </w:p>
    <w:p>
      <w:pPr>
        <w:tabs>
          <w:tab w:pos="425" w:val="left"/>
        </w:tabs>
        <w:spacing w:after="60"/>
        <w:ind w:left="425" w:hanging="425"/>
      </w:pPr>
      <w:r>
        <w:rPr>
          <w:b/>
        </w:rPr>
        <w:t>1.</w:t>
        <w:tab/>
      </w:r>
      <w:r>
        <w:t>WAMAS übernimmt batch und bbDate der Position als Charge und MHD des neuen Bestands. [Annahme, zu prüfen]</w:t>
      </w:r>
    </w:p>
    <w:p>
      <w:pPr>
        <w:tabs>
          <w:tab w:pos="425" w:val="left"/>
        </w:tabs>
        <w:spacing w:after="60"/>
        <w:ind w:left="425" w:hanging="425"/>
      </w:pPr>
      <w:r>
        <w:rPr>
          <w:b/>
        </w:rPr>
        <w:t>2.</w:t>
        <w:tab/>
      </w:r>
      <w:r>
        <w:t>Ist igBatchRegistration bzw. igBbDateRegistration MANDATORY, muss der Bediener Charge bzw. MHD am Touch eingeben oder bestätigen, bevor er die Einlagerung abschliesst. [belegt] Pflichterfassung, [Annahme, zu prüfen] genaue Maske</w:t>
      </w:r>
    </w:p>
    <w:p>
      <w:pPr>
        <w:tabs>
          <w:tab w:pos="425" w:val="left"/>
        </w:tabs>
        <w:spacing w:after="60"/>
        <w:ind w:left="425" w:hanging="425"/>
      </w:pPr>
      <w:r>
        <w:rPr>
          <w:b/>
        </w:rPr>
        <w:t>3.</w:t>
        <w:tab/>
      </w:r>
      <w:r>
        <w:t>Fehlt der Wert im Telegramm, erfasst der Bediener ihn am Lift vom Etikett der Ware. Ob WAMAS den Auftrag schon beim Import ablehnt, ist nicht belegt. [Annahme, zu prüfen]</w:t>
      </w:r>
    </w:p>
    <w:p>
      <w:pPr>
        <w:tabs>
          <w:tab w:pos="425" w:val="left"/>
        </w:tabs>
        <w:spacing w:after="60"/>
        <w:ind w:left="425" w:hanging="425"/>
      </w:pPr>
      <w:r>
        <w:rPr>
          <w:b/>
        </w:rPr>
        <w:t>4.</w:t>
        <w:tab/>
      </w:r>
      <w:r>
        <w:t>Mit Homogenitätskriterien (SM041) legt WAMAS eine zweite Charge bzw. ein anderes MHD nicht in einen Behälter mit anderem Bestand desselben Artikels. [belegt]</w:t>
      </w:r>
    </w:p>
    <w:p>
      <w:pPr>
        <w:tabs>
          <w:tab w:pos="425" w:val="left"/>
        </w:tabs>
        <w:spacing w:after="60"/>
        <w:ind w:left="425" w:hanging="425"/>
      </w:pPr>
      <w:r>
        <w:rPr>
          <w:b/>
        </w:rPr>
        <w:t>5.</w:t>
        <w:tab/>
      </w:r>
      <w:r>
        <w:t>WAMAS meldet die tatsächlich eingelagerte Charge und das MHD im ACK zurück; BC Dynamics vergleicht sie mit den gesendeten Werten und bucht die Artikelverfolgung. [belegt] Felder, [Annahme, zu prüfen] Auswertung in BC</w:t>
      </w:r>
    </w:p>
    <w:p>
      <w:pPr>
        <w:pStyle w:val="Heading3"/>
      </w:pPr>
      <w:r>
        <w:t>7.7.4 Regeln für BC Dynamics</w:t>
      </w:r>
    </w:p>
    <w:p>
      <w:pPr>
        <w:pStyle w:val="ListBullet"/>
      </w:pPr>
      <w:r>
        <w:t>Eine Position je Charge und MHD: Liegen zwei Chargen desselben Artikels auf dem Wagen, entstehen zwei Positionen, am besten in zwei Fächern.</w:t>
      </w:r>
    </w:p>
    <w:p>
      <w:pPr>
        <w:pStyle w:val="ListBullet"/>
      </w:pPr>
      <w:r>
        <w:t>batch max. 20 Zeichen, bbDate genau 8 Ziffern JJJJMMTT, kein Datum in der Vergangenheit ohne Freigabe (Prüfung in BC).</w:t>
      </w:r>
    </w:p>
    <w:p>
      <w:pPr>
        <w:pStyle w:val="ListBullet"/>
      </w:pPr>
      <w:r>
        <w:t>Bei Artikeln mit batchStockMode bzw. bbDateStockMode MANDATORY die Werte immer senden; bei allen anderen Artikeln leer lassen.</w:t>
      </w:r>
    </w:p>
    <w:p>
      <w:pPr>
        <w:pStyle w:val="ListBullet"/>
      </w:pPr>
      <w:r>
        <w:t>Artikelstamm (WLSITEM001) mit den Charge- und MHD-Einstellungen vor dem ersten Einlagerauftrag senden.</w:t>
      </w:r>
    </w:p>
    <w:p>
      <w:pPr>
        <w:pStyle w:val="Heading3"/>
      </w:pPr>
      <w:r>
        <w:t>7.7.5 Beispiel (Werte erfunden)</w:t>
      </w:r>
    </w:p>
    <w:p>
      <w:r>
        <w:t>Position JB-3030 aus Einl000032 (Fach A1), als ob der Artikel mit Charge und MHD geführt würde: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"Einl0000xx",</w:t>
            </w:r>
          </w:p>
          <w:p>
            <w:pPr>
              <w:pStyle w:val="Code"/>
            </w:pPr>
            <w:r>
              <w:t xml:space="preserve">  "sysPartnerLine": 1,</w:t>
            </w:r>
          </w:p>
          <w:p>
            <w:pPr>
              <w:pStyle w:val="Code"/>
            </w:pPr>
            <w:r>
              <w:t xml:space="preserve">  "recordState": "",</w:t>
            </w:r>
          </w:p>
          <w:p>
            <w:pPr>
              <w:pStyle w:val="Code"/>
            </w:pPr>
            <w:r>
              <w:t xml:space="preserve">  "itemNo": "JB-3030",</w:t>
            </w:r>
          </w:p>
          <w:p>
            <w:pPr>
              <w:pStyle w:val="Code"/>
            </w:pPr>
            <w:r>
              <w:t xml:space="preserve">  "variant": "00000",</w:t>
            </w:r>
          </w:p>
          <w:p>
            <w:pPr>
              <w:pStyle w:val="Code"/>
            </w:pPr>
            <w:r>
              <w:t xml:space="preserve">  "numBquWqu": 1,</w:t>
            </w:r>
          </w:p>
          <w:p>
            <w:pPr>
              <w:pStyle w:val="Code"/>
            </w:pPr>
            <w:r>
              <w:t xml:space="preserve">  "batch": "S2403A",</w:t>
            </w:r>
          </w:p>
          <w:p>
            <w:pPr>
              <w:pStyle w:val="Code"/>
            </w:pPr>
            <w:r>
              <w:t xml:space="preserve">  "bbDate": "20280331",</w:t>
            </w:r>
          </w:p>
          <w:p>
            <w:pPr>
              <w:pStyle w:val="Code"/>
            </w:pPr>
            <w:r>
              <w:t xml:space="preserve">  "prodDate": "",</w:t>
            </w:r>
          </w:p>
          <w:p>
            <w:pPr>
              <w:pStyle w:val="Code"/>
            </w:pPr>
            <w:r>
              <w:t xml:space="preserve">  "baseQty": 126.0,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"Einl0000xx",</w:t>
            </w:r>
          </w:p>
          <w:p>
            <w:pPr>
              <w:pStyle w:val="Code"/>
            </w:pPr>
            <w:r>
              <w:t xml:space="preserve">      "extRefKey": "WAGE",</w:t>
            </w:r>
          </w:p>
          <w:p>
            <w:pPr>
              <w:pStyle w:val="Code"/>
            </w:pPr>
            <w:r>
              <w:t xml:space="preserve">      "extRefVal1": "KW-1002",</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w:t>
            </w:r>
          </w:p>
        </w:tc>
      </w:tr>
    </w:tbl>
    <w:p>
      <w:pPr>
        <w:pStyle w:val="BeschriftungSSI"/>
      </w:pPr>
      <w:r>
        <w:t>Abb. 6: Aufbau: Beispiel (Werte erfunden)</w:t>
      </w:r>
    </w:p>
    <w:p>
      <w:r>
        <w:t>Dazu im Artikelstamm (Ausschnitt WLSITEM001):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"itemNo": "JB-3030",</w:t>
            </w:r>
          </w:p>
          <w:p>
            <w:pPr>
              <w:pStyle w:val="Code"/>
            </w:pPr>
            <w:r>
              <w:t xml:space="preserve">  "batchStockMode": "MANDATORY",</w:t>
            </w:r>
          </w:p>
          <w:p>
            <w:pPr>
              <w:pStyle w:val="Code"/>
            </w:pPr>
            <w:r>
              <w:t xml:space="preserve">  "igBatchRegistration": "MANDATORY",</w:t>
            </w:r>
          </w:p>
          <w:p>
            <w:pPr>
              <w:pStyle w:val="Code"/>
            </w:pPr>
            <w:r>
              <w:t xml:space="preserve">  "ogBatchRegistration": "MANDATORY",</w:t>
            </w:r>
          </w:p>
          <w:p>
            <w:pPr>
              <w:pStyle w:val="Code"/>
            </w:pPr>
            <w:r>
              <w:t xml:space="preserve">  "bbDateStockMode": "MANDATORY",</w:t>
            </w:r>
          </w:p>
          <w:p>
            <w:pPr>
              <w:pStyle w:val="Code"/>
            </w:pPr>
            <w:r>
              <w:t xml:space="preserve">  "igBbDateRegistration": "MANDATORY",</w:t>
            </w:r>
          </w:p>
          <w:p>
            <w:pPr>
              <w:pStyle w:val="Code"/>
            </w:pPr>
            <w:r>
              <w:t xml:space="preserve">  "ogBbDateRegistration": "OPTIONAL",</w:t>
            </w:r>
          </w:p>
          <w:p>
            <w:pPr>
              <w:pStyle w:val="Code"/>
            </w:pPr>
            <w:r>
              <w:t xml:space="preserve">  "prodDateStockMode": "NOT_APPLICABLE",</w:t>
            </w:r>
          </w:p>
          <w:p>
            <w:pPr>
              <w:pStyle w:val="Code"/>
            </w:pPr>
            <w:r>
              <w:t xml:space="preserve">  "igProdDateRegistration": "NOT_APPLICABLE",</w:t>
            </w:r>
          </w:p>
          <w:p>
            <w:pPr>
              <w:pStyle w:val="Code"/>
            </w:pPr>
            <w:r>
              <w:t xml:space="preserve">  "ogProdDateRegistration": "NOT_APPLICABLE",</w:t>
            </w:r>
          </w:p>
          <w:p>
            <w:pPr>
              <w:pStyle w:val="Code"/>
            </w:pPr>
            <w:r>
              <w:t xml:space="preserve">  "timeBasedAccMode": "BBD",</w:t>
            </w:r>
          </w:p>
          <w:p>
            <w:pPr>
              <w:pStyle w:val="Code"/>
            </w:pPr>
            <w:r>
              <w:t xml:space="preserve">  "itemEquivPeriod": 0,</w:t>
            </w:r>
          </w:p>
          <w:p>
            <w:pPr>
              <w:pStyle w:val="Code"/>
            </w:pPr>
            <w:r>
              <w:t xml:space="preserve">  "itemEquivPeriodUnit": "d"</w:t>
            </w:r>
          </w:p>
          <w:p>
            <w:pPr>
              <w:pStyle w:val="Code"/>
            </w:pPr>
            <w:r>
              <w:t>}</w:t>
            </w:r>
          </w:p>
        </w:tc>
      </w:tr>
    </w:tbl>
    <w:p>
      <w:pPr>
        <w:pStyle w:val="BeschriftungSSI"/>
      </w:pPr>
      <w:r>
        <w:t>Abb. 7: Aufbau: Beispiel (Werte erfunden)</w:t>
      </w:r>
    </w:p>
    <w:p>
      <w:pPr>
        <w:pStyle w:val="Heading2"/>
      </w:pPr>
      <w:r>
        <w:t>7.8 Feldlängen noteNo, info, info2, csia1, batch, bbDate und Artikelstamm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09"/>
        <w:gridCol w:w="1909"/>
        <w:gridCol w:w="1013"/>
        <w:gridCol w:w="1339"/>
        <w:gridCol w:w="2096"/>
        <w:gridCol w:w="1257"/>
      </w:tblGrid>
      <w:tr>
        <w:trPr>
          <w:tblHeader w:val="true"/>
        </w:trPr>
        <w:tc>
          <w:tcPr>
            <w:tcW w:type="dxa" w:w="1910"/>
            <w:shd w:val="clear" w:color="auto" w:fill="FEEE19"/>
          </w:tcPr>
          <w:p>
            <w:pPr>
              <w:spacing w:after="0"/>
            </w:pPr>
            <w:r>
              <w:rPr>
                <w:b/>
                <w:sz w:val="17"/>
              </w:rPr>
              <w:t>Feld</w:t>
            </w:r>
          </w:p>
        </w:tc>
        <w:tc>
          <w:tcPr>
            <w:tcW w:type="dxa" w:w="1910"/>
            <w:shd w:val="clear" w:color="auto" w:fill="FEEE19"/>
          </w:tcPr>
          <w:p>
            <w:pPr>
              <w:spacing w:after="0"/>
            </w:pPr>
            <w:r>
              <w:rPr>
                <w:b/>
                <w:sz w:val="17"/>
              </w:rPr>
              <w:t>Satz</w:t>
            </w:r>
          </w:p>
        </w:tc>
        <w:tc>
          <w:tcPr>
            <w:tcW w:type="dxa" w:w="1013"/>
            <w:shd w:val="clear" w:color="auto" w:fill="FEEE19"/>
          </w:tcPr>
          <w:p>
            <w:pPr>
              <w:spacing w:after="0"/>
            </w:pPr>
            <w:r>
              <w:rPr>
                <w:b/>
                <w:sz w:val="17"/>
              </w:rPr>
              <w:t>Typ / Länge</w:t>
            </w:r>
          </w:p>
        </w:tc>
        <w:tc>
          <w:tcPr>
            <w:tcW w:type="dxa" w:w="1339"/>
            <w:shd w:val="clear" w:color="auto" w:fill="FEEE19"/>
          </w:tcPr>
          <w:p>
            <w:pPr>
              <w:spacing w:after="0"/>
            </w:pPr>
            <w:r>
              <w:rPr>
                <w:b/>
                <w:sz w:val="17"/>
              </w:rPr>
              <w:t>Pflicht</w:t>
            </w:r>
          </w:p>
        </w:tc>
        <w:tc>
          <w:tcPr>
            <w:tcW w:type="dxa" w:w="2096"/>
            <w:shd w:val="clear" w:color="auto" w:fill="FEEE19"/>
          </w:tcPr>
          <w:p>
            <w:pPr>
              <w:spacing w:after="0"/>
            </w:pPr>
            <w:r>
              <w:rPr>
                <w:b/>
                <w:sz w:val="17"/>
              </w:rPr>
              <w:t>Nutzung</w:t>
            </w:r>
          </w:p>
        </w:tc>
        <w:tc>
          <w:tcPr>
            <w:tcW w:type="dxa" w:w="1258"/>
            <w:shd w:val="clear" w:color="auto" w:fill="FEEE19"/>
          </w:tcPr>
          <w:p>
            <w:pPr>
              <w:spacing w:after="0"/>
            </w:pPr>
            <w:r>
              <w:rPr>
                <w:b/>
                <w:sz w:val="17"/>
              </w:rPr>
              <w:t>Quelle</w:t>
            </w:r>
          </w:p>
        </w:tc>
      </w:tr>
      <w:tr>
        <w:tc>
          <w:tcPr>
            <w:tcW w:type="dxa" w:w="1910"/>
          </w:tcPr>
          <w:p>
            <w:pPr>
              <w:spacing w:after="0" w:line="252" w:lineRule="auto"/>
            </w:pPr>
            <w:r>
              <w:rPr>
                <w:rFonts w:ascii="Consolas" w:hAnsi="Consolas" w:cs="Consolas" w:eastAsia="Consolas"/>
                <w:sz w:val="15"/>
              </w:rPr>
              <w:t>noteNo</w:t>
            </w:r>
          </w:p>
        </w:tc>
        <w:tc>
          <w:tcPr>
            <w:tcW w:type="dxa" w:w="1910"/>
          </w:tcPr>
          <w:p>
            <w:pPr>
              <w:spacing w:after="0" w:line="252" w:lineRule="auto"/>
            </w:pPr>
            <w:r>
              <w:rPr>
                <w:sz w:val="17"/>
              </w:rPr>
              <w:t>WLSSD002 (Kopf)</w:t>
            </w:r>
          </w:p>
        </w:tc>
        <w:tc>
          <w:tcPr>
            <w:tcW w:type="dxa" w:w="1013"/>
          </w:tcPr>
          <w:p>
            <w:pPr>
              <w:spacing w:after="0" w:line="252" w:lineRule="auto"/>
            </w:pPr>
            <w:r>
              <w:rPr>
                <w:b/>
                <w:sz w:val="17"/>
              </w:rPr>
              <w:t>S 18</w:t>
            </w:r>
          </w:p>
        </w:tc>
        <w:tc>
          <w:tcPr>
            <w:tcW w:type="dxa" w:w="1339"/>
          </w:tcPr>
          <w:p>
            <w:pPr>
              <w:spacing w:after="0" w:line="252" w:lineRule="auto"/>
            </w:pPr>
            <w:r>
              <w:rPr>
                <w:sz w:val="17"/>
              </w:rPr>
              <w:t>optional</w:t>
            </w:r>
          </w:p>
        </w:tc>
        <w:tc>
          <w:tcPr>
            <w:tcW w:type="dxa" w:w="2096"/>
          </w:tcPr>
          <w:p>
            <w:pPr>
              <w:spacing w:after="0" w:line="252" w:lineRule="auto"/>
            </w:pPr>
            <w:r>
              <w:rPr>
                <w:sz w:val="17"/>
              </w:rPr>
              <w:t>Lieferscheinnummer (Scheinnummer)</w:t>
            </w:r>
          </w:p>
        </w:tc>
        <w:tc>
          <w:tcPr>
            <w:tcW w:type="dxa" w:w="1258"/>
          </w:tcPr>
          <w:p>
            <w:pPr>
              <w:spacing w:after="0" w:line="252" w:lineRule="auto"/>
            </w:pPr>
            <w:r>
              <w:rPr>
                <w:sz w:val="17"/>
              </w:rPr>
              <w:t>IM Tab. 39, S. 69; Beschreibung S. 77</w:t>
            </w:r>
          </w:p>
        </w:tc>
      </w:tr>
      <w:tr>
        <w:tc>
          <w:tcPr>
            <w:tcW w:type="dxa" w:w="1910"/>
          </w:tcPr>
          <w:p>
            <w:pPr>
              <w:spacing w:after="0" w:line="252" w:lineRule="auto"/>
            </w:pPr>
            <w:r>
              <w:rPr>
                <w:rFonts w:ascii="Consolas" w:hAnsi="Consolas" w:cs="Consolas" w:eastAsia="Consolas"/>
                <w:sz w:val="15"/>
              </w:rPr>
              <w:t>info</w:t>
            </w:r>
          </w:p>
        </w:tc>
        <w:tc>
          <w:tcPr>
            <w:tcW w:type="dxa" w:w="1910"/>
          </w:tcPr>
          <w:p>
            <w:pPr>
              <w:spacing w:after="0" w:line="252" w:lineRule="auto"/>
            </w:pPr>
            <w:r>
              <w:rPr>
                <w:sz w:val="17"/>
              </w:rPr>
              <w:t>WLSSD002 (Kopf)</w:t>
            </w:r>
          </w:p>
        </w:tc>
        <w:tc>
          <w:tcPr>
            <w:tcW w:type="dxa" w:w="1013"/>
          </w:tcPr>
          <w:p>
            <w:pPr>
              <w:spacing w:after="0" w:line="252" w:lineRule="auto"/>
            </w:pPr>
            <w:r>
              <w:rPr>
                <w:b/>
                <w:sz w:val="17"/>
              </w:rPr>
              <w:t>S 256</w:t>
            </w:r>
          </w:p>
        </w:tc>
        <w:tc>
          <w:tcPr>
            <w:tcW w:type="dxa" w:w="1339"/>
          </w:tcPr>
          <w:p>
            <w:pPr>
              <w:spacing w:after="0" w:line="252" w:lineRule="auto"/>
            </w:pPr>
            <w:r>
              <w:rPr>
                <w:sz w:val="17"/>
              </w:rPr>
              <w:t>optional</w:t>
            </w:r>
          </w:p>
        </w:tc>
        <w:tc>
          <w:tcPr>
            <w:tcW w:type="dxa" w:w="2096"/>
          </w:tcPr>
          <w:p>
            <w:pPr>
              <w:spacing w:after="0" w:line="252" w:lineRule="auto"/>
            </w:pPr>
            <w:r>
              <w:rPr>
                <w:sz w:val="17"/>
              </w:rPr>
              <w:t>freier Text, z. B. „Wagen KW-1001“</w:t>
            </w:r>
          </w:p>
        </w:tc>
        <w:tc>
          <w:tcPr>
            <w:tcW w:type="dxa" w:w="1258"/>
          </w:tcPr>
          <w:p>
            <w:pPr>
              <w:spacing w:after="0" w:line="252" w:lineRule="auto"/>
            </w:pPr>
            <w:r>
              <w:rPr>
                <w:sz w:val="17"/>
              </w:rPr>
              <w:t>IM Tab. 39, S. 69</w:t>
            </w:r>
          </w:p>
        </w:tc>
      </w:tr>
      <w:tr>
        <w:tc>
          <w:tcPr>
            <w:tcW w:type="dxa" w:w="1910"/>
          </w:tcPr>
          <w:p>
            <w:pPr>
              <w:spacing w:after="0" w:line="252" w:lineRule="auto"/>
            </w:pPr>
            <w:r>
              <w:rPr>
                <w:rFonts w:ascii="Consolas" w:hAnsi="Consolas" w:cs="Consolas" w:eastAsia="Consolas"/>
                <w:sz w:val="15"/>
              </w:rPr>
              <w:t>info2</w:t>
            </w:r>
          </w:p>
        </w:tc>
        <w:tc>
          <w:tcPr>
            <w:tcW w:type="dxa" w:w="1910"/>
          </w:tcPr>
          <w:p>
            <w:pPr>
              <w:spacing w:after="0" w:line="252" w:lineRule="auto"/>
            </w:pPr>
            <w:r>
              <w:rPr>
                <w:sz w:val="17"/>
              </w:rPr>
              <w:t>WLSSD002 (Kopf)</w:t>
            </w:r>
          </w:p>
        </w:tc>
        <w:tc>
          <w:tcPr>
            <w:tcW w:type="dxa" w:w="1013"/>
          </w:tcPr>
          <w:p>
            <w:pPr>
              <w:spacing w:after="0" w:line="252" w:lineRule="auto"/>
            </w:pPr>
            <w:r>
              <w:rPr>
                <w:b/>
                <w:sz w:val="17"/>
              </w:rPr>
              <w:t>S 256</w:t>
            </w:r>
          </w:p>
        </w:tc>
        <w:tc>
          <w:tcPr>
            <w:tcW w:type="dxa" w:w="1339"/>
          </w:tcPr>
          <w:p>
            <w:pPr>
              <w:spacing w:after="0" w:line="252" w:lineRule="auto"/>
            </w:pPr>
            <w:r>
              <w:rPr>
                <w:sz w:val="17"/>
              </w:rPr>
              <w:t>optional</w:t>
            </w:r>
          </w:p>
        </w:tc>
        <w:tc>
          <w:tcPr>
            <w:tcW w:type="dxa" w:w="2096"/>
          </w:tcPr>
          <w:p>
            <w:pPr>
              <w:spacing w:after="0" w:line="252" w:lineRule="auto"/>
            </w:pPr>
            <w:r>
              <w:rPr>
                <w:sz w:val="17"/>
              </w:rPr>
              <w:t>freier Text, z. B. Lieferant oder Hinweis</w:t>
            </w:r>
          </w:p>
        </w:tc>
        <w:tc>
          <w:tcPr>
            <w:tcW w:type="dxa" w:w="1258"/>
          </w:tcPr>
          <w:p>
            <w:pPr>
              <w:spacing w:after="0" w:line="252" w:lineRule="auto"/>
            </w:pPr>
            <w:r>
              <w:rPr>
                <w:sz w:val="17"/>
              </w:rPr>
              <w:t>IM Tab. 39, S. 69</w:t>
            </w:r>
          </w:p>
        </w:tc>
      </w:tr>
      <w:tr>
        <w:tc>
          <w:tcPr>
            <w:tcW w:type="dxa" w:w="1910"/>
          </w:tcPr>
          <w:p>
            <w:pPr>
              <w:spacing w:after="0" w:line="252" w:lineRule="auto"/>
            </w:pPr>
            <w:r>
              <w:rPr>
                <w:rFonts w:ascii="Consolas" w:hAnsi="Consolas" w:cs="Consolas" w:eastAsia="Consolas"/>
                <w:sz w:val="15"/>
              </w:rPr>
              <w:t>info / info2 an der Position</w:t>
            </w:r>
          </w:p>
        </w:tc>
        <w:tc>
          <w:tcPr>
            <w:tcW w:type="dxa" w:w="1910"/>
          </w:tcPr>
          <w:p>
            <w:pPr>
              <w:spacing w:after="0" w:line="252" w:lineRule="auto"/>
            </w:pPr>
            <w:r>
              <w:rPr>
                <w:sz w:val="17"/>
              </w:rPr>
              <w:t>WLSSDL002</w:t>
            </w:r>
          </w:p>
        </w:tc>
        <w:tc>
          <w:tcPr>
            <w:tcW w:type="dxa" w:w="1013"/>
          </w:tcPr>
          <w:p>
            <w:pPr>
              <w:spacing w:after="0" w:line="252" w:lineRule="auto"/>
            </w:pPr>
            <w:r>
              <w:rPr>
                <w:b/>
                <w:sz w:val="17"/>
              </w:rPr>
              <w:t>nicht vorhanden</w:t>
            </w:r>
          </w:p>
        </w:tc>
        <w:tc>
          <w:tcPr>
            <w:tcW w:type="dxa" w:w="1339"/>
          </w:tcPr>
          <w:p>
            <w:pPr>
              <w:spacing w:after="0" w:line="252" w:lineRule="auto"/>
            </w:pPr>
            <w:r>
              <w:rPr>
                <w:sz w:val="17"/>
              </w:rPr>
              <w:t>–</w:t>
            </w:r>
          </w:p>
        </w:tc>
        <w:tc>
          <w:tcPr>
            <w:tcW w:type="dxa" w:w="2096"/>
          </w:tcPr>
          <w:p>
            <w:pPr>
              <w:spacing w:after="0" w:line="252" w:lineRule="auto"/>
            </w:pPr>
            <w:r>
              <w:rPr>
                <w:sz w:val="17"/>
              </w:rPr>
              <w:t>Positionsangaben über WLSSDLEXTREF001 oder CSIA</w:t>
            </w:r>
          </w:p>
        </w:tc>
        <w:tc>
          <w:tcPr>
            <w:tcW w:type="dxa" w:w="1258"/>
          </w:tcPr>
          <w:p>
            <w:pPr>
              <w:spacing w:after="0" w:line="252" w:lineRule="auto"/>
            </w:pPr>
            <w:r>
              <w:rPr>
                <w:sz w:val="17"/>
              </w:rPr>
              <w:t>IM Tab. 40, S. 70 bis 72</w:t>
            </w:r>
          </w:p>
        </w:tc>
      </w:tr>
      <w:tr>
        <w:tc>
          <w:tcPr>
            <w:tcW w:type="dxa" w:w="1910"/>
          </w:tcPr>
          <w:p>
            <w:pPr>
              <w:spacing w:after="0" w:line="252" w:lineRule="auto"/>
            </w:pPr>
            <w:r>
              <w:rPr>
                <w:rFonts w:ascii="Consolas" w:hAnsi="Consolas" w:cs="Consolas" w:eastAsia="Consolas"/>
                <w:sz w:val="15"/>
              </w:rPr>
              <w:t>extRefKey</w:t>
            </w:r>
          </w:p>
        </w:tc>
        <w:tc>
          <w:tcPr>
            <w:tcW w:type="dxa" w:w="1910"/>
          </w:tcPr>
          <w:p>
            <w:pPr>
              <w:spacing w:after="0" w:line="252" w:lineRule="auto"/>
            </w:pPr>
            <w:r>
              <w:rPr>
                <w:sz w:val="17"/>
              </w:rPr>
              <w:t>WLSSDEXTREF001 (Kopf)</w:t>
            </w:r>
          </w:p>
        </w:tc>
        <w:tc>
          <w:tcPr>
            <w:tcW w:type="dxa" w:w="1013"/>
          </w:tcPr>
          <w:p>
            <w:pPr>
              <w:spacing w:after="0" w:line="252" w:lineRule="auto"/>
            </w:pPr>
            <w:r>
              <w:rPr>
                <w:b/>
                <w:sz w:val="17"/>
              </w:rPr>
              <w:t>S 64</w:t>
            </w:r>
          </w:p>
        </w:tc>
        <w:tc>
          <w:tcPr>
            <w:tcW w:type="dxa" w:w="1339"/>
          </w:tcPr>
          <w:p>
            <w:pPr>
              <w:spacing w:after="0" w:line="252" w:lineRule="auto"/>
            </w:pPr>
            <w:r>
              <w:rPr>
                <w:sz w:val="17"/>
              </w:rPr>
              <w:t>Pflicht im Block</w:t>
            </w:r>
          </w:p>
        </w:tc>
        <w:tc>
          <w:tcPr>
            <w:tcW w:type="dxa" w:w="2096"/>
          </w:tcPr>
          <w:p>
            <w:pPr>
              <w:spacing w:after="0" w:line="252" w:lineRule="auto"/>
            </w:pPr>
            <w:r>
              <w:rPr>
                <w:sz w:val="17"/>
              </w:rPr>
              <w:t>LIEFERSCHEIN</w:t>
            </w:r>
          </w:p>
        </w:tc>
        <w:tc>
          <w:tcPr>
            <w:tcW w:type="dxa" w:w="1258"/>
          </w:tcPr>
          <w:p>
            <w:pPr>
              <w:spacing w:after="0" w:line="252" w:lineRule="auto"/>
            </w:pPr>
            <w:r>
              <w:rPr>
                <w:sz w:val="17"/>
              </w:rPr>
              <w:t>IM S. 75; order_​builders.​py</w:t>
            </w:r>
          </w:p>
        </w:tc>
      </w:tr>
      <w:tr>
        <w:tc>
          <w:tcPr>
            <w:tcW w:type="dxa" w:w="1910"/>
          </w:tcPr>
          <w:p>
            <w:pPr>
              <w:spacing w:after="0" w:line="252" w:lineRule="auto"/>
            </w:pPr>
            <w:r>
              <w:rPr>
                <w:rFonts w:ascii="Consolas" w:hAnsi="Consolas" w:cs="Consolas" w:eastAsia="Consolas"/>
                <w:sz w:val="15"/>
              </w:rPr>
              <w:t>extRefVal1 / extRefVal2</w:t>
            </w:r>
          </w:p>
        </w:tc>
        <w:tc>
          <w:tcPr>
            <w:tcW w:type="dxa" w:w="1910"/>
          </w:tcPr>
          <w:p>
            <w:pPr>
              <w:spacing w:after="0" w:line="252" w:lineRule="auto"/>
            </w:pPr>
            <w:r>
              <w:rPr>
                <w:sz w:val="17"/>
              </w:rPr>
              <w:t>WLSSDEXTREF001 (Kopf)</w:t>
            </w:r>
          </w:p>
        </w:tc>
        <w:tc>
          <w:tcPr>
            <w:tcW w:type="dxa" w:w="1013"/>
          </w:tcPr>
          <w:p>
            <w:pPr>
              <w:spacing w:after="0" w:line="252" w:lineRule="auto"/>
            </w:pPr>
            <w:r>
              <w:rPr>
                <w:b/>
                <w:sz w:val="17"/>
              </w:rPr>
              <w:t>S 512 / S 512</w:t>
            </w:r>
          </w:p>
        </w:tc>
        <w:tc>
          <w:tcPr>
            <w:tcW w:type="dxa" w:w="1339"/>
          </w:tcPr>
          <w:p>
            <w:pPr>
              <w:spacing w:after="0" w:line="252" w:lineRule="auto"/>
            </w:pPr>
            <w:r>
              <w:rPr>
                <w:sz w:val="17"/>
              </w:rPr>
              <w:t>optional</w:t>
            </w:r>
          </w:p>
        </w:tc>
        <w:tc>
          <w:tcPr>
            <w:tcW w:type="dxa" w:w="2096"/>
          </w:tcPr>
          <w:p>
            <w:pPr>
              <w:spacing w:after="0" w:line="252" w:lineRule="auto"/>
            </w:pPr>
            <w:r>
              <w:rPr>
                <w:sz w:val="17"/>
              </w:rPr>
              <w:t>Lieferscheinnummer / Bestellnummer</w:t>
            </w:r>
          </w:p>
        </w:tc>
        <w:tc>
          <w:tcPr>
            <w:tcW w:type="dxa" w:w="1258"/>
          </w:tcPr>
          <w:p>
            <w:pPr>
              <w:spacing w:after="0" w:line="252" w:lineRule="auto"/>
            </w:pPr>
            <w:r>
              <w:rPr>
                <w:sz w:val="17"/>
              </w:rPr>
              <w:t>IM S. 75; order_​builders.​py</w:t>
            </w:r>
          </w:p>
        </w:tc>
      </w:tr>
      <w:tr>
        <w:tc>
          <w:tcPr>
            <w:tcW w:type="dxa" w:w="1910"/>
          </w:tcPr>
          <w:p>
            <w:pPr>
              <w:spacing w:after="0" w:line="252" w:lineRule="auto"/>
            </w:pPr>
            <w:r>
              <w:rPr>
                <w:rFonts w:ascii="Consolas" w:hAnsi="Consolas" w:cs="Consolas" w:eastAsia="Consolas"/>
                <w:sz w:val="15"/>
              </w:rPr>
              <w:t>csia1 (CSIA 01)</w:t>
            </w:r>
          </w:p>
        </w:tc>
        <w:tc>
          <w:tcPr>
            <w:tcW w:type="dxa" w:w="1910"/>
          </w:tcPr>
          <w:p>
            <w:pPr>
              <w:spacing w:after="0" w:line="252" w:lineRule="auto"/>
            </w:pPr>
            <w:r>
              <w:rPr>
                <w:sz w:val="17"/>
              </w:rPr>
              <w:t>WLSSDL002 (Position)</w:t>
            </w:r>
          </w:p>
        </w:tc>
        <w:tc>
          <w:tcPr>
            <w:tcW w:type="dxa" w:w="1013"/>
          </w:tcPr>
          <w:p>
            <w:pPr>
              <w:spacing w:after="0" w:line="252" w:lineRule="auto"/>
            </w:pPr>
            <w:r>
              <w:rPr>
                <w:b/>
                <w:sz w:val="17"/>
              </w:rPr>
              <w:t>S 50</w:t>
            </w:r>
          </w:p>
        </w:tc>
        <w:tc>
          <w:tcPr>
            <w:tcW w:type="dxa" w:w="1339"/>
          </w:tcPr>
          <w:p>
            <w:pPr>
              <w:spacing w:after="0" w:line="252" w:lineRule="auto"/>
            </w:pPr>
            <w:r>
              <w:rPr>
                <w:sz w:val="17"/>
              </w:rPr>
              <w:t>optional (Pflicht je nach Artikelstamm)</w:t>
            </w:r>
          </w:p>
        </w:tc>
        <w:tc>
          <w:tcPr>
            <w:tcW w:type="dxa" w:w="2096"/>
          </w:tcPr>
          <w:p>
            <w:pPr>
              <w:spacing w:after="0" w:line="252" w:lineRule="auto"/>
            </w:pPr>
            <w:r>
              <w:rPr>
                <w:sz w:val="17"/>
              </w:rPr>
              <w:t>Seriennummer</w:t>
            </w:r>
          </w:p>
        </w:tc>
        <w:tc>
          <w:tcPr>
            <w:tcW w:type="dxa" w:w="1258"/>
          </w:tcPr>
          <w:p>
            <w:pPr>
              <w:spacing w:after="0" w:line="252" w:lineRule="auto"/>
            </w:pPr>
            <w:r>
              <w:rPr>
                <w:sz w:val="17"/>
              </w:rPr>
              <w:t>IM Tab. 40, S. 71; Beschreibung S. 78</w:t>
            </w:r>
          </w:p>
        </w:tc>
      </w:tr>
      <w:tr>
        <w:tc>
          <w:tcPr>
            <w:tcW w:type="dxa" w:w="1910"/>
          </w:tcPr>
          <w:p>
            <w:pPr>
              <w:spacing w:after="0" w:line="252" w:lineRule="auto"/>
            </w:pPr>
            <w:r>
              <w:rPr>
                <w:rFonts w:ascii="Consolas" w:hAnsi="Consolas" w:cs="Consolas" w:eastAsia="Consolas"/>
                <w:sz w:val="15"/>
              </w:rPr>
              <w:t>csia2 bis csia20</w:t>
            </w:r>
          </w:p>
        </w:tc>
        <w:tc>
          <w:tcPr>
            <w:tcW w:type="dxa" w:w="1910"/>
          </w:tcPr>
          <w:p>
            <w:pPr>
              <w:spacing w:after="0" w:line="252" w:lineRule="auto"/>
            </w:pPr>
            <w:r>
              <w:rPr>
                <w:sz w:val="17"/>
              </w:rPr>
              <w:t>WLSSDL002 (Position)</w:t>
            </w:r>
          </w:p>
        </w:tc>
        <w:tc>
          <w:tcPr>
            <w:tcW w:type="dxa" w:w="1013"/>
          </w:tcPr>
          <w:p>
            <w:pPr>
              <w:spacing w:after="0" w:line="252" w:lineRule="auto"/>
            </w:pPr>
            <w:r>
              <w:rPr>
                <w:b/>
                <w:sz w:val="17"/>
              </w:rPr>
              <w:t>je S 50</w:t>
            </w:r>
          </w:p>
        </w:tc>
        <w:tc>
          <w:tcPr>
            <w:tcW w:type="dxa" w:w="1339"/>
          </w:tcPr>
          <w:p>
            <w:pPr>
              <w:spacing w:after="0" w:line="252" w:lineRule="auto"/>
            </w:pPr>
            <w:r>
              <w:rPr>
                <w:sz w:val="17"/>
              </w:rPr>
              <w:t>optional</w:t>
            </w:r>
          </w:p>
        </w:tc>
        <w:tc>
          <w:tcPr>
            <w:tcW w:type="dxa" w:w="2096"/>
          </w:tcPr>
          <w:p>
            <w:pPr>
              <w:spacing w:after="0" w:line="252" w:lineRule="auto"/>
            </w:pPr>
            <w:r>
              <w:rPr>
                <w:sz w:val="17"/>
              </w:rPr>
              <w:t>weitere CSIA, hier nicht genutzt</w:t>
            </w:r>
          </w:p>
        </w:tc>
        <w:tc>
          <w:tcPr>
            <w:tcW w:type="dxa" w:w="1258"/>
          </w:tcPr>
          <w:p>
            <w:pPr>
              <w:spacing w:after="0" w:line="252" w:lineRule="auto"/>
            </w:pPr>
            <w:r>
              <w:rPr>
                <w:sz w:val="17"/>
              </w:rPr>
              <w:t>IM Tab. 40</w:t>
            </w:r>
          </w:p>
        </w:tc>
      </w:tr>
      <w:tr>
        <w:tc>
          <w:tcPr>
            <w:tcW w:type="dxa" w:w="1910"/>
          </w:tcPr>
          <w:p>
            <w:pPr>
              <w:spacing w:after="0" w:line="252" w:lineRule="auto"/>
            </w:pPr>
            <w:r>
              <w:rPr>
                <w:rFonts w:ascii="Consolas" w:hAnsi="Consolas" w:cs="Consolas" w:eastAsia="Consolas"/>
                <w:sz w:val="15"/>
              </w:rPr>
              <w:t>csiaStockMode01</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NOT_APPLICABLE / OPTIONAL / MANDATORY</w:t>
            </w:r>
          </w:p>
        </w:tc>
        <w:tc>
          <w:tcPr>
            <w:tcW w:type="dxa" w:w="1258"/>
          </w:tcPr>
          <w:p>
            <w:pPr>
              <w:spacing w:after="0" w:line="252" w:lineRule="auto"/>
            </w:pPr>
            <w:r>
              <w:rPr>
                <w:sz w:val="17"/>
              </w:rPr>
              <w:t>IM WLSITEM001 Tab. 14 (ab S. 44), Enum Tab. 25, S. 59</w:t>
            </w:r>
          </w:p>
        </w:tc>
      </w:tr>
      <w:tr>
        <w:tc>
          <w:tcPr>
            <w:tcW w:type="dxa" w:w="1910"/>
          </w:tcPr>
          <w:p>
            <w:pPr>
              <w:spacing w:after="0" w:line="252" w:lineRule="auto"/>
            </w:pPr>
            <w:r>
              <w:rPr>
                <w:rFonts w:ascii="Consolas" w:hAnsi="Consolas" w:cs="Consolas" w:eastAsia="Consolas"/>
                <w:sz w:val="15"/>
              </w:rPr>
              <w:t>csiaIgRegistration01</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NOT_APPLICABLE / OPTIONAL / MANDATORY</w:t>
            </w:r>
          </w:p>
        </w:tc>
        <w:tc>
          <w:tcPr>
            <w:tcW w:type="dxa" w:w="1258"/>
          </w:tcPr>
          <w:p>
            <w:pPr>
              <w:spacing w:after="0" w:line="252" w:lineRule="auto"/>
            </w:pPr>
            <w:r>
              <w:rPr>
                <w:sz w:val="17"/>
              </w:rPr>
              <w:t>IM WLSITEM001 Tab. 14, Enum Tab. 29, S. 60</w:t>
            </w:r>
          </w:p>
        </w:tc>
      </w:tr>
      <w:tr>
        <w:tc>
          <w:tcPr>
            <w:tcW w:type="dxa" w:w="1910"/>
          </w:tcPr>
          <w:p>
            <w:pPr>
              <w:spacing w:after="0" w:line="252" w:lineRule="auto"/>
            </w:pPr>
            <w:r>
              <w:rPr>
                <w:rFonts w:ascii="Consolas" w:hAnsi="Consolas" w:cs="Consolas" w:eastAsia="Consolas"/>
                <w:sz w:val="15"/>
              </w:rPr>
              <w:t>csiaOgRegistration01</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NOT_APPLICABLE / OPTIONAL / MANDATORY</w:t>
            </w:r>
          </w:p>
        </w:tc>
        <w:tc>
          <w:tcPr>
            <w:tcW w:type="dxa" w:w="1258"/>
          </w:tcPr>
          <w:p>
            <w:pPr>
              <w:spacing w:after="0" w:line="252" w:lineRule="auto"/>
            </w:pPr>
            <w:r>
              <w:rPr>
                <w:sz w:val="17"/>
              </w:rPr>
              <w:t>IM WLSITEM001 Tab. 14, Enum S. 61</w:t>
            </w:r>
          </w:p>
        </w:tc>
      </w:tr>
      <w:tr>
        <w:tc>
          <w:tcPr>
            <w:tcW w:type="dxa" w:w="1910"/>
          </w:tcPr>
          <w:p>
            <w:pPr>
              <w:spacing w:after="0" w:line="252" w:lineRule="auto"/>
            </w:pPr>
            <w:r>
              <w:rPr>
                <w:rFonts w:ascii="Consolas" w:hAnsi="Consolas" w:cs="Consolas" w:eastAsia="Consolas"/>
                <w:sz w:val="15"/>
              </w:rPr>
              <w:t>batch</w:t>
            </w:r>
          </w:p>
        </w:tc>
        <w:tc>
          <w:tcPr>
            <w:tcW w:type="dxa" w:w="1910"/>
          </w:tcPr>
          <w:p>
            <w:pPr>
              <w:spacing w:after="0" w:line="252" w:lineRule="auto"/>
            </w:pPr>
            <w:r>
              <w:rPr>
                <w:sz w:val="17"/>
              </w:rPr>
              <w:t>WLSSDL002 (Position)</w:t>
            </w:r>
          </w:p>
        </w:tc>
        <w:tc>
          <w:tcPr>
            <w:tcW w:type="dxa" w:w="1013"/>
          </w:tcPr>
          <w:p>
            <w:pPr>
              <w:spacing w:after="0" w:line="252" w:lineRule="auto"/>
            </w:pPr>
            <w:r>
              <w:rPr>
                <w:b/>
                <w:sz w:val="17"/>
              </w:rPr>
              <w:t>S 20</w:t>
            </w:r>
          </w:p>
        </w:tc>
        <w:tc>
          <w:tcPr>
            <w:tcW w:type="dxa" w:w="1339"/>
          </w:tcPr>
          <w:p>
            <w:pPr>
              <w:spacing w:after="0" w:line="252" w:lineRule="auto"/>
            </w:pPr>
            <w:r>
              <w:rPr>
                <w:sz w:val="17"/>
              </w:rPr>
              <w:t>optional (Pflicht je nach Artikelstamm)</w:t>
            </w:r>
          </w:p>
        </w:tc>
        <w:tc>
          <w:tcPr>
            <w:tcW w:type="dxa" w:w="2096"/>
          </w:tcPr>
          <w:p>
            <w:pPr>
              <w:spacing w:after="0" w:line="252" w:lineRule="auto"/>
            </w:pPr>
            <w:r>
              <w:rPr>
                <w:sz w:val="17"/>
              </w:rPr>
              <w:t>Chargennummer</w:t>
            </w:r>
          </w:p>
        </w:tc>
        <w:tc>
          <w:tcPr>
            <w:tcW w:type="dxa" w:w="1258"/>
          </w:tcPr>
          <w:p>
            <w:pPr>
              <w:spacing w:after="0" w:line="252" w:lineRule="auto"/>
            </w:pPr>
            <w:r>
              <w:rPr>
                <w:sz w:val="17"/>
              </w:rPr>
              <w:t>IM Tab. 40 Nr. 7, S. 70; Beschreibung S. 78</w:t>
            </w:r>
          </w:p>
        </w:tc>
      </w:tr>
      <w:tr>
        <w:tc>
          <w:tcPr>
            <w:tcW w:type="dxa" w:w="1910"/>
          </w:tcPr>
          <w:p>
            <w:pPr>
              <w:spacing w:after="0" w:line="252" w:lineRule="auto"/>
            </w:pPr>
            <w:r>
              <w:rPr>
                <w:rFonts w:ascii="Consolas" w:hAnsi="Consolas" w:cs="Consolas" w:eastAsia="Consolas"/>
                <w:sz w:val="15"/>
              </w:rPr>
              <w:t>bbDate</w:t>
            </w:r>
          </w:p>
        </w:tc>
        <w:tc>
          <w:tcPr>
            <w:tcW w:type="dxa" w:w="1910"/>
          </w:tcPr>
          <w:p>
            <w:pPr>
              <w:spacing w:after="0" w:line="252" w:lineRule="auto"/>
            </w:pPr>
            <w:r>
              <w:rPr>
                <w:sz w:val="17"/>
              </w:rPr>
              <w:t>WLSSDL002 (Position)</w:t>
            </w:r>
          </w:p>
        </w:tc>
        <w:tc>
          <w:tcPr>
            <w:tcW w:type="dxa" w:w="1013"/>
          </w:tcPr>
          <w:p>
            <w:pPr>
              <w:spacing w:after="0" w:line="252" w:lineRule="auto"/>
            </w:pPr>
            <w:r>
              <w:rPr>
                <w:b/>
                <w:sz w:val="17"/>
              </w:rPr>
              <w:t>DA 8, JJJJMMTT</w:t>
            </w:r>
          </w:p>
        </w:tc>
        <w:tc>
          <w:tcPr>
            <w:tcW w:type="dxa" w:w="1339"/>
          </w:tcPr>
          <w:p>
            <w:pPr>
              <w:spacing w:after="0" w:line="252" w:lineRule="auto"/>
            </w:pPr>
            <w:r>
              <w:rPr>
                <w:sz w:val="17"/>
              </w:rPr>
              <w:t>optional (Pflicht je nach Artikelstamm)</w:t>
            </w:r>
          </w:p>
        </w:tc>
        <w:tc>
          <w:tcPr>
            <w:tcW w:type="dxa" w:w="2096"/>
          </w:tcPr>
          <w:p>
            <w:pPr>
              <w:spacing w:after="0" w:line="252" w:lineRule="auto"/>
            </w:pPr>
            <w:r>
              <w:rPr>
                <w:sz w:val="17"/>
              </w:rPr>
              <w:t>MHD (Mindesthaltbarkeitsdatum, best before date)</w:t>
            </w:r>
          </w:p>
        </w:tc>
        <w:tc>
          <w:tcPr>
            <w:tcW w:type="dxa" w:w="1258"/>
          </w:tcPr>
          <w:p>
            <w:pPr>
              <w:spacing w:after="0" w:line="252" w:lineRule="auto"/>
            </w:pPr>
            <w:r>
              <w:rPr>
                <w:sz w:val="17"/>
              </w:rPr>
              <w:t>IM Tab. 40 Nr. 8, S. 70; Datumsformat Tab. 6, S. 30</w:t>
            </w:r>
          </w:p>
        </w:tc>
      </w:tr>
      <w:tr>
        <w:tc>
          <w:tcPr>
            <w:tcW w:type="dxa" w:w="1910"/>
          </w:tcPr>
          <w:p>
            <w:pPr>
              <w:spacing w:after="0" w:line="252" w:lineRule="auto"/>
            </w:pPr>
            <w:r>
              <w:rPr>
                <w:rFonts w:ascii="Consolas" w:hAnsi="Consolas" w:cs="Consolas" w:eastAsia="Consolas"/>
                <w:sz w:val="15"/>
              </w:rPr>
              <w:t>prodDate</w:t>
            </w:r>
          </w:p>
        </w:tc>
        <w:tc>
          <w:tcPr>
            <w:tcW w:type="dxa" w:w="1910"/>
          </w:tcPr>
          <w:p>
            <w:pPr>
              <w:spacing w:after="0" w:line="252" w:lineRule="auto"/>
            </w:pPr>
            <w:r>
              <w:rPr>
                <w:sz w:val="17"/>
              </w:rPr>
              <w:t>WLSSDL002 (Position)</w:t>
            </w:r>
          </w:p>
        </w:tc>
        <w:tc>
          <w:tcPr>
            <w:tcW w:type="dxa" w:w="1013"/>
          </w:tcPr>
          <w:p>
            <w:pPr>
              <w:spacing w:after="0" w:line="252" w:lineRule="auto"/>
            </w:pPr>
            <w:r>
              <w:rPr>
                <w:b/>
                <w:sz w:val="17"/>
              </w:rPr>
              <w:t>DA 8, JJJJMMTT</w:t>
            </w:r>
          </w:p>
        </w:tc>
        <w:tc>
          <w:tcPr>
            <w:tcW w:type="dxa" w:w="1339"/>
          </w:tcPr>
          <w:p>
            <w:pPr>
              <w:spacing w:after="0" w:line="252" w:lineRule="auto"/>
            </w:pPr>
            <w:r>
              <w:rPr>
                <w:sz w:val="17"/>
              </w:rPr>
              <w:t>optional</w:t>
            </w:r>
          </w:p>
        </w:tc>
        <w:tc>
          <w:tcPr>
            <w:tcW w:type="dxa" w:w="2096"/>
          </w:tcPr>
          <w:p>
            <w:pPr>
              <w:spacing w:after="0" w:line="252" w:lineRule="auto"/>
            </w:pPr>
            <w:r>
              <w:rPr>
                <w:sz w:val="17"/>
              </w:rPr>
              <w:t>Herstelldatum, hier nicht genutzt</w:t>
            </w:r>
          </w:p>
        </w:tc>
        <w:tc>
          <w:tcPr>
            <w:tcW w:type="dxa" w:w="1258"/>
          </w:tcPr>
          <w:p>
            <w:pPr>
              <w:spacing w:after="0" w:line="252" w:lineRule="auto"/>
            </w:pPr>
            <w:r>
              <w:rPr>
                <w:sz w:val="17"/>
              </w:rPr>
              <w:t>IM Tab. 40 Nr. 9, S. 70</w:t>
            </w:r>
          </w:p>
        </w:tc>
      </w:tr>
      <w:tr>
        <w:tc>
          <w:tcPr>
            <w:tcW w:type="dxa" w:w="1910"/>
          </w:tcPr>
          <w:p>
            <w:pPr>
              <w:spacing w:after="0" w:line="252" w:lineRule="auto"/>
            </w:pPr>
            <w:r>
              <w:rPr>
                <w:rFonts w:ascii="Consolas" w:hAnsi="Consolas" w:cs="Consolas" w:eastAsia="Consolas"/>
                <w:sz w:val="15"/>
              </w:rPr>
              <w:t>batchStockMode</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Charge im Bestand führen: NOT_APPLICABLE / OPTIONAL / MANDATORY</w:t>
            </w:r>
          </w:p>
        </w:tc>
        <w:tc>
          <w:tcPr>
            <w:tcW w:type="dxa" w:w="1258"/>
          </w:tcPr>
          <w:p>
            <w:pPr>
              <w:spacing w:after="0" w:line="252" w:lineRule="auto"/>
            </w:pPr>
            <w:r>
              <w:rPr>
                <w:sz w:val="17"/>
              </w:rPr>
              <w:t>IM Tab. 14 Nr. 8, S. 44; Enum Tab. 23, S. 59</w:t>
            </w:r>
          </w:p>
        </w:tc>
      </w:tr>
      <w:tr>
        <w:tc>
          <w:tcPr>
            <w:tcW w:type="dxa" w:w="1910"/>
          </w:tcPr>
          <w:p>
            <w:pPr>
              <w:spacing w:after="0" w:line="252" w:lineRule="auto"/>
            </w:pPr>
            <w:r>
              <w:rPr>
                <w:rFonts w:ascii="Consolas" w:hAnsi="Consolas" w:cs="Consolas" w:eastAsia="Consolas"/>
                <w:sz w:val="15"/>
              </w:rPr>
              <w:t>bbDateStockMode</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MHD im Bestand führen: NOT_APPLICABLE / OPTIONAL / MANDATORY</w:t>
            </w:r>
          </w:p>
        </w:tc>
        <w:tc>
          <w:tcPr>
            <w:tcW w:type="dxa" w:w="1258"/>
          </w:tcPr>
          <w:p>
            <w:pPr>
              <w:spacing w:after="0" w:line="252" w:lineRule="auto"/>
            </w:pPr>
            <w:r>
              <w:rPr>
                <w:sz w:val="17"/>
              </w:rPr>
              <w:t>IM Tab. 14 Nr. 7, S. 44; Enum Tab. 22, S. 58/59</w:t>
            </w:r>
          </w:p>
        </w:tc>
      </w:tr>
      <w:tr>
        <w:tc>
          <w:tcPr>
            <w:tcW w:type="dxa" w:w="1910"/>
          </w:tcPr>
          <w:p>
            <w:pPr>
              <w:spacing w:after="0" w:line="252" w:lineRule="auto"/>
            </w:pPr>
            <w:r>
              <w:rPr>
                <w:rFonts w:ascii="Consolas" w:hAnsi="Consolas" w:cs="Consolas" w:eastAsia="Consolas"/>
                <w:sz w:val="15"/>
              </w:rPr>
              <w:t>prodDateStockMode</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14</w:t>
            </w:r>
          </w:p>
        </w:tc>
        <w:tc>
          <w:tcPr>
            <w:tcW w:type="dxa" w:w="1339"/>
          </w:tcPr>
          <w:p>
            <w:pPr>
              <w:spacing w:after="0" w:line="252" w:lineRule="auto"/>
            </w:pPr>
            <w:r>
              <w:rPr>
                <w:sz w:val="17"/>
              </w:rPr>
              <w:t>optional</w:t>
            </w:r>
          </w:p>
        </w:tc>
        <w:tc>
          <w:tcPr>
            <w:tcW w:type="dxa" w:w="2096"/>
          </w:tcPr>
          <w:p>
            <w:pPr>
              <w:spacing w:after="0" w:line="252" w:lineRule="auto"/>
            </w:pPr>
            <w:r>
              <w:rPr>
                <w:sz w:val="17"/>
              </w:rPr>
              <w:t>Herstelldatum im Bestand, hier NOT_APPLICABLE</w:t>
            </w:r>
          </w:p>
        </w:tc>
        <w:tc>
          <w:tcPr>
            <w:tcW w:type="dxa" w:w="1258"/>
          </w:tcPr>
          <w:p>
            <w:pPr>
              <w:spacing w:after="0" w:line="252" w:lineRule="auto"/>
            </w:pPr>
            <w:r>
              <w:rPr>
                <w:sz w:val="17"/>
              </w:rPr>
              <w:t>IM Tab. 14 Nr. 9; Enum Tab. 24, S. 59</w:t>
            </w:r>
          </w:p>
        </w:tc>
      </w:tr>
      <w:tr>
        <w:tc>
          <w:tcPr>
            <w:tcW w:type="dxa" w:w="1910"/>
          </w:tcPr>
          <w:p>
            <w:pPr>
              <w:spacing w:after="0" w:line="252" w:lineRule="auto"/>
            </w:pPr>
            <w:r>
              <w:rPr>
                <w:rFonts w:ascii="Consolas" w:hAnsi="Consolas" w:cs="Consolas" w:eastAsia="Consolas"/>
                <w:sz w:val="15"/>
              </w:rPr>
              <w:t>igBatchRegistration / igBbDateRegistration</w:t>
            </w:r>
          </w:p>
        </w:tc>
        <w:tc>
          <w:tcPr>
            <w:tcW w:type="dxa" w:w="1910"/>
          </w:tcPr>
          <w:p>
            <w:pPr>
              <w:spacing w:after="0" w:line="252" w:lineRule="auto"/>
            </w:pPr>
            <w:r>
              <w:rPr>
                <w:sz w:val="17"/>
              </w:rPr>
              <w:t>WLSITEM001 (Artikel)</w:t>
            </w:r>
          </w:p>
        </w:tc>
        <w:tc>
          <w:tcPr>
            <w:tcW w:type="dxa" w:w="1013"/>
          </w:tcPr>
          <w:p>
            <w:pPr>
              <w:spacing w:after="0" w:line="252" w:lineRule="auto"/>
            </w:pPr>
            <w:r>
              <w:rPr>
                <w:b/>
                <w:sz w:val="17"/>
              </w:rPr>
              <w:t>je E 14</w:t>
            </w:r>
          </w:p>
        </w:tc>
        <w:tc>
          <w:tcPr>
            <w:tcW w:type="dxa" w:w="1339"/>
          </w:tcPr>
          <w:p>
            <w:pPr>
              <w:spacing w:after="0" w:line="252" w:lineRule="auto"/>
            </w:pPr>
            <w:r>
              <w:rPr>
                <w:sz w:val="17"/>
              </w:rPr>
              <w:t>optional</w:t>
            </w:r>
          </w:p>
        </w:tc>
        <w:tc>
          <w:tcPr>
            <w:tcW w:type="dxa" w:w="2096"/>
          </w:tcPr>
          <w:p>
            <w:pPr>
              <w:spacing w:after="0" w:line="252" w:lineRule="auto"/>
            </w:pPr>
            <w:r>
              <w:rPr>
                <w:sz w:val="17"/>
              </w:rPr>
              <w:t>Erfassung von Charge / MHD im Wareneingang (Touch)</w:t>
            </w:r>
          </w:p>
        </w:tc>
        <w:tc>
          <w:tcPr>
            <w:tcW w:type="dxa" w:w="1258"/>
          </w:tcPr>
          <w:p>
            <w:pPr>
              <w:spacing w:after="0" w:line="252" w:lineRule="auto"/>
            </w:pPr>
            <w:r>
              <w:rPr>
                <w:sz w:val="17"/>
              </w:rPr>
              <w:t>IM Tab. 14 Nr. 30/31, S. 46; Enum Tab. 26/27, S. 59/60</w:t>
            </w:r>
          </w:p>
        </w:tc>
      </w:tr>
      <w:tr>
        <w:tc>
          <w:tcPr>
            <w:tcW w:type="dxa" w:w="1910"/>
          </w:tcPr>
          <w:p>
            <w:pPr>
              <w:spacing w:after="0" w:line="252" w:lineRule="auto"/>
            </w:pPr>
            <w:r>
              <w:rPr>
                <w:rFonts w:ascii="Consolas" w:hAnsi="Consolas" w:cs="Consolas" w:eastAsia="Consolas"/>
                <w:sz w:val="15"/>
              </w:rPr>
              <w:t>ogBatchRegistration / ogBbDateRegistration</w:t>
            </w:r>
          </w:p>
        </w:tc>
        <w:tc>
          <w:tcPr>
            <w:tcW w:type="dxa" w:w="1910"/>
          </w:tcPr>
          <w:p>
            <w:pPr>
              <w:spacing w:after="0" w:line="252" w:lineRule="auto"/>
            </w:pPr>
            <w:r>
              <w:rPr>
                <w:sz w:val="17"/>
              </w:rPr>
              <w:t>WLSITEM001 (Artikel)</w:t>
            </w:r>
          </w:p>
        </w:tc>
        <w:tc>
          <w:tcPr>
            <w:tcW w:type="dxa" w:w="1013"/>
          </w:tcPr>
          <w:p>
            <w:pPr>
              <w:spacing w:after="0" w:line="252" w:lineRule="auto"/>
            </w:pPr>
            <w:r>
              <w:rPr>
                <w:b/>
                <w:sz w:val="17"/>
              </w:rPr>
              <w:t>je E 14</w:t>
            </w:r>
          </w:p>
        </w:tc>
        <w:tc>
          <w:tcPr>
            <w:tcW w:type="dxa" w:w="1339"/>
          </w:tcPr>
          <w:p>
            <w:pPr>
              <w:spacing w:after="0" w:line="252" w:lineRule="auto"/>
            </w:pPr>
            <w:r>
              <w:rPr>
                <w:sz w:val="17"/>
              </w:rPr>
              <w:t>optional</w:t>
            </w:r>
          </w:p>
        </w:tc>
        <w:tc>
          <w:tcPr>
            <w:tcW w:type="dxa" w:w="2096"/>
          </w:tcPr>
          <w:p>
            <w:pPr>
              <w:spacing w:after="0" w:line="252" w:lineRule="auto"/>
            </w:pPr>
            <w:r>
              <w:rPr>
                <w:sz w:val="17"/>
              </w:rPr>
              <w:t>Erfassung von Charge / MHD im Warenausgang (Kommissionierung)</w:t>
            </w:r>
          </w:p>
        </w:tc>
        <w:tc>
          <w:tcPr>
            <w:tcW w:type="dxa" w:w="1258"/>
          </w:tcPr>
          <w:p>
            <w:pPr>
              <w:spacing w:after="0" w:line="252" w:lineRule="auto"/>
            </w:pPr>
            <w:r>
              <w:rPr>
                <w:sz w:val="17"/>
              </w:rPr>
              <w:t>IM Tab. 14 Nr. 53/54, S. 49; Enum Tab. 30/31, S. 60/61</w:t>
            </w:r>
          </w:p>
        </w:tc>
      </w:tr>
      <w:tr>
        <w:tc>
          <w:tcPr>
            <w:tcW w:type="dxa" w:w="1910"/>
          </w:tcPr>
          <w:p>
            <w:pPr>
              <w:spacing w:after="0" w:line="252" w:lineRule="auto"/>
            </w:pPr>
            <w:r>
              <w:rPr>
                <w:rFonts w:ascii="Consolas" w:hAnsi="Consolas" w:cs="Consolas" w:eastAsia="Consolas"/>
                <w:sz w:val="15"/>
              </w:rPr>
              <w:t>timeBasedAccMode</w:t>
            </w:r>
          </w:p>
        </w:tc>
        <w:tc>
          <w:tcPr>
            <w:tcW w:type="dxa" w:w="1910"/>
          </w:tcPr>
          <w:p>
            <w:pPr>
              <w:spacing w:after="0" w:line="252" w:lineRule="auto"/>
            </w:pPr>
            <w:r>
              <w:rPr>
                <w:sz w:val="17"/>
              </w:rPr>
              <w:t>WLSITEM001 (Artikel)</w:t>
            </w:r>
          </w:p>
        </w:tc>
        <w:tc>
          <w:tcPr>
            <w:tcW w:type="dxa" w:w="1013"/>
          </w:tcPr>
          <w:p>
            <w:pPr>
              <w:spacing w:after="0" w:line="252" w:lineRule="auto"/>
            </w:pPr>
            <w:r>
              <w:rPr>
                <w:b/>
                <w:sz w:val="17"/>
              </w:rPr>
              <w:t>E 9</w:t>
            </w:r>
          </w:p>
        </w:tc>
        <w:tc>
          <w:tcPr>
            <w:tcW w:type="dxa" w:w="1339"/>
          </w:tcPr>
          <w:p>
            <w:pPr>
              <w:spacing w:after="0" w:line="252" w:lineRule="auto"/>
            </w:pPr>
            <w:r>
              <w:rPr>
                <w:sz w:val="17"/>
              </w:rPr>
              <w:t>optional</w:t>
            </w:r>
          </w:p>
        </w:tc>
        <w:tc>
          <w:tcPr>
            <w:tcW w:type="dxa" w:w="2096"/>
          </w:tcPr>
          <w:p>
            <w:pPr>
              <w:spacing w:after="0" w:line="252" w:lineRule="auto"/>
            </w:pPr>
            <w:r>
              <w:rPr>
                <w:sz w:val="17"/>
              </w:rPr>
              <w:t>REG_TIME / BBD / PROD_DATE: nach welchem Datum WAMAS im Warenausgang Ware auswählt (BBD = MHD, Grundlage FEFO)</w:t>
            </w:r>
          </w:p>
        </w:tc>
        <w:tc>
          <w:tcPr>
            <w:tcW w:type="dxa" w:w="1258"/>
          </w:tcPr>
          <w:p>
            <w:pPr>
              <w:spacing w:after="0" w:line="252" w:lineRule="auto"/>
            </w:pPr>
            <w:r>
              <w:rPr>
                <w:sz w:val="17"/>
              </w:rPr>
              <w:t>IM Tab. 14 Nr. 88, S. 53; Enum Tab. 35, S. 63/64</w:t>
            </w:r>
          </w:p>
        </w:tc>
      </w:tr>
      <w:tr>
        <w:tc>
          <w:tcPr>
            <w:tcW w:type="dxa" w:w="1910"/>
          </w:tcPr>
          <w:p>
            <w:pPr>
              <w:spacing w:after="0" w:line="252" w:lineRule="auto"/>
            </w:pPr>
            <w:r>
              <w:rPr>
                <w:rFonts w:ascii="Consolas" w:hAnsi="Consolas" w:cs="Consolas" w:eastAsia="Consolas"/>
                <w:sz w:val="15"/>
              </w:rPr>
              <w:t>itemEquivPeriod / itemEquivPeriodUnit</w:t>
            </w:r>
          </w:p>
        </w:tc>
        <w:tc>
          <w:tcPr>
            <w:tcW w:type="dxa" w:w="1910"/>
          </w:tcPr>
          <w:p>
            <w:pPr>
              <w:spacing w:after="0" w:line="252" w:lineRule="auto"/>
            </w:pPr>
            <w:r>
              <w:rPr>
                <w:sz w:val="17"/>
              </w:rPr>
              <w:t>WLSITEM001 (Artikel)</w:t>
            </w:r>
          </w:p>
        </w:tc>
        <w:tc>
          <w:tcPr>
            <w:tcW w:type="dxa" w:w="1013"/>
          </w:tcPr>
          <w:p>
            <w:pPr>
              <w:spacing w:after="0" w:line="252" w:lineRule="auto"/>
            </w:pPr>
            <w:r>
              <w:rPr>
                <w:b/>
                <w:sz w:val="17"/>
              </w:rPr>
              <w:t>D 12,3 / S 5</w:t>
            </w:r>
          </w:p>
        </w:tc>
        <w:tc>
          <w:tcPr>
            <w:tcW w:type="dxa" w:w="1339"/>
          </w:tcPr>
          <w:p>
            <w:pPr>
              <w:spacing w:after="0" w:line="252" w:lineRule="auto"/>
            </w:pPr>
            <w:r>
              <w:rPr>
                <w:sz w:val="17"/>
              </w:rPr>
              <w:t>optional</w:t>
            </w:r>
          </w:p>
        </w:tc>
        <w:tc>
          <w:tcPr>
            <w:tcW w:type="dxa" w:w="2096"/>
          </w:tcPr>
          <w:p>
            <w:pPr>
              <w:spacing w:after="0" w:line="252" w:lineRule="auto"/>
            </w:pPr>
            <w:r>
              <w:rPr>
                <w:sz w:val="17"/>
              </w:rPr>
              <w:t>zulässige Abweichung beim Datum (Einheit d, mo, yr)</w:t>
            </w:r>
          </w:p>
        </w:tc>
        <w:tc>
          <w:tcPr>
            <w:tcW w:type="dxa" w:w="1258"/>
          </w:tcPr>
          <w:p>
            <w:pPr>
              <w:spacing w:after="0" w:line="252" w:lineRule="auto"/>
            </w:pPr>
            <w:r>
              <w:rPr>
                <w:sz w:val="17"/>
              </w:rPr>
              <w:t>IM Tab. 14 Nr. 86/87, S. 52; Beschreibung S. 63</w:t>
            </w:r>
          </w:p>
        </w:tc>
      </w:tr>
      <w:tr>
        <w:tc>
          <w:tcPr>
            <w:tcW w:type="dxa" w:w="1910"/>
          </w:tcPr>
          <w:p>
            <w:pPr>
              <w:spacing w:after="0" w:line="252" w:lineRule="auto"/>
            </w:pPr>
            <w:r>
              <w:rPr>
                <w:rFonts w:ascii="Consolas" w:hAnsi="Consolas" w:cs="Consolas" w:eastAsia="Consolas"/>
                <w:sz w:val="15"/>
              </w:rPr>
              <w:t>batch / bbDate in der Rückmeldung</w:t>
            </w:r>
          </w:p>
        </w:tc>
        <w:tc>
          <w:tcPr>
            <w:tcW w:type="dxa" w:w="1910"/>
          </w:tcPr>
          <w:p>
            <w:pPr>
              <w:spacing w:after="0" w:line="252" w:lineRule="auto"/>
            </w:pPr>
            <w:r>
              <w:rPr>
                <w:sz w:val="17"/>
              </w:rPr>
              <w:t>WLSSDLACK001, WLSSDLACTIVITYACK001</w:t>
            </w:r>
          </w:p>
        </w:tc>
        <w:tc>
          <w:tcPr>
            <w:tcW w:type="dxa" w:w="1013"/>
          </w:tcPr>
          <w:p>
            <w:pPr>
              <w:spacing w:after="0" w:line="252" w:lineRule="auto"/>
            </w:pPr>
            <w:r>
              <w:rPr>
                <w:b/>
                <w:sz w:val="17"/>
              </w:rPr>
              <w:t>S 20 / DA 8</w:t>
            </w:r>
          </w:p>
        </w:tc>
        <w:tc>
          <w:tcPr>
            <w:tcW w:type="dxa" w:w="1339"/>
          </w:tcPr>
          <w:p>
            <w:pPr>
              <w:spacing w:after="0" w:line="252" w:lineRule="auto"/>
            </w:pPr>
            <w:r>
              <w:rPr>
                <w:sz w:val="17"/>
              </w:rPr>
              <w:t>–</w:t>
            </w:r>
          </w:p>
        </w:tc>
        <w:tc>
          <w:tcPr>
            <w:tcW w:type="dxa" w:w="2096"/>
          </w:tcPr>
          <w:p>
            <w:pPr>
              <w:spacing w:after="0" w:line="252" w:lineRule="auto"/>
            </w:pPr>
            <w:r>
              <w:rPr>
                <w:sz w:val="17"/>
              </w:rPr>
              <w:t>tatsächlich eingelagerte Charge und MHD</w:t>
            </w:r>
          </w:p>
        </w:tc>
        <w:tc>
          <w:tcPr>
            <w:tcW w:type="dxa" w:w="1258"/>
          </w:tcPr>
          <w:p>
            <w:pPr>
              <w:spacing w:after="0" w:line="252" w:lineRule="auto"/>
            </w:pPr>
            <w:r>
              <w:rPr>
                <w:sz w:val="17"/>
              </w:rPr>
              <w:t>IM Tab. 50 Nr. 7/8, S. 83; Tab. 51 Nr. 11/12, S. 88</w:t>
            </w:r>
          </w:p>
        </w:tc>
      </w:tr>
    </w:tbl>
    <w:p>
      <w:pPr>
        <w:pStyle w:val="BeschriftungSSI"/>
      </w:pPr>
      <w:r>
        <w:t>Tab. 11: Feldlängen noteNo, info, info2, csia1, batch, bbDate und Artikelstamm</w:t>
      </w:r>
    </w:p>
    <w:p>
      <w:r>
        <w:t>telegram_fields.yaml enthält nur die Feldnamen (note, info, info2; csiaStockMode/IgRegistration/OgRegistration 01 bis 20), keine Längen. Die Längen stammen deshalb aus dem Interface Manual WLS-ERP 2.8. Die Referenz-App begrenzt note und info bisher auf 20 Zeichen (Excel-Import kürzt note auf 20); für 2.8 gilt noteNo 18. Charge und MHD: batch S 20 (die Referenz-App erlaubt bisher 50, server.py Z. 1359), bbDate und prodDate DA 8 im Format JJJJMMTT. Laut IM Tab. 6 wird ein Telegramm mit überschrittener Feldlänge auf Error gesetzt.</w:t>
      </w:r>
    </w:p>
    <w:p>
      <w:pPr>
        <w:pStyle w:val="Quelle"/>
      </w:pPr>
      <w:r>
        <w:rPr>
          <w:b/>
        </w:rPr>
        <w:t xml:space="preserve">Quelle: </w:t>
      </w:r>
      <w:r>
        <w:rPr>
          <w:sz w:val="17"/>
        </w:rPr>
        <w:t>Vorgängerdokument v1.0, Kap. „Feld-Mapping: externe Referenz, Lieferschein, Zusatzinfos, Seriennummer“; Belege je Aussage siehe Kennzeichnung und Quellenverzeichnis</w:t>
      </w:r>
    </w:p>
    <w:p>
      <w:pPr>
        <w:pStyle w:val="Heading1"/>
      </w:pPr>
      <w:r>
        <w:t>8 Statusmodell Kommissionierwagen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w:t>
            </w:r>
          </w:p>
          <w:p>
            <w:pPr>
              <w:spacing w:after="40"/>
            </w:pPr>
            <w:r>
              <w:rPr>
                <w:sz w:val="19"/>
              </w:rPr>
              <w:t xml:space="preserve">Ein Wagenstatus ist in den vorliegenden Dateien nicht vorhanden. Das Modell ist eine Annahme für BC Dynamics; jeder Zustand ist aus Daten der Schnittstelle ableitbar (Einlagerauftrag, Sendeergebnis, ACK). Schlüssel ist die Kombination </w:t>
            </w:r>
            <w:r>
              <w:rPr>
                <w:rFonts w:ascii="Consolas" w:hAnsi="Consolas" w:cs="Consolas" w:eastAsia="Consolas"/>
                <w:sz w:val="17"/>
              </w:rPr>
              <w:t>WAGE</w:t>
            </w:r>
            <w:r>
              <w:rPr>
                <w:sz w:val="19"/>
              </w:rPr>
              <w:t xml:space="preserve"> + </w:t>
            </w:r>
            <w:r>
              <w:rPr>
                <w:rFonts w:ascii="Consolas" w:hAnsi="Consolas" w:cs="Consolas" w:eastAsia="Consolas"/>
                <w:sz w:val="17"/>
              </w:rPr>
              <w:t>extRefVal1</w:t>
            </w:r>
            <w:r>
              <w:rPr>
                <w:sz w:val="19"/>
              </w:rPr>
              <w:t>.</w:t>
            </w:r>
          </w:p>
        </w:tc>
      </w:tr>
    </w:tbl>
    <w:p>
      <w:pPr>
        <w:spacing w:after="40"/>
      </w:pPr>
    </w:p>
    <w:p>
      <w:pPr>
        <w:keepNext/>
      </w:pPr>
      <w:r>
        <w:drawing>
          <wp:inline xmlns:a="http://schemas.openxmlformats.org/drawingml/2006/main" xmlns:pic="http://schemas.openxmlformats.org/drawingml/2006/picture">
            <wp:extent cx="3564000" cy="6105375"/>
            <wp:docPr id="107" name="Picture 107"/>
            <wp:cNvGraphicFramePr>
              <a:graphicFrameLocks noChangeAspect="1"/>
            </wp:cNvGraphicFramePr>
            <a:graphic>
              <a:graphicData uri="http://schemas.openxmlformats.org/drawingml/2006/picture">
                <pic:pic>
                  <pic:nvPicPr>
                    <pic:cNvPr id="0" name="03_status_wagen.png"/>
                    <pic:cNvPicPr/>
                  </pic:nvPicPr>
                  <pic:blipFill>
                    <a:blip r:embed="rId17"/>
                    <a:stretch>
                      <a:fillRect/>
                    </a:stretch>
                  </pic:blipFill>
                  <pic:spPr>
                    <a:xfrm>
                      <a:off x="0" y="0"/>
                      <a:ext cx="3564000" cy="6105375"/>
                    </a:xfrm>
                    <a:prstGeom prst="rect"/>
                  </pic:spPr>
                </pic:pic>
              </a:graphicData>
            </a:graphic>
          </wp:inline>
        </w:drawing>
      </w:r>
    </w:p>
    <w:p>
      <w:pPr>
        <w:pStyle w:val="BeschriftungSSI"/>
      </w:pPr>
      <w:r>
        <w:t>Abb. 8: Statusdiagramm des Kommissionierwagens.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28"/>
        <w:gridCol w:w="3382"/>
        <w:gridCol w:w="4314"/>
      </w:tblGrid>
      <w:tr>
        <w:trPr>
          <w:tblHeader w:val="true"/>
        </w:trPr>
        <w:tc>
          <w:tcPr>
            <w:tcW w:type="dxa" w:w="1828"/>
            <w:shd w:val="clear" w:color="auto" w:fill="FEEE19"/>
          </w:tcPr>
          <w:p>
            <w:pPr>
              <w:spacing w:after="0"/>
            </w:pPr>
            <w:r>
              <w:rPr>
                <w:b/>
                <w:sz w:val="17"/>
              </w:rPr>
              <w:t>Status</w:t>
            </w:r>
          </w:p>
        </w:tc>
        <w:tc>
          <w:tcPr>
            <w:tcW w:type="dxa" w:w="3382"/>
            <w:shd w:val="clear" w:color="auto" w:fill="FEEE19"/>
          </w:tcPr>
          <w:p>
            <w:pPr>
              <w:spacing w:after="0"/>
            </w:pPr>
            <w:r>
              <w:rPr>
                <w:b/>
                <w:sz w:val="17"/>
              </w:rPr>
              <w:t>Bedeutung</w:t>
            </w:r>
          </w:p>
        </w:tc>
        <w:tc>
          <w:tcPr>
            <w:tcW w:type="dxa" w:w="4314"/>
            <w:shd w:val="clear" w:color="auto" w:fill="FEEE19"/>
          </w:tcPr>
          <w:p>
            <w:pPr>
              <w:spacing w:after="0"/>
            </w:pPr>
            <w:r>
              <w:rPr>
                <w:b/>
                <w:sz w:val="17"/>
              </w:rPr>
              <w:t>Ableitbar aus</w:t>
            </w:r>
          </w:p>
        </w:tc>
      </w:tr>
      <w:tr>
        <w:tc>
          <w:tcPr>
            <w:tcW w:type="dxa" w:w="1828"/>
          </w:tcPr>
          <w:p>
            <w:pPr>
              <w:spacing w:after="0" w:line="252" w:lineRule="auto"/>
            </w:pPr>
            <w:r>
              <w:rPr>
                <w:b/>
                <w:sz w:val="17"/>
              </w:rPr>
              <w:t>Frei</w:t>
            </w:r>
          </w:p>
        </w:tc>
        <w:tc>
          <w:tcPr>
            <w:tcW w:type="dxa" w:w="3382"/>
          </w:tcPr>
          <w:p>
            <w:pPr>
              <w:spacing w:after="0" w:line="252" w:lineRule="auto"/>
            </w:pPr>
            <w:r>
              <w:rPr>
                <w:sz w:val="17"/>
              </w:rPr>
              <w:t>Wagen leer, kein offener Einlagerauftrag</w:t>
            </w:r>
          </w:p>
        </w:tc>
        <w:tc>
          <w:tcPr>
            <w:tcW w:type="dxa" w:w="4314"/>
          </w:tcPr>
          <w:p>
            <w:pPr>
              <w:spacing w:after="0" w:line="252" w:lineRule="auto"/>
            </w:pPr>
            <w:r>
              <w:rPr>
                <w:sz w:val="17"/>
              </w:rPr>
              <w:t xml:space="preserve">kein offener Einlagerauftrag mit </w:t>
            </w:r>
            <w:r>
              <w:rPr>
                <w:rFonts w:ascii="Consolas" w:hAnsi="Consolas" w:cs="Consolas" w:eastAsia="Consolas"/>
                <w:sz w:val="15"/>
              </w:rPr>
              <w:t>WAGE = KW-…</w:t>
            </w:r>
            <w:r>
              <w:rPr>
                <w:sz w:val="17"/>
              </w:rPr>
              <w:t xml:space="preserve"> in BC [Annahme]</w:t>
            </w:r>
          </w:p>
        </w:tc>
      </w:tr>
      <w:tr>
        <w:tc>
          <w:tcPr>
            <w:tcW w:type="dxa" w:w="1828"/>
          </w:tcPr>
          <w:p>
            <w:pPr>
              <w:spacing w:after="0" w:line="252" w:lineRule="auto"/>
            </w:pPr>
            <w:r>
              <w:rPr>
                <w:b/>
                <w:sz w:val="17"/>
              </w:rPr>
              <w:t>In Erfassung</w:t>
            </w:r>
          </w:p>
        </w:tc>
        <w:tc>
          <w:tcPr>
            <w:tcW w:type="dxa" w:w="3382"/>
          </w:tcPr>
          <w:p>
            <w:pPr>
              <w:spacing w:after="0" w:line="252" w:lineRule="auto"/>
            </w:pPr>
            <w:r>
              <w:rPr>
                <w:sz w:val="17"/>
              </w:rPr>
              <w:t>Wagen gescannt, Positionen werden in BC erfasst</w:t>
            </w:r>
          </w:p>
        </w:tc>
        <w:tc>
          <w:tcPr>
            <w:tcW w:type="dxa" w:w="4314"/>
          </w:tcPr>
          <w:p>
            <w:pPr>
              <w:spacing w:after="0" w:line="252" w:lineRule="auto"/>
            </w:pPr>
            <w:r>
              <w:rPr>
                <w:sz w:val="17"/>
              </w:rPr>
              <w:t>offener Erfassungsbeleg in BC [Annahme]</w:t>
            </w:r>
          </w:p>
        </w:tc>
      </w:tr>
      <w:tr>
        <w:tc>
          <w:tcPr>
            <w:tcW w:type="dxa" w:w="1828"/>
          </w:tcPr>
          <w:p>
            <w:pPr>
              <w:spacing w:after="0" w:line="252" w:lineRule="auto"/>
            </w:pPr>
            <w:r>
              <w:rPr>
                <w:b/>
                <w:sz w:val="17"/>
              </w:rPr>
              <w:t>Einlagerauftrag erstellt</w:t>
            </w:r>
          </w:p>
        </w:tc>
        <w:tc>
          <w:tcPr>
            <w:tcW w:type="dxa" w:w="3382"/>
          </w:tcPr>
          <w:p>
            <w:pPr>
              <w:spacing w:after="0" w:line="252" w:lineRule="auto"/>
            </w:pPr>
            <w:r>
              <w:rPr>
                <w:sz w:val="17"/>
              </w:rPr>
              <w:t>Auftrag in BC fertig, Telegramm erzeugt</w:t>
            </w:r>
          </w:p>
        </w:tc>
        <w:tc>
          <w:tcPr>
            <w:tcW w:type="dxa" w:w="4314"/>
          </w:tcPr>
          <w:p>
            <w:pPr>
              <w:spacing w:after="0" w:line="252" w:lineRule="auto"/>
            </w:pPr>
            <w:r>
              <w:rPr>
                <w:sz w:val="17"/>
              </w:rPr>
              <w:t>Beleg in BC [Annahme]</w:t>
            </w:r>
          </w:p>
        </w:tc>
      </w:tr>
      <w:tr>
        <w:tc>
          <w:tcPr>
            <w:tcW w:type="dxa" w:w="1828"/>
          </w:tcPr>
          <w:p>
            <w:pPr>
              <w:spacing w:after="0" w:line="252" w:lineRule="auto"/>
            </w:pPr>
            <w:r>
              <w:rPr>
                <w:b/>
                <w:sz w:val="17"/>
              </w:rPr>
              <w:t>Sendefehler</w:t>
            </w:r>
          </w:p>
        </w:tc>
        <w:tc>
          <w:tcPr>
            <w:tcW w:type="dxa" w:w="3382"/>
          </w:tcPr>
          <w:p>
            <w:pPr>
              <w:spacing w:after="0" w:line="252" w:lineRule="auto"/>
            </w:pPr>
            <w:r>
              <w:rPr>
                <w:sz w:val="17"/>
              </w:rPr>
              <w:t>WAMAS hat nicht angenommen</w:t>
            </w:r>
          </w:p>
        </w:tc>
        <w:tc>
          <w:tcPr>
            <w:tcW w:type="dxa" w:w="4314"/>
          </w:tcPr>
          <w:p>
            <w:pPr>
              <w:spacing w:after="0" w:line="252" w:lineRule="auto"/>
            </w:pPr>
            <w:r>
              <w:rPr>
                <w:sz w:val="17"/>
              </w:rPr>
              <w:t>Antwort der DI-API [belegt]</w:t>
            </w:r>
          </w:p>
        </w:tc>
      </w:tr>
      <w:tr>
        <w:tc>
          <w:tcPr>
            <w:tcW w:type="dxa" w:w="1828"/>
          </w:tcPr>
          <w:p>
            <w:pPr>
              <w:spacing w:after="0" w:line="252" w:lineRule="auto"/>
            </w:pPr>
            <w:r>
              <w:rPr>
                <w:b/>
                <w:sz w:val="17"/>
              </w:rPr>
              <w:t>An WAMAS übergeben</w:t>
            </w:r>
          </w:p>
        </w:tc>
        <w:tc>
          <w:tcPr>
            <w:tcW w:type="dxa" w:w="3382"/>
          </w:tcPr>
          <w:p>
            <w:pPr>
              <w:spacing w:after="0" w:line="252" w:lineRule="auto"/>
            </w:pPr>
            <w:r>
              <w:rPr>
                <w:sz w:val="17"/>
              </w:rPr>
              <w:t>Telegramm angenommen</w:t>
            </w:r>
          </w:p>
        </w:tc>
        <w:tc>
          <w:tcPr>
            <w:tcW w:type="dxa" w:w="4314"/>
          </w:tcPr>
          <w:p>
            <w:pPr>
              <w:spacing w:after="0" w:line="252" w:lineRule="auto"/>
            </w:pPr>
            <w:r>
              <w:rPr>
                <w:sz w:val="17"/>
              </w:rPr>
              <w:t>Antwort der DI-API [belegt]</w:t>
            </w:r>
          </w:p>
        </w:tc>
      </w:tr>
      <w:tr>
        <w:tc>
          <w:tcPr>
            <w:tcW w:type="dxa" w:w="1828"/>
          </w:tcPr>
          <w:p>
            <w:pPr>
              <w:spacing w:after="0" w:line="252" w:lineRule="auto"/>
            </w:pPr>
            <w:r>
              <w:rPr>
                <w:b/>
                <w:sz w:val="17"/>
              </w:rPr>
              <w:t>In Einlagerung am Lift</w:t>
            </w:r>
          </w:p>
        </w:tc>
        <w:tc>
          <w:tcPr>
            <w:tcW w:type="dxa" w:w="3382"/>
          </w:tcPr>
          <w:p>
            <w:pPr>
              <w:spacing w:after="0" w:line="252" w:lineRule="auto"/>
            </w:pPr>
            <w:r>
              <w:rPr>
                <w:sz w:val="17"/>
              </w:rPr>
              <w:t>Lift arbeitet die Positionen ab</w:t>
            </w:r>
          </w:p>
        </w:tc>
        <w:tc>
          <w:tcPr>
            <w:tcW w:type="dxa" w:w="4314"/>
          </w:tcPr>
          <w:p>
            <w:pPr>
              <w:spacing w:after="0" w:line="252" w:lineRule="auto"/>
            </w:pPr>
            <w:r>
              <w:rPr>
                <w:sz w:val="17"/>
              </w:rPr>
              <w:t xml:space="preserve">ACK </w:t>
            </w:r>
            <w:r>
              <w:rPr>
                <w:rFonts w:ascii="Consolas" w:hAnsi="Consolas" w:cs="Consolas" w:eastAsia="Consolas"/>
                <w:sz w:val="15"/>
              </w:rPr>
              <w:t>ACTIVE</w:t>
            </w:r>
            <w:r>
              <w:rPr>
                <w:sz w:val="17"/>
              </w:rPr>
              <w:t xml:space="preserve"> [Annahme]</w:t>
            </w:r>
          </w:p>
        </w:tc>
      </w:tr>
      <w:tr>
        <w:tc>
          <w:tcPr>
            <w:tcW w:type="dxa" w:w="1828"/>
          </w:tcPr>
          <w:p>
            <w:pPr>
              <w:spacing w:after="0" w:line="252" w:lineRule="auto"/>
            </w:pPr>
            <w:r>
              <w:rPr>
                <w:b/>
                <w:sz w:val="17"/>
              </w:rPr>
              <w:t>Einlagerung abgeschlossen</w:t>
            </w:r>
          </w:p>
        </w:tc>
        <w:tc>
          <w:tcPr>
            <w:tcW w:type="dxa" w:w="3382"/>
          </w:tcPr>
          <w:p>
            <w:pPr>
              <w:spacing w:after="0" w:line="252" w:lineRule="auto"/>
            </w:pPr>
            <w:r>
              <w:rPr>
                <w:sz w:val="17"/>
              </w:rPr>
              <w:t>alle Positionen eingelagert</w:t>
            </w:r>
          </w:p>
        </w:tc>
        <w:tc>
          <w:tcPr>
            <w:tcW w:type="dxa" w:w="4314"/>
          </w:tcPr>
          <w:p>
            <w:pPr>
              <w:spacing w:after="0" w:line="252" w:lineRule="auto"/>
            </w:pPr>
            <w:r>
              <w:rPr>
                <w:sz w:val="17"/>
              </w:rPr>
              <w:t xml:space="preserve">ACK </w:t>
            </w:r>
            <w:r>
              <w:rPr>
                <w:rFonts w:ascii="Consolas" w:hAnsi="Consolas" w:cs="Consolas" w:eastAsia="Consolas"/>
                <w:sz w:val="15"/>
              </w:rPr>
              <w:t>FINISHED</w:t>
            </w:r>
            <w:r>
              <w:rPr>
                <w:sz w:val="17"/>
              </w:rPr>
              <w:t xml:space="preserve"> [Annahme]</w:t>
            </w:r>
          </w:p>
        </w:tc>
      </w:tr>
      <w:tr>
        <w:tc>
          <w:tcPr>
            <w:tcW w:type="dxa" w:w="1828"/>
          </w:tcPr>
          <w:p>
            <w:pPr>
              <w:spacing w:after="0" w:line="252" w:lineRule="auto"/>
            </w:pPr>
            <w:r>
              <w:rPr>
                <w:b/>
                <w:sz w:val="17"/>
              </w:rPr>
              <w:t>Klärung</w:t>
            </w:r>
          </w:p>
        </w:tc>
        <w:tc>
          <w:tcPr>
            <w:tcW w:type="dxa" w:w="3382"/>
          </w:tcPr>
          <w:p>
            <w:pPr>
              <w:spacing w:after="0" w:line="252" w:lineRule="auto"/>
            </w:pPr>
            <w:r>
              <w:rPr>
                <w:sz w:val="17"/>
              </w:rPr>
              <w:t>Fehler oder Restmenge auf dem Wagen</w:t>
            </w:r>
          </w:p>
        </w:tc>
        <w:tc>
          <w:tcPr>
            <w:tcW w:type="dxa" w:w="4314"/>
          </w:tcPr>
          <w:p>
            <w:pPr>
              <w:spacing w:after="0" w:line="252" w:lineRule="auto"/>
            </w:pPr>
            <w:r>
              <w:rPr>
                <w:sz w:val="17"/>
              </w:rPr>
              <w:t xml:space="preserve">ACK </w:t>
            </w:r>
            <w:r>
              <w:rPr>
                <w:rFonts w:ascii="Consolas" w:hAnsi="Consolas" w:cs="Consolas" w:eastAsia="Consolas"/>
                <w:sz w:val="15"/>
              </w:rPr>
              <w:t>ERROR</w:t>
            </w:r>
            <w:r>
              <w:rPr>
                <w:sz w:val="17"/>
              </w:rPr>
              <w:t>, manuelle Prüfung [Annahme]</w:t>
            </w:r>
          </w:p>
        </w:tc>
      </w:tr>
    </w:tbl>
    <w:p>
      <w:pPr>
        <w:pStyle w:val="BeschriftungSSI"/>
      </w:pPr>
      <w:r>
        <w:t>Tab. 12: Statusmodell Kommissionierwagen</w:t>
      </w:r>
    </w:p>
    <w:p>
      <w:r>
        <w:t xml:space="preserve">Hinweis aus der Referenzimplementierung: </w:t>
      </w:r>
      <w:r>
        <w:rPr>
          <w:rFonts w:ascii="Consolas" w:hAnsi="Consolas" w:cs="Consolas" w:eastAsia="Consolas"/>
          <w:sz w:val="18"/>
        </w:rPr>
        <w:t>is_status_finished_or_error</w:t>
      </w:r>
      <w:r>
        <w:t xml:space="preserve"> ist ein Teilwortfilter und keine belegte 2.8-Statusliste (z. B. gilt „incomplete“ als fertig). BC Dynamics sollte für die Wagenfreigabe den ACK Main State exakt auswerten.</w:t>
      </w:r>
    </w:p>
    <w:p>
      <w:pPr>
        <w:pStyle w:val="Quelle"/>
      </w:pPr>
      <w:r>
        <w:rPr>
          <w:b/>
        </w:rPr>
        <w:t xml:space="preserve">Quelle: </w:t>
      </w:r>
      <w:r>
        <w:rPr>
          <w:sz w:val="17"/>
        </w:rPr>
        <w:t>Vorgängerdokument v1.0, Kap. „Statusmodell Kommissionierwagen“; Belege je Aussage siehe Kennzeichnung und Quellenverzeichnis</w:t>
      </w:r>
    </w:p>
    <w:p>
      <w:pPr>
        <w:pStyle w:val="Heading1"/>
      </w:pPr>
      <w:r>
        <w:t>9 Stolperfallen</w:t>
      </w:r>
    </w:p>
    <w:p>
      <w:r>
        <w:t>Die wichtigsten Fehlerquellen aus Prozess und Telegramm, danach die vollständige Liste der Fehlerfälle.</w:t>
      </w:r>
    </w:p>
    <w:p>
      <w:pPr>
        <w:pStyle w:val="ListBullet"/>
      </w:pPr>
      <w:r>
        <w:rPr>
          <w:b/>
        </w:rPr>
        <w:t>Recordversion:</w:t>
      </w:r>
      <w:r>
        <w:t xml:space="preserve"> Die Referenzimplementierung sendet </w:t>
      </w:r>
      <w:r>
        <w:rPr>
          <w:rFonts w:ascii="Consolas" w:hAnsi="Consolas" w:cs="Consolas" w:eastAsia="Consolas"/>
          <w:sz w:val="18"/>
        </w:rPr>
        <w:t>WLSSD002</w:t>
      </w:r>
      <w:r>
        <w:t xml:space="preserve">, das Manual 2.8 nennt </w:t>
      </w:r>
      <w:r>
        <w:rPr>
          <w:rFonts w:ascii="Consolas" w:hAnsi="Consolas" w:cs="Consolas" w:eastAsia="Consolas"/>
          <w:sz w:val="18"/>
        </w:rPr>
        <w:t>WLSSD003</w:t>
      </w:r>
      <w:r>
        <w:t>; eine falsche Recordversion ist ein harter Importfehler (Fehlerfall 14).</w:t>
      </w:r>
    </w:p>
    <w:p>
      <w:pPr>
        <w:pStyle w:val="ListBullet"/>
      </w:pPr>
      <w:r>
        <w:rPr>
          <w:b/>
        </w:rPr>
        <w:t>Früherer Stand von Einl000031:</w:t>
      </w:r>
      <w:r>
        <w:t xml:space="preserve"> ohne </w:t>
      </w:r>
      <w:r>
        <w:rPr>
          <w:rFonts w:ascii="Consolas" w:hAnsi="Consolas" w:cs="Consolas" w:eastAsia="Consolas"/>
          <w:sz w:val="18"/>
        </w:rPr>
        <w:t>WLSSDLEXTREF001</w:t>
      </w:r>
      <w:r>
        <w:t xml:space="preserve"> und mit Kopfschlüssel „Information“ statt </w:t>
      </w:r>
      <w:r>
        <w:rPr>
          <w:rFonts w:ascii="Consolas" w:hAnsi="Consolas" w:cs="Consolas" w:eastAsia="Consolas"/>
          <w:sz w:val="18"/>
        </w:rPr>
        <w:t>LIEFERSCHEIN</w:t>
      </w:r>
      <w:r>
        <w:t xml:space="preserve"> (Fehlerfall 16).</w:t>
      </w:r>
    </w:p>
    <w:p>
      <w:pPr>
        <w:pStyle w:val="ListBullet"/>
      </w:pPr>
      <w:r>
        <w:rPr>
          <w:b/>
        </w:rPr>
        <w:t>Schlüssel `WAGE`:</w:t>
      </w:r>
      <w:r>
        <w:t xml:space="preserve"> muss exakt zur Touch-Konfiguration passen (</w:t>
      </w:r>
      <w:r>
        <w:rPr>
          <w:rFonts w:ascii="Consolas" w:hAnsi="Consolas" w:cs="Consolas" w:eastAsia="Consolas"/>
          <w:sz w:val="18"/>
        </w:rPr>
        <w:t>DemandLineExtRefValue1/2</w:t>
      </w:r>
      <w:r>
        <w:t>), sonst zeigt der Touch Wagen und Fach nicht an (Fehlerfall 15).</w:t>
      </w:r>
    </w:p>
    <w:p>
      <w:pPr>
        <w:pStyle w:val="Heading2"/>
      </w:pPr>
      <w:r>
        <w:t>9.1 Fehlerfälle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38"/>
        <w:gridCol w:w="2231"/>
        <w:gridCol w:w="2324"/>
        <w:gridCol w:w="2231"/>
        <w:gridCol w:w="2200"/>
      </w:tblGrid>
      <w:tr>
        <w:trPr>
          <w:tblHeader w:val="true"/>
        </w:trPr>
        <w:tc>
          <w:tcPr>
            <w:tcW w:type="dxa" w:w="539"/>
            <w:shd w:val="clear" w:color="auto" w:fill="FEEE19"/>
          </w:tcPr>
          <w:p>
            <w:pPr>
              <w:spacing w:after="0"/>
            </w:pPr>
            <w:r>
              <w:rPr>
                <w:b/>
                <w:sz w:val="17"/>
              </w:rPr>
              <w:t>#</w:t>
            </w:r>
          </w:p>
        </w:tc>
        <w:tc>
          <w:tcPr>
            <w:tcW w:type="dxa" w:w="2231"/>
            <w:shd w:val="clear" w:color="auto" w:fill="FEEE19"/>
          </w:tcPr>
          <w:p>
            <w:pPr>
              <w:spacing w:after="0"/>
            </w:pPr>
            <w:r>
              <w:rPr>
                <w:b/>
                <w:sz w:val="17"/>
              </w:rPr>
              <w:t>Fehlerfall</w:t>
            </w:r>
          </w:p>
        </w:tc>
        <w:tc>
          <w:tcPr>
            <w:tcW w:type="dxa" w:w="2324"/>
            <w:shd w:val="clear" w:color="auto" w:fill="FEEE19"/>
          </w:tcPr>
          <w:p>
            <w:pPr>
              <w:spacing w:after="0"/>
            </w:pPr>
            <w:r>
              <w:rPr>
                <w:b/>
                <w:sz w:val="17"/>
              </w:rPr>
              <w:t>Erkennung</w:t>
            </w:r>
          </w:p>
        </w:tc>
        <w:tc>
          <w:tcPr>
            <w:tcW w:type="dxa" w:w="2231"/>
            <w:shd w:val="clear" w:color="auto" w:fill="FEEE19"/>
          </w:tcPr>
          <w:p>
            <w:pPr>
              <w:spacing w:after="0"/>
            </w:pPr>
            <w:r>
              <w:rPr>
                <w:b/>
                <w:sz w:val="17"/>
              </w:rPr>
              <w:t>Reaktion</w:t>
            </w:r>
          </w:p>
        </w:tc>
        <w:tc>
          <w:tcPr>
            <w:tcW w:type="dxa" w:w="2200"/>
            <w:shd w:val="clear" w:color="auto" w:fill="FEEE19"/>
          </w:tcPr>
          <w:p>
            <w:pPr>
              <w:spacing w:after="0"/>
            </w:pPr>
            <w:r>
              <w:rPr>
                <w:b/>
                <w:sz w:val="17"/>
              </w:rPr>
              <w:t>Beleg</w:t>
            </w:r>
          </w:p>
        </w:tc>
      </w:tr>
      <w:tr>
        <w:tc>
          <w:tcPr>
            <w:tcW w:type="dxa" w:w="539"/>
          </w:tcPr>
          <w:p>
            <w:pPr>
              <w:spacing w:after="0" w:line="252" w:lineRule="auto"/>
            </w:pPr>
            <w:r>
              <w:rPr>
                <w:sz w:val="17"/>
              </w:rPr>
              <w:t>1</w:t>
            </w:r>
          </w:p>
        </w:tc>
        <w:tc>
          <w:tcPr>
            <w:tcW w:type="dxa" w:w="2231"/>
          </w:tcPr>
          <w:p>
            <w:pPr>
              <w:spacing w:after="0" w:line="252" w:lineRule="auto"/>
            </w:pPr>
            <w:r>
              <w:rPr>
                <w:sz w:val="17"/>
              </w:rPr>
              <w:t>Wagen-QR nicht lesbar</w:t>
            </w:r>
          </w:p>
        </w:tc>
        <w:tc>
          <w:tcPr>
            <w:tcW w:type="dxa" w:w="2324"/>
          </w:tcPr>
          <w:p>
            <w:pPr>
              <w:spacing w:after="0" w:line="252" w:lineRule="auto"/>
            </w:pPr>
            <w:r>
              <w:rPr>
                <w:sz w:val="17"/>
              </w:rPr>
              <w:t>Scan schlägt fehl</w:t>
            </w:r>
          </w:p>
        </w:tc>
        <w:tc>
          <w:tcPr>
            <w:tcW w:type="dxa" w:w="2231"/>
          </w:tcPr>
          <w:p>
            <w:pPr>
              <w:spacing w:after="0" w:line="252" w:lineRule="auto"/>
            </w:pPr>
            <w:r>
              <w:rPr>
                <w:sz w:val="17"/>
              </w:rPr>
              <w:t xml:space="preserve">Klartext </w:t>
            </w:r>
            <w:r>
              <w:rPr>
                <w:rFonts w:ascii="Consolas" w:hAnsi="Consolas" w:cs="Consolas" w:eastAsia="Consolas"/>
                <w:sz w:val="15"/>
              </w:rPr>
              <w:t>KW-1042</w:t>
            </w:r>
            <w:r>
              <w:rPr>
                <w:sz w:val="17"/>
              </w:rPr>
              <w:t xml:space="preserve"> vom Schild an der Deichsel in BC eintippen</w:t>
            </w:r>
          </w:p>
        </w:tc>
        <w:tc>
          <w:tcPr>
            <w:tcW w:type="dxa" w:w="2200"/>
          </w:tcPr>
          <w:p>
            <w:pPr>
              <w:spacing w:after="0" w:line="252" w:lineRule="auto"/>
            </w:pPr>
            <w:r>
              <w:rPr>
                <w:sz w:val="17"/>
              </w:rPr>
              <w:t>Schild mit Klartext [belegt] , Ablauf [Annahme]</w:t>
            </w:r>
          </w:p>
        </w:tc>
      </w:tr>
      <w:tr>
        <w:tc>
          <w:tcPr>
            <w:tcW w:type="dxa" w:w="539"/>
          </w:tcPr>
          <w:p>
            <w:pPr>
              <w:spacing w:after="0" w:line="252" w:lineRule="auto"/>
            </w:pPr>
            <w:r>
              <w:rPr>
                <w:sz w:val="17"/>
              </w:rPr>
              <w:t>2</w:t>
            </w:r>
          </w:p>
        </w:tc>
        <w:tc>
          <w:tcPr>
            <w:tcW w:type="dxa" w:w="2231"/>
          </w:tcPr>
          <w:p>
            <w:pPr>
              <w:spacing w:after="0" w:line="252" w:lineRule="auto"/>
            </w:pPr>
            <w:r>
              <w:rPr>
                <w:sz w:val="17"/>
              </w:rPr>
              <w:t>Wagen noch belegt</w:t>
            </w:r>
          </w:p>
        </w:tc>
        <w:tc>
          <w:tcPr>
            <w:tcW w:type="dxa" w:w="2324"/>
          </w:tcPr>
          <w:p>
            <w:pPr>
              <w:spacing w:after="0" w:line="252" w:lineRule="auto"/>
            </w:pPr>
            <w:r>
              <w:rPr>
                <w:sz w:val="17"/>
              </w:rPr>
              <w:t>offener Einlagerauftrag mit derselben Wagennummer in BC</w:t>
            </w:r>
          </w:p>
        </w:tc>
        <w:tc>
          <w:tcPr>
            <w:tcW w:type="dxa" w:w="2231"/>
          </w:tcPr>
          <w:p>
            <w:pPr>
              <w:spacing w:after="0" w:line="252" w:lineRule="auto"/>
            </w:pPr>
            <w:r>
              <w:rPr>
                <w:sz w:val="17"/>
              </w:rPr>
              <w:t>anderen Wagen nehmen oder Klärung</w:t>
            </w:r>
          </w:p>
        </w:tc>
        <w:tc>
          <w:tcPr>
            <w:tcW w:type="dxa" w:w="2200"/>
          </w:tcPr>
          <w:p>
            <w:pPr>
              <w:spacing w:after="0" w:line="252" w:lineRule="auto"/>
            </w:pPr>
            <w:r>
              <w:rPr>
                <w:sz w:val="17"/>
              </w:rPr>
              <w:t>[Annahme]</w:t>
            </w:r>
          </w:p>
        </w:tc>
      </w:tr>
      <w:tr>
        <w:tc>
          <w:tcPr>
            <w:tcW w:type="dxa" w:w="539"/>
          </w:tcPr>
          <w:p>
            <w:pPr>
              <w:spacing w:after="0" w:line="252" w:lineRule="auto"/>
            </w:pPr>
            <w:r>
              <w:rPr>
                <w:sz w:val="17"/>
              </w:rPr>
              <w:t>3</w:t>
            </w:r>
          </w:p>
        </w:tc>
        <w:tc>
          <w:tcPr>
            <w:tcW w:type="dxa" w:w="2231"/>
          </w:tcPr>
          <w:p>
            <w:pPr>
              <w:spacing w:after="0" w:line="252" w:lineRule="auto"/>
            </w:pPr>
            <w:r>
              <w:rPr>
                <w:sz w:val="17"/>
              </w:rPr>
              <w:t>Fach-QR gehört zu anderem Wagen</w:t>
            </w:r>
          </w:p>
        </w:tc>
        <w:tc>
          <w:tcPr>
            <w:tcW w:type="dxa" w:w="2324"/>
          </w:tcPr>
          <w:p>
            <w:pPr>
              <w:spacing w:after="0" w:line="252" w:lineRule="auto"/>
            </w:pPr>
            <w:r>
              <w:rPr>
                <w:sz w:val="17"/>
              </w:rPr>
              <w:t xml:space="preserve">linker Teil von </w:t>
            </w:r>
            <w:r>
              <w:rPr>
                <w:rFonts w:ascii="Consolas" w:hAnsi="Consolas" w:cs="Consolas" w:eastAsia="Consolas"/>
                <w:sz w:val="15"/>
              </w:rPr>
              <w:t>KW-xxxx¦A1</w:t>
            </w:r>
            <w:r>
              <w:rPr>
                <w:sz w:val="17"/>
              </w:rPr>
              <w:t xml:space="preserve"> ungleich gescanntem Wagen</w:t>
            </w:r>
          </w:p>
        </w:tc>
        <w:tc>
          <w:tcPr>
            <w:tcW w:type="dxa" w:w="2231"/>
          </w:tcPr>
          <w:p>
            <w:pPr>
              <w:spacing w:after="0" w:line="252" w:lineRule="auto"/>
            </w:pPr>
            <w:r>
              <w:rPr>
                <w:sz w:val="17"/>
              </w:rPr>
              <w:t>Erfassung in BC ablehnen</w:t>
            </w:r>
          </w:p>
        </w:tc>
        <w:tc>
          <w:tcPr>
            <w:tcW w:type="dxa" w:w="2200"/>
          </w:tcPr>
          <w:p>
            <w:pPr>
              <w:spacing w:after="0" w:line="252" w:lineRule="auto"/>
            </w:pPr>
            <w:r>
              <w:rPr>
                <w:sz w:val="17"/>
              </w:rPr>
              <w:t>[Annahme]</w:t>
            </w:r>
          </w:p>
        </w:tc>
      </w:tr>
      <w:tr>
        <w:tc>
          <w:tcPr>
            <w:tcW w:type="dxa" w:w="539"/>
          </w:tcPr>
          <w:p>
            <w:pPr>
              <w:spacing w:after="0" w:line="252" w:lineRule="auto"/>
            </w:pPr>
            <w:r>
              <w:rPr>
                <w:sz w:val="17"/>
              </w:rPr>
              <w:t>4</w:t>
            </w:r>
          </w:p>
        </w:tc>
        <w:tc>
          <w:tcPr>
            <w:tcW w:type="dxa" w:w="2231"/>
          </w:tcPr>
          <w:p>
            <w:pPr>
              <w:spacing w:after="0" w:line="252" w:lineRule="auto"/>
            </w:pPr>
            <w:r>
              <w:rPr>
                <w:sz w:val="17"/>
              </w:rPr>
              <w:t>Gleicher Artikel und gleiche Charge in zwei Fächern</w:t>
            </w:r>
          </w:p>
        </w:tc>
        <w:tc>
          <w:tcPr>
            <w:tcW w:type="dxa" w:w="2324"/>
          </w:tcPr>
          <w:p>
            <w:pPr>
              <w:spacing w:after="0" w:line="252" w:lineRule="auto"/>
            </w:pPr>
            <w:r>
              <w:rPr>
                <w:sz w:val="17"/>
              </w:rPr>
              <w:t>Hinweis bei der Prüfung in BC (Referenz: Warnung „Duplikat in Zeile n“)</w:t>
            </w:r>
          </w:p>
        </w:tc>
        <w:tc>
          <w:tcPr>
            <w:tcW w:type="dxa" w:w="2231"/>
          </w:tcPr>
          <w:p>
            <w:pPr>
              <w:spacing w:after="0" w:line="252" w:lineRule="auto"/>
            </w:pPr>
            <w:r>
              <w:rPr>
                <w:sz w:val="17"/>
              </w:rPr>
              <w:t xml:space="preserve">bestätigen; zwei Positionen mit unterschiedlichem </w:t>
            </w:r>
            <w:r>
              <w:rPr>
                <w:rFonts w:ascii="Consolas" w:hAnsi="Consolas" w:cs="Consolas" w:eastAsia="Consolas"/>
                <w:sz w:val="15"/>
              </w:rPr>
              <w:t>extRefVal2</w:t>
            </w:r>
            <w:r>
              <w:rPr>
                <w:sz w:val="17"/>
              </w:rPr>
              <w:t xml:space="preserve"> sind korrekt</w:t>
            </w:r>
          </w:p>
        </w:tc>
        <w:tc>
          <w:tcPr>
            <w:tcW w:type="dxa" w:w="2200"/>
          </w:tcPr>
          <w:p>
            <w:pPr>
              <w:spacing w:after="0" w:line="252" w:lineRule="auto"/>
            </w:pPr>
            <w:r>
              <w:rPr>
                <w:sz w:val="17"/>
              </w:rPr>
              <w:t>Regel [belegt] , Umsetzung [Annahme]</w:t>
            </w:r>
          </w:p>
        </w:tc>
      </w:tr>
      <w:tr>
        <w:tc>
          <w:tcPr>
            <w:tcW w:type="dxa" w:w="539"/>
          </w:tcPr>
          <w:p>
            <w:pPr>
              <w:spacing w:after="0" w:line="252" w:lineRule="auto"/>
            </w:pPr>
            <w:r>
              <w:rPr>
                <w:sz w:val="17"/>
              </w:rPr>
              <w:t>5</w:t>
            </w:r>
          </w:p>
        </w:tc>
        <w:tc>
          <w:tcPr>
            <w:tcW w:type="dxa" w:w="2231"/>
          </w:tcPr>
          <w:p>
            <w:pPr>
              <w:spacing w:after="0" w:line="252" w:lineRule="auto"/>
            </w:pPr>
            <w:r>
              <w:rPr>
                <w:sz w:val="17"/>
              </w:rPr>
              <w:t>Artikel in WAMAS unbekannt</w:t>
            </w:r>
          </w:p>
        </w:tc>
        <w:tc>
          <w:tcPr>
            <w:tcW w:type="dxa" w:w="2324"/>
          </w:tcPr>
          <w:p>
            <w:pPr>
              <w:spacing w:after="0" w:line="252" w:lineRule="auto"/>
            </w:pPr>
            <w:r>
              <w:rPr>
                <w:sz w:val="17"/>
              </w:rPr>
              <w:t>Prüfung in BC oder Ablehnung durch WAMAS</w:t>
            </w:r>
          </w:p>
        </w:tc>
        <w:tc>
          <w:tcPr>
            <w:tcW w:type="dxa" w:w="2231"/>
          </w:tcPr>
          <w:p>
            <w:pPr>
              <w:spacing w:after="0" w:line="252" w:lineRule="auto"/>
            </w:pPr>
            <w:r>
              <w:rPr>
                <w:sz w:val="17"/>
              </w:rPr>
              <w:t xml:space="preserve">Artikelstamm per </w:t>
            </w:r>
            <w:r>
              <w:rPr>
                <w:rFonts w:ascii="Consolas" w:hAnsi="Consolas" w:cs="Consolas" w:eastAsia="Consolas"/>
                <w:sz w:val="15"/>
              </w:rPr>
              <w:t>WLSITEM</w:t>
            </w:r>
            <w:r>
              <w:rPr>
                <w:sz w:val="17"/>
              </w:rPr>
              <w:t xml:space="preserve"> an WAMAS übertragen, dann erneut senden</w:t>
            </w:r>
          </w:p>
        </w:tc>
        <w:tc>
          <w:tcPr>
            <w:tcW w:type="dxa" w:w="2200"/>
          </w:tcPr>
          <w:p>
            <w:pPr>
              <w:spacing w:after="0" w:line="252" w:lineRule="auto"/>
            </w:pPr>
            <w:r>
              <w:rPr>
                <w:sz w:val="17"/>
              </w:rPr>
              <w:t>[belegt] WLSITEM, [Annahme] Ablauf</w:t>
            </w:r>
          </w:p>
        </w:tc>
      </w:tr>
      <w:tr>
        <w:tc>
          <w:tcPr>
            <w:tcW w:type="dxa" w:w="539"/>
          </w:tcPr>
          <w:p>
            <w:pPr>
              <w:spacing w:after="0" w:line="252" w:lineRule="auto"/>
            </w:pPr>
            <w:r>
              <w:rPr>
                <w:sz w:val="17"/>
              </w:rPr>
              <w:t>6</w:t>
            </w:r>
          </w:p>
        </w:tc>
        <w:tc>
          <w:tcPr>
            <w:tcW w:type="dxa" w:w="2231"/>
          </w:tcPr>
          <w:p>
            <w:pPr>
              <w:spacing w:after="0" w:line="252" w:lineRule="auto"/>
            </w:pPr>
            <w:r>
              <w:rPr>
                <w:sz w:val="17"/>
              </w:rPr>
              <w:t>Menge fehlt oder ≤ 0</w:t>
            </w:r>
          </w:p>
        </w:tc>
        <w:tc>
          <w:tcPr>
            <w:tcW w:type="dxa" w:w="2324"/>
          </w:tcPr>
          <w:p>
            <w:pPr>
              <w:spacing w:after="0" w:line="252" w:lineRule="auto"/>
            </w:pPr>
            <w:r>
              <w:rPr>
                <w:sz w:val="17"/>
              </w:rPr>
              <w:t>Prüfung in BC</w:t>
            </w:r>
          </w:p>
        </w:tc>
        <w:tc>
          <w:tcPr>
            <w:tcW w:type="dxa" w:w="2231"/>
          </w:tcPr>
          <w:p>
            <w:pPr>
              <w:spacing w:after="0" w:line="252" w:lineRule="auto"/>
            </w:pPr>
            <w:r>
              <w:rPr>
                <w:sz w:val="17"/>
              </w:rPr>
              <w:t>Menge korrigieren</w:t>
            </w:r>
          </w:p>
        </w:tc>
        <w:tc>
          <w:tcPr>
            <w:tcW w:type="dxa" w:w="2200"/>
          </w:tcPr>
          <w:p>
            <w:pPr>
              <w:spacing w:after="0" w:line="252" w:lineRule="auto"/>
            </w:pPr>
            <w:r>
              <w:rPr>
                <w:sz w:val="17"/>
              </w:rPr>
              <w:t>Regel [belegt]</w:t>
            </w:r>
          </w:p>
        </w:tc>
      </w:tr>
      <w:tr>
        <w:tc>
          <w:tcPr>
            <w:tcW w:type="dxa" w:w="539"/>
          </w:tcPr>
          <w:p>
            <w:pPr>
              <w:spacing w:after="0" w:line="252" w:lineRule="auto"/>
            </w:pPr>
            <w:r>
              <w:rPr>
                <w:sz w:val="17"/>
              </w:rPr>
              <w:t>7</w:t>
            </w:r>
          </w:p>
        </w:tc>
        <w:tc>
          <w:tcPr>
            <w:tcW w:type="dxa" w:w="2231"/>
          </w:tcPr>
          <w:p>
            <w:pPr>
              <w:spacing w:after="0" w:line="252" w:lineRule="auto"/>
            </w:pPr>
            <w:r>
              <w:rPr>
                <w:sz w:val="17"/>
              </w:rPr>
              <w:t>Auftragsnummer schon verwendet</w:t>
            </w:r>
          </w:p>
        </w:tc>
        <w:tc>
          <w:tcPr>
            <w:tcW w:type="dxa" w:w="2324"/>
          </w:tcPr>
          <w:p>
            <w:pPr>
              <w:spacing w:after="0" w:line="252" w:lineRule="auto"/>
            </w:pPr>
            <w:r>
              <w:rPr>
                <w:sz w:val="17"/>
              </w:rPr>
              <w:t>Prüfung in BC / Ablehnung durch WAMAS</w:t>
            </w:r>
          </w:p>
        </w:tc>
        <w:tc>
          <w:tcPr>
            <w:tcW w:type="dxa" w:w="2231"/>
          </w:tcPr>
          <w:p>
            <w:pPr>
              <w:spacing w:after="0" w:line="252" w:lineRule="auto"/>
            </w:pPr>
            <w:r>
              <w:rPr>
                <w:sz w:val="17"/>
              </w:rPr>
              <w:t xml:space="preserve">neue </w:t>
            </w:r>
            <w:r>
              <w:rPr>
                <w:rFonts w:ascii="Consolas" w:hAnsi="Consolas" w:cs="Consolas" w:eastAsia="Consolas"/>
                <w:sz w:val="15"/>
              </w:rPr>
              <w:t>demandNo</w:t>
            </w:r>
            <w:r>
              <w:rPr>
                <w:sz w:val="17"/>
              </w:rPr>
              <w:t xml:space="preserve"> vergeben</w:t>
            </w:r>
          </w:p>
        </w:tc>
        <w:tc>
          <w:tcPr>
            <w:tcW w:type="dxa" w:w="2200"/>
          </w:tcPr>
          <w:p>
            <w:pPr>
              <w:spacing w:after="0" w:line="252" w:lineRule="auto"/>
            </w:pPr>
            <w:r>
              <w:rPr>
                <w:sz w:val="17"/>
              </w:rPr>
              <w:t>Regel [belegt]</w:t>
            </w:r>
          </w:p>
        </w:tc>
      </w:tr>
      <w:tr>
        <w:tc>
          <w:tcPr>
            <w:tcW w:type="dxa" w:w="539"/>
          </w:tcPr>
          <w:p>
            <w:pPr>
              <w:spacing w:after="0" w:line="252" w:lineRule="auto"/>
            </w:pPr>
            <w:r>
              <w:rPr>
                <w:sz w:val="17"/>
              </w:rPr>
              <w:t>8</w:t>
            </w:r>
          </w:p>
        </w:tc>
        <w:tc>
          <w:tcPr>
            <w:tcW w:type="dxa" w:w="2231"/>
          </w:tcPr>
          <w:p>
            <w:pPr>
              <w:spacing w:after="0" w:line="252" w:lineRule="auto"/>
            </w:pPr>
            <w:r>
              <w:rPr>
                <w:sz w:val="17"/>
              </w:rPr>
              <w:t>Scheinnummer zu lang</w:t>
            </w:r>
          </w:p>
        </w:tc>
        <w:tc>
          <w:tcPr>
            <w:tcW w:type="dxa" w:w="2324"/>
          </w:tcPr>
          <w:p>
            <w:pPr>
              <w:spacing w:after="0" w:line="252" w:lineRule="auto"/>
            </w:pPr>
            <w:r>
              <w:rPr>
                <w:sz w:val="17"/>
              </w:rPr>
              <w:t xml:space="preserve">2.8: </w:t>
            </w:r>
            <w:r>
              <w:rPr>
                <w:rFonts w:ascii="Consolas" w:hAnsi="Consolas" w:cs="Consolas" w:eastAsia="Consolas"/>
                <w:sz w:val="15"/>
              </w:rPr>
              <w:t>noteNo</w:t>
            </w:r>
            <w:r>
              <w:rPr>
                <w:sz w:val="17"/>
              </w:rPr>
              <w:t xml:space="preserve"> 18 Zeichen</w:t>
            </w:r>
          </w:p>
        </w:tc>
        <w:tc>
          <w:tcPr>
            <w:tcW w:type="dxa" w:w="2231"/>
          </w:tcPr>
          <w:p>
            <w:pPr>
              <w:spacing w:after="0" w:line="252" w:lineRule="auto"/>
            </w:pPr>
            <w:r>
              <w:rPr>
                <w:rFonts w:ascii="Consolas" w:hAnsi="Consolas" w:cs="Consolas" w:eastAsia="Consolas"/>
                <w:sz w:val="15"/>
              </w:rPr>
              <w:t>noteNo</w:t>
            </w:r>
            <w:r>
              <w:rPr>
                <w:sz w:val="17"/>
              </w:rPr>
              <w:t xml:space="preserve"> kürzen, Volltext in </w:t>
            </w:r>
            <w:r>
              <w:rPr>
                <w:rFonts w:ascii="Consolas" w:hAnsi="Consolas" w:cs="Consolas" w:eastAsia="Consolas"/>
                <w:sz w:val="15"/>
              </w:rPr>
              <w:t>extRefVal1</w:t>
            </w:r>
            <w:r>
              <w:rPr>
                <w:sz w:val="17"/>
              </w:rPr>
              <w:t xml:space="preserve"> der optionalen Kopf-Referenz </w:t>
            </w:r>
            <w:r>
              <w:rPr>
                <w:rFonts w:ascii="Consolas" w:hAnsi="Consolas" w:cs="Consolas" w:eastAsia="Consolas"/>
                <w:sz w:val="15"/>
              </w:rPr>
              <w:t>LIEFERSCHEIN</w:t>
            </w:r>
            <w:r>
              <w:rPr>
                <w:sz w:val="17"/>
              </w:rPr>
              <w:t xml:space="preserve"> (512)</w:t>
            </w:r>
          </w:p>
        </w:tc>
        <w:tc>
          <w:tcPr>
            <w:tcW w:type="dxa" w:w="2200"/>
          </w:tcPr>
          <w:p>
            <w:pPr>
              <w:spacing w:after="0" w:line="252" w:lineRule="auto"/>
            </w:pPr>
            <w:r>
              <w:rPr>
                <w:sz w:val="17"/>
              </w:rPr>
              <w:t>[belegt]</w:t>
            </w:r>
          </w:p>
        </w:tc>
      </w:tr>
      <w:tr>
        <w:tc>
          <w:tcPr>
            <w:tcW w:type="dxa" w:w="539"/>
          </w:tcPr>
          <w:p>
            <w:pPr>
              <w:spacing w:after="0" w:line="252" w:lineRule="auto"/>
            </w:pPr>
            <w:r>
              <w:rPr>
                <w:sz w:val="17"/>
              </w:rPr>
              <w:t>9</w:t>
            </w:r>
          </w:p>
        </w:tc>
        <w:tc>
          <w:tcPr>
            <w:tcW w:type="dxa" w:w="2231"/>
          </w:tcPr>
          <w:p>
            <w:pPr>
              <w:spacing w:after="0" w:line="252" w:lineRule="auto"/>
            </w:pPr>
            <w:r>
              <w:rPr>
                <w:sz w:val="17"/>
              </w:rPr>
              <w:t>WAMAS nicht erreicht</w:t>
            </w:r>
          </w:p>
        </w:tc>
        <w:tc>
          <w:tcPr>
            <w:tcW w:type="dxa" w:w="2324"/>
          </w:tcPr>
          <w:p>
            <w:pPr>
              <w:spacing w:after="0" w:line="252" w:lineRule="auto"/>
            </w:pPr>
            <w:r>
              <w:rPr>
                <w:sz w:val="17"/>
              </w:rPr>
              <w:t>Fehler oder Timeout der DI-API</w:t>
            </w:r>
          </w:p>
        </w:tc>
        <w:tc>
          <w:tcPr>
            <w:tcW w:type="dxa" w:w="2231"/>
          </w:tcPr>
          <w:p>
            <w:pPr>
              <w:spacing w:after="0" w:line="252" w:lineRule="auto"/>
            </w:pPr>
            <w:r>
              <w:rPr>
                <w:sz w:val="17"/>
              </w:rPr>
              <w:t>dasselbe Telegramm erneut senden; nicht neu erfassen, sonst doppelter Auftrag</w:t>
            </w:r>
          </w:p>
        </w:tc>
        <w:tc>
          <w:tcPr>
            <w:tcW w:type="dxa" w:w="2200"/>
          </w:tcPr>
          <w:p>
            <w:pPr>
              <w:spacing w:after="0" w:line="252" w:lineRule="auto"/>
            </w:pPr>
            <w:r>
              <w:rPr>
                <w:sz w:val="17"/>
              </w:rPr>
              <w:t>[belegt] DI-API, [Annahme] Wiederholung in BC</w:t>
            </w:r>
          </w:p>
        </w:tc>
      </w:tr>
      <w:tr>
        <w:tc>
          <w:tcPr>
            <w:tcW w:type="dxa" w:w="539"/>
          </w:tcPr>
          <w:p>
            <w:pPr>
              <w:spacing w:after="0" w:line="252" w:lineRule="auto"/>
            </w:pPr>
            <w:r>
              <w:rPr>
                <w:sz w:val="17"/>
              </w:rPr>
              <w:t>10</w:t>
            </w:r>
          </w:p>
        </w:tc>
        <w:tc>
          <w:tcPr>
            <w:tcW w:type="dxa" w:w="2231"/>
          </w:tcPr>
          <w:p>
            <w:pPr>
              <w:spacing w:after="0" w:line="252" w:lineRule="auto"/>
            </w:pPr>
            <w:r>
              <w:rPr>
                <w:sz w:val="17"/>
              </w:rPr>
              <w:t>Referenzwert zu lang</w:t>
            </w:r>
          </w:p>
        </w:tc>
        <w:tc>
          <w:tcPr>
            <w:tcW w:type="dxa" w:w="2324"/>
          </w:tcPr>
          <w:p>
            <w:pPr>
              <w:spacing w:after="0" w:line="252" w:lineRule="auto"/>
            </w:pPr>
            <w:r>
              <w:rPr>
                <w:sz w:val="17"/>
              </w:rPr>
              <w:t>über 64 / 512 Zeichen</w:t>
            </w:r>
          </w:p>
        </w:tc>
        <w:tc>
          <w:tcPr>
            <w:tcW w:type="dxa" w:w="2231"/>
          </w:tcPr>
          <w:p>
            <w:pPr>
              <w:spacing w:after="0" w:line="252" w:lineRule="auto"/>
            </w:pPr>
            <w:r>
              <w:rPr>
                <w:sz w:val="17"/>
              </w:rPr>
              <w:t>Werte kurz halten, BC kürzt nicht stillschweigend</w:t>
            </w:r>
          </w:p>
        </w:tc>
        <w:tc>
          <w:tcPr>
            <w:tcW w:type="dxa" w:w="2200"/>
          </w:tcPr>
          <w:p>
            <w:pPr>
              <w:spacing w:after="0" w:line="252" w:lineRule="auto"/>
            </w:pPr>
            <w:r>
              <w:rPr>
                <w:sz w:val="17"/>
              </w:rPr>
              <w:t>Grenzen [belegt]</w:t>
            </w:r>
          </w:p>
        </w:tc>
      </w:tr>
      <w:tr>
        <w:tc>
          <w:tcPr>
            <w:tcW w:type="dxa" w:w="539"/>
          </w:tcPr>
          <w:p>
            <w:pPr>
              <w:spacing w:after="0" w:line="252" w:lineRule="auto"/>
            </w:pPr>
            <w:r>
              <w:rPr>
                <w:sz w:val="17"/>
              </w:rPr>
              <w:t>11</w:t>
            </w:r>
          </w:p>
        </w:tc>
        <w:tc>
          <w:tcPr>
            <w:tcW w:type="dxa" w:w="2231"/>
          </w:tcPr>
          <w:p>
            <w:pPr>
              <w:spacing w:after="0" w:line="252" w:lineRule="auto"/>
            </w:pPr>
            <w:r>
              <w:rPr>
                <w:rFonts w:ascii="Consolas" w:hAnsi="Consolas" w:cs="Consolas" w:eastAsia="Consolas"/>
                <w:sz w:val="15"/>
              </w:rPr>
              <w:t>extLuId</w:t>
            </w:r>
            <w:r>
              <w:rPr>
                <w:sz w:val="17"/>
              </w:rPr>
              <w:t xml:space="preserve"> mitgesendet</w:t>
            </w:r>
          </w:p>
        </w:tc>
        <w:tc>
          <w:tcPr>
            <w:tcW w:type="dxa" w:w="2324"/>
          </w:tcPr>
          <w:p>
            <w:pPr>
              <w:spacing w:after="0" w:line="252" w:lineRule="auto"/>
            </w:pPr>
            <w:r>
              <w:rPr>
                <w:sz w:val="17"/>
              </w:rPr>
              <w:t>WAMAS lehnt den Tag am Satz 002 ab</w:t>
            </w:r>
          </w:p>
        </w:tc>
        <w:tc>
          <w:tcPr>
            <w:tcW w:type="dxa" w:w="2231"/>
          </w:tcPr>
          <w:p>
            <w:pPr>
              <w:spacing w:after="0" w:line="252" w:lineRule="auto"/>
            </w:pPr>
            <w:r>
              <w:rPr>
                <w:sz w:val="17"/>
              </w:rPr>
              <w:t>nicht senden</w:t>
            </w:r>
          </w:p>
        </w:tc>
        <w:tc>
          <w:tcPr>
            <w:tcW w:type="dxa" w:w="2200"/>
          </w:tcPr>
          <w:p>
            <w:pPr>
              <w:spacing w:after="0" w:line="252" w:lineRule="auto"/>
            </w:pPr>
            <w:r>
              <w:rPr>
                <w:sz w:val="17"/>
              </w:rPr>
              <w:t>[belegt]</w:t>
            </w:r>
          </w:p>
        </w:tc>
      </w:tr>
      <w:tr>
        <w:tc>
          <w:tcPr>
            <w:tcW w:type="dxa" w:w="539"/>
          </w:tcPr>
          <w:p>
            <w:pPr>
              <w:spacing w:after="0" w:line="252" w:lineRule="auto"/>
            </w:pPr>
            <w:r>
              <w:rPr>
                <w:sz w:val="17"/>
              </w:rPr>
              <w:t>12</w:t>
            </w:r>
          </w:p>
        </w:tc>
        <w:tc>
          <w:tcPr>
            <w:tcW w:type="dxa" w:w="2231"/>
          </w:tcPr>
          <w:p>
            <w:pPr>
              <w:spacing w:after="0" w:line="252" w:lineRule="auto"/>
            </w:pPr>
            <w:r>
              <w:rPr>
                <w:sz w:val="17"/>
              </w:rPr>
              <w:t>WAMAS lehnt ab / ACK ERROR</w:t>
            </w:r>
          </w:p>
        </w:tc>
        <w:tc>
          <w:tcPr>
            <w:tcW w:type="dxa" w:w="2324"/>
          </w:tcPr>
          <w:p>
            <w:pPr>
              <w:spacing w:after="0" w:line="252" w:lineRule="auto"/>
            </w:pPr>
            <w:r>
              <w:rPr>
                <w:sz w:val="17"/>
              </w:rPr>
              <w:t>ACK an HOST</w:t>
            </w:r>
          </w:p>
        </w:tc>
        <w:tc>
          <w:tcPr>
            <w:tcW w:type="dxa" w:w="2231"/>
          </w:tcPr>
          <w:p>
            <w:pPr>
              <w:spacing w:after="0" w:line="252" w:lineRule="auto"/>
            </w:pPr>
            <w:r>
              <w:rPr>
                <w:sz w:val="17"/>
              </w:rPr>
              <w:t>Wagen auf „Klärung“, Ware bleibt auf dem Wagen</w:t>
            </w:r>
          </w:p>
        </w:tc>
        <w:tc>
          <w:tcPr>
            <w:tcW w:type="dxa" w:w="2200"/>
          </w:tcPr>
          <w:p>
            <w:pPr>
              <w:spacing w:after="0" w:line="252" w:lineRule="auto"/>
            </w:pPr>
            <w:r>
              <w:rPr>
                <w:sz w:val="17"/>
              </w:rPr>
              <w:t>ACK-Enum [belegt] , Reaktion [Annahme]</w:t>
            </w:r>
          </w:p>
        </w:tc>
      </w:tr>
      <w:tr>
        <w:tc>
          <w:tcPr>
            <w:tcW w:type="dxa" w:w="539"/>
          </w:tcPr>
          <w:p>
            <w:pPr>
              <w:spacing w:after="0" w:line="252" w:lineRule="auto"/>
            </w:pPr>
            <w:r>
              <w:rPr>
                <w:sz w:val="17"/>
              </w:rPr>
              <w:t>13</w:t>
            </w:r>
          </w:p>
        </w:tc>
        <w:tc>
          <w:tcPr>
            <w:tcW w:type="dxa" w:w="2231"/>
          </w:tcPr>
          <w:p>
            <w:pPr>
              <w:spacing w:after="0" w:line="252" w:lineRule="auto"/>
            </w:pPr>
            <w:r>
              <w:rPr>
                <w:sz w:val="17"/>
              </w:rPr>
              <w:t>Restmenge oder Ware nicht im angegebenen Fach</w:t>
            </w:r>
          </w:p>
        </w:tc>
        <w:tc>
          <w:tcPr>
            <w:tcW w:type="dxa" w:w="2324"/>
          </w:tcPr>
          <w:p>
            <w:pPr>
              <w:spacing w:after="0" w:line="252" w:lineRule="auto"/>
            </w:pPr>
            <w:r>
              <w:rPr>
                <w:sz w:val="17"/>
              </w:rPr>
              <w:t>am Lift</w:t>
            </w:r>
          </w:p>
        </w:tc>
        <w:tc>
          <w:tcPr>
            <w:tcW w:type="dxa" w:w="2231"/>
          </w:tcPr>
          <w:p>
            <w:pPr>
              <w:spacing w:after="0" w:line="252" w:lineRule="auto"/>
            </w:pPr>
            <w:r>
              <w:rPr>
                <w:sz w:val="17"/>
              </w:rPr>
              <w:t>Klärung, Wagen nicht freigeben</w:t>
            </w:r>
          </w:p>
        </w:tc>
        <w:tc>
          <w:tcPr>
            <w:tcW w:type="dxa" w:w="2200"/>
          </w:tcPr>
          <w:p>
            <w:pPr>
              <w:spacing w:after="0" w:line="252" w:lineRule="auto"/>
            </w:pPr>
            <w:r>
              <w:rPr>
                <w:sz w:val="17"/>
              </w:rPr>
              <w:t>[Annahme]</w:t>
            </w:r>
          </w:p>
        </w:tc>
      </w:tr>
      <w:tr>
        <w:tc>
          <w:tcPr>
            <w:tcW w:type="dxa" w:w="539"/>
          </w:tcPr>
          <w:p>
            <w:pPr>
              <w:spacing w:after="0" w:line="252" w:lineRule="auto"/>
            </w:pPr>
            <w:r>
              <w:rPr>
                <w:sz w:val="17"/>
              </w:rPr>
              <w:t>14</w:t>
            </w:r>
          </w:p>
        </w:tc>
        <w:tc>
          <w:tcPr>
            <w:tcW w:type="dxa" w:w="2231"/>
          </w:tcPr>
          <w:p>
            <w:pPr>
              <w:spacing w:after="0" w:line="252" w:lineRule="auto"/>
            </w:pPr>
            <w:r>
              <w:rPr>
                <w:sz w:val="17"/>
              </w:rPr>
              <w:t>Recordversion passt nicht (002 statt 003)</w:t>
            </w:r>
          </w:p>
        </w:tc>
        <w:tc>
          <w:tcPr>
            <w:tcW w:type="dxa" w:w="2324"/>
          </w:tcPr>
          <w:p>
            <w:pPr>
              <w:spacing w:after="0" w:line="252" w:lineRule="auto"/>
            </w:pPr>
            <w:r>
              <w:rPr>
                <w:sz w:val="17"/>
              </w:rPr>
              <w:t>harter Importfehler in WAMAS 2.8</w:t>
            </w:r>
          </w:p>
        </w:tc>
        <w:tc>
          <w:tcPr>
            <w:tcW w:type="dxa" w:w="2231"/>
          </w:tcPr>
          <w:p>
            <w:pPr>
              <w:spacing w:after="0" w:line="252" w:lineRule="auto"/>
            </w:pPr>
            <w:r>
              <w:rPr>
                <w:sz w:val="17"/>
              </w:rPr>
              <w:t>Recordversion für BC Dynamics festlegen</w:t>
            </w:r>
          </w:p>
        </w:tc>
        <w:tc>
          <w:tcPr>
            <w:tcW w:type="dxa" w:w="2200"/>
          </w:tcPr>
          <w:p>
            <w:pPr>
              <w:spacing w:after="0" w:line="252" w:lineRule="auto"/>
            </w:pPr>
            <w:r>
              <w:rPr>
                <w:rFonts w:ascii="Consolas" w:hAnsi="Consolas" w:cs="Consolas" w:eastAsia="Consolas"/>
                <w:sz w:val="15"/>
              </w:rPr>
              <w:t>diff_​2.​7_​to_​2.​8.​md</w:t>
            </w:r>
            <w:r>
              <w:rPr>
                <w:sz w:val="17"/>
              </w:rPr>
              <w:t xml:space="preserve"> [belegt]</w:t>
            </w:r>
          </w:p>
        </w:tc>
      </w:tr>
      <w:tr>
        <w:tc>
          <w:tcPr>
            <w:tcW w:type="dxa" w:w="539"/>
          </w:tcPr>
          <w:p>
            <w:pPr>
              <w:spacing w:after="0" w:line="252" w:lineRule="auto"/>
            </w:pPr>
            <w:r>
              <w:rPr>
                <w:sz w:val="17"/>
              </w:rPr>
              <w:t>15</w:t>
            </w:r>
          </w:p>
        </w:tc>
        <w:tc>
          <w:tcPr>
            <w:tcW w:type="dxa" w:w="2231"/>
          </w:tcPr>
          <w:p>
            <w:pPr>
              <w:spacing w:after="0" w:line="252" w:lineRule="auto"/>
            </w:pPr>
            <w:r>
              <w:rPr>
                <w:sz w:val="17"/>
              </w:rPr>
              <w:t>Referenzschlüssel stimmt nicht mit Touch-Konfiguration überein</w:t>
            </w:r>
          </w:p>
        </w:tc>
        <w:tc>
          <w:tcPr>
            <w:tcW w:type="dxa" w:w="2324"/>
          </w:tcPr>
          <w:p>
            <w:pPr>
              <w:spacing w:after="0" w:line="252" w:lineRule="auto"/>
            </w:pPr>
            <w:r>
              <w:rPr>
                <w:sz w:val="17"/>
              </w:rPr>
              <w:t>Touch zeigt Wagen/Fach nicht an</w:t>
            </w:r>
          </w:p>
        </w:tc>
        <w:tc>
          <w:tcPr>
            <w:tcW w:type="dxa" w:w="2231"/>
          </w:tcPr>
          <w:p>
            <w:pPr>
              <w:spacing w:after="0" w:line="252" w:lineRule="auto"/>
            </w:pPr>
            <w:r>
              <w:rPr>
                <w:sz w:val="17"/>
              </w:rPr>
              <w:t>Schlüssel in BC und WAMAS abgleichen (</w:t>
            </w:r>
            <w:r>
              <w:rPr>
                <w:rFonts w:ascii="Consolas" w:hAnsi="Consolas" w:cs="Consolas" w:eastAsia="Consolas"/>
                <w:sz w:val="15"/>
              </w:rPr>
              <w:t>WAGE</w:t>
            </w:r>
            <w:r>
              <w:rPr>
                <w:sz w:val="17"/>
              </w:rPr>
              <w:t xml:space="preserve">, </w:t>
            </w:r>
            <w:r>
              <w:rPr>
                <w:rFonts w:ascii="Consolas" w:hAnsi="Consolas" w:cs="Consolas" w:eastAsia="Consolas"/>
                <w:sz w:val="15"/>
              </w:rPr>
              <w:t>LIEFERSCHEIN</w:t>
            </w:r>
            <w:r>
              <w:rPr>
                <w:sz w:val="17"/>
              </w:rPr>
              <w:t>)</w:t>
            </w:r>
          </w:p>
        </w:tc>
        <w:tc>
          <w:tcPr>
            <w:tcW w:type="dxa" w:w="2200"/>
          </w:tcPr>
          <w:p>
            <w:pPr>
              <w:spacing w:after="0" w:line="252" w:lineRule="auto"/>
            </w:pPr>
            <w:r>
              <w:rPr>
                <w:sz w:val="17"/>
              </w:rPr>
              <w:t>[Annahme]</w:t>
            </w:r>
          </w:p>
        </w:tc>
      </w:tr>
      <w:tr>
        <w:tc>
          <w:tcPr>
            <w:tcW w:type="dxa" w:w="539"/>
          </w:tcPr>
          <w:p>
            <w:pPr>
              <w:spacing w:after="0" w:line="252" w:lineRule="auto"/>
            </w:pPr>
            <w:r>
              <w:rPr>
                <w:sz w:val="17"/>
              </w:rPr>
              <w:t>16</w:t>
            </w:r>
          </w:p>
        </w:tc>
        <w:tc>
          <w:tcPr>
            <w:tcW w:type="dxa" w:w="2231"/>
          </w:tcPr>
          <w:p>
            <w:pPr>
              <w:spacing w:after="0" w:line="252" w:lineRule="auto"/>
            </w:pPr>
            <w:r>
              <w:rPr>
                <w:sz w:val="17"/>
              </w:rPr>
              <w:t>Telegramm ohne Positions-Referenzen oder mit leerem Schlüssel</w:t>
            </w:r>
          </w:p>
        </w:tc>
        <w:tc>
          <w:tcPr>
            <w:tcW w:type="dxa" w:w="2324"/>
          </w:tcPr>
          <w:p>
            <w:pPr>
              <w:spacing w:after="0" w:line="252" w:lineRule="auto"/>
            </w:pPr>
            <w:r>
              <w:rPr>
                <w:sz w:val="17"/>
              </w:rPr>
              <w:t xml:space="preserve">Positionen ohne </w:t>
            </w:r>
            <w:r>
              <w:rPr>
                <w:rFonts w:ascii="Consolas" w:hAnsi="Consolas" w:cs="Consolas" w:eastAsia="Consolas"/>
                <w:sz w:val="15"/>
              </w:rPr>
              <w:t>WLSSDLEXTREF001</w:t>
            </w:r>
            <w:r>
              <w:rPr>
                <w:sz w:val="17"/>
              </w:rPr>
              <w:t xml:space="preserve">; Kopfschlüssel wird „Information“ statt </w:t>
            </w:r>
            <w:r>
              <w:rPr>
                <w:rFonts w:ascii="Consolas" w:hAnsi="Consolas" w:cs="Consolas" w:eastAsia="Consolas"/>
                <w:sz w:val="15"/>
              </w:rPr>
              <w:t>LIEFERSCHEIN</w:t>
            </w:r>
          </w:p>
        </w:tc>
        <w:tc>
          <w:tcPr>
            <w:tcW w:type="dxa" w:w="2231"/>
          </w:tcPr>
          <w:p>
            <w:pPr>
              <w:spacing w:after="0" w:line="252" w:lineRule="auto"/>
            </w:pPr>
            <w:r>
              <w:rPr>
                <w:sz w:val="17"/>
              </w:rPr>
              <w:t xml:space="preserve">nicht senden; BC prüft vor dem Senden, dass jede Position genau einen Block </w:t>
            </w:r>
            <w:r>
              <w:rPr>
                <w:rFonts w:ascii="Consolas" w:hAnsi="Consolas" w:cs="Consolas" w:eastAsia="Consolas"/>
                <w:sz w:val="15"/>
              </w:rPr>
              <w:t>WAGE</w:t>
            </w:r>
            <w:r>
              <w:rPr>
                <w:sz w:val="17"/>
              </w:rPr>
              <w:t xml:space="preserve"> mit passender </w:t>
            </w:r>
            <w:r>
              <w:rPr>
                <w:rFonts w:ascii="Consolas" w:hAnsi="Consolas" w:cs="Consolas" w:eastAsia="Consolas"/>
                <w:sz w:val="15"/>
              </w:rPr>
              <w:t>demandNo</w:t>
            </w:r>
            <w:r>
              <w:rPr>
                <w:sz w:val="17"/>
              </w:rPr>
              <w:t xml:space="preserve"> und </w:t>
            </w:r>
            <w:r>
              <w:rPr>
                <w:rFonts w:ascii="Consolas" w:hAnsi="Consolas" w:cs="Consolas" w:eastAsia="Consolas"/>
                <w:sz w:val="15"/>
              </w:rPr>
              <w:t>sysPartnerLine</w:t>
            </w:r>
            <w:r>
              <w:rPr>
                <w:sz w:val="17"/>
              </w:rPr>
              <w:t xml:space="preserve"> hat</w:t>
            </w:r>
          </w:p>
        </w:tc>
        <w:tc>
          <w:tcPr>
            <w:tcW w:type="dxa" w:w="2200"/>
          </w:tcPr>
          <w:p>
            <w:pPr>
              <w:spacing w:after="0" w:line="252" w:lineRule="auto"/>
            </w:pPr>
            <w:r>
              <w:rPr>
                <w:sz w:val="17"/>
              </w:rPr>
              <w:t>früherer Stand Einl000031 (11:23) zeigt genau das [belegt]</w:t>
            </w:r>
          </w:p>
        </w:tc>
      </w:tr>
      <w:tr>
        <w:tc>
          <w:tcPr>
            <w:tcW w:type="dxa" w:w="539"/>
          </w:tcPr>
          <w:p>
            <w:pPr>
              <w:spacing w:after="0" w:line="252" w:lineRule="auto"/>
            </w:pPr>
            <w:r>
              <w:rPr>
                <w:sz w:val="17"/>
              </w:rPr>
              <w:t>17</w:t>
            </w:r>
          </w:p>
        </w:tc>
        <w:tc>
          <w:tcPr>
            <w:tcW w:type="dxa" w:w="2231"/>
          </w:tcPr>
          <w:p>
            <w:pPr>
              <w:spacing w:after="0" w:line="252" w:lineRule="auto"/>
            </w:pPr>
            <w:r>
              <w:rPr>
                <w:sz w:val="17"/>
              </w:rPr>
              <w:t>Seriennummer fehlt bei Serienartikel</w:t>
            </w:r>
          </w:p>
        </w:tc>
        <w:tc>
          <w:tcPr>
            <w:tcW w:type="dxa" w:w="2324"/>
          </w:tcPr>
          <w:p>
            <w:pPr>
              <w:spacing w:after="0" w:line="252" w:lineRule="auto"/>
            </w:pPr>
            <w:r>
              <w:rPr>
                <w:sz w:val="17"/>
              </w:rPr>
              <w:t xml:space="preserve">Prüfung in BC; am Lift Pflichterfassung bei </w:t>
            </w:r>
            <w:r>
              <w:rPr>
                <w:rFonts w:ascii="Consolas" w:hAnsi="Consolas" w:cs="Consolas" w:eastAsia="Consolas"/>
                <w:sz w:val="15"/>
              </w:rPr>
              <w:t>csiaIgRegistration01 MANDATORY</w:t>
            </w:r>
          </w:p>
        </w:tc>
        <w:tc>
          <w:tcPr>
            <w:tcW w:type="dxa" w:w="2231"/>
          </w:tcPr>
          <w:p>
            <w:pPr>
              <w:spacing w:after="0" w:line="252" w:lineRule="auto"/>
            </w:pPr>
            <w:r>
              <w:rPr>
                <w:sz w:val="17"/>
              </w:rPr>
              <w:t xml:space="preserve">in BC vor dem Senden </w:t>
            </w:r>
            <w:r>
              <w:rPr>
                <w:rFonts w:ascii="Consolas" w:hAnsi="Consolas" w:cs="Consolas" w:eastAsia="Consolas"/>
                <w:sz w:val="15"/>
              </w:rPr>
              <w:t>csia1</w:t>
            </w:r>
            <w:r>
              <w:rPr>
                <w:sz w:val="17"/>
              </w:rPr>
              <w:t xml:space="preserve"> erfassen; sonst erfasst der Bediener am Lift</w:t>
            </w:r>
          </w:p>
        </w:tc>
        <w:tc>
          <w:tcPr>
            <w:tcW w:type="dxa" w:w="2200"/>
          </w:tcPr>
          <w:p>
            <w:pPr>
              <w:spacing w:after="0" w:line="252" w:lineRule="auto"/>
            </w:pPr>
            <w:r>
              <w:rPr>
                <w:sz w:val="17"/>
              </w:rPr>
              <w:t>Pflichterfassung [belegt] , Verhalten beim Import [Annahme]</w:t>
            </w:r>
          </w:p>
        </w:tc>
      </w:tr>
      <w:tr>
        <w:tc>
          <w:tcPr>
            <w:tcW w:type="dxa" w:w="539"/>
          </w:tcPr>
          <w:p>
            <w:pPr>
              <w:spacing w:after="0" w:line="252" w:lineRule="auto"/>
            </w:pPr>
            <w:r>
              <w:rPr>
                <w:sz w:val="17"/>
              </w:rPr>
              <w:t>18</w:t>
            </w:r>
          </w:p>
        </w:tc>
        <w:tc>
          <w:tcPr>
            <w:tcW w:type="dxa" w:w="2231"/>
          </w:tcPr>
          <w:p>
            <w:pPr>
              <w:spacing w:after="0" w:line="252" w:lineRule="auto"/>
            </w:pPr>
            <w:r>
              <w:rPr>
                <w:sz w:val="17"/>
              </w:rPr>
              <w:t>Seriennummer doppelt</w:t>
            </w:r>
          </w:p>
        </w:tc>
        <w:tc>
          <w:tcPr>
            <w:tcW w:type="dxa" w:w="2324"/>
          </w:tcPr>
          <w:p>
            <w:pPr>
              <w:spacing w:after="0" w:line="252" w:lineRule="auto"/>
            </w:pPr>
            <w:r>
              <w:rPr>
                <w:sz w:val="17"/>
              </w:rPr>
              <w:t>bei eindeutiger CSIA (MD080) lehnt WAMAS das Bestandsobjekt ab</w:t>
            </w:r>
          </w:p>
        </w:tc>
        <w:tc>
          <w:tcPr>
            <w:tcW w:type="dxa" w:w="2231"/>
          </w:tcPr>
          <w:p>
            <w:pPr>
              <w:spacing w:after="0" w:line="252" w:lineRule="auto"/>
            </w:pPr>
            <w:r>
              <w:rPr>
                <w:sz w:val="17"/>
              </w:rPr>
              <w:t>Seriennummer prüfen, Ware aussondern, Klärung</w:t>
            </w:r>
          </w:p>
        </w:tc>
        <w:tc>
          <w:tcPr>
            <w:tcW w:type="dxa" w:w="2200"/>
          </w:tcPr>
          <w:p>
            <w:pPr>
              <w:spacing w:after="0" w:line="252" w:lineRule="auto"/>
            </w:pPr>
            <w:r>
              <w:rPr>
                <w:sz w:val="17"/>
              </w:rPr>
              <w:t>[belegt] Administrator Manual 3.6.10</w:t>
            </w:r>
          </w:p>
        </w:tc>
      </w:tr>
      <w:tr>
        <w:tc>
          <w:tcPr>
            <w:tcW w:type="dxa" w:w="539"/>
          </w:tcPr>
          <w:p>
            <w:pPr>
              <w:spacing w:after="0" w:line="252" w:lineRule="auto"/>
            </w:pPr>
            <w:r>
              <w:rPr>
                <w:sz w:val="17"/>
              </w:rPr>
              <w:t>19</w:t>
            </w:r>
          </w:p>
        </w:tc>
        <w:tc>
          <w:tcPr>
            <w:tcW w:type="dxa" w:w="2231"/>
          </w:tcPr>
          <w:p>
            <w:pPr>
              <w:spacing w:after="0" w:line="252" w:lineRule="auto"/>
            </w:pPr>
            <w:r>
              <w:rPr>
                <w:sz w:val="17"/>
              </w:rPr>
              <w:t>Mehrere Stück mit Seriennummern in einer Position</w:t>
            </w:r>
          </w:p>
        </w:tc>
        <w:tc>
          <w:tcPr>
            <w:tcW w:type="dxa" w:w="2324"/>
          </w:tcPr>
          <w:p>
            <w:pPr>
              <w:spacing w:after="0" w:line="252" w:lineRule="auto"/>
            </w:pPr>
            <w:r>
              <w:rPr>
                <w:sz w:val="17"/>
              </w:rPr>
              <w:t xml:space="preserve">baseQty &gt; 1 bei gefülltem </w:t>
            </w:r>
            <w:r>
              <w:rPr>
                <w:rFonts w:ascii="Consolas" w:hAnsi="Consolas" w:cs="Consolas" w:eastAsia="Consolas"/>
                <w:sz w:val="15"/>
              </w:rPr>
              <w:t>csia1</w:t>
            </w:r>
          </w:p>
        </w:tc>
        <w:tc>
          <w:tcPr>
            <w:tcW w:type="dxa" w:w="2231"/>
          </w:tcPr>
          <w:p>
            <w:pPr>
              <w:spacing w:after="0" w:line="252" w:lineRule="auto"/>
            </w:pPr>
            <w:r>
              <w:rPr>
                <w:sz w:val="17"/>
              </w:rPr>
              <w:t>je Seriennummer eine Position mit baseQty 1</w:t>
            </w:r>
          </w:p>
        </w:tc>
        <w:tc>
          <w:tcPr>
            <w:tcW w:type="dxa" w:w="2200"/>
          </w:tcPr>
          <w:p>
            <w:pPr>
              <w:spacing w:after="0" w:line="252" w:lineRule="auto"/>
            </w:pPr>
            <w:r>
              <w:rPr>
                <w:sz w:val="17"/>
              </w:rPr>
              <w:t>[Annahme]</w:t>
            </w:r>
          </w:p>
        </w:tc>
      </w:tr>
      <w:tr>
        <w:tc>
          <w:tcPr>
            <w:tcW w:type="dxa" w:w="539"/>
          </w:tcPr>
          <w:p>
            <w:pPr>
              <w:spacing w:after="0" w:line="252" w:lineRule="auto"/>
            </w:pPr>
            <w:r>
              <w:rPr>
                <w:sz w:val="17"/>
              </w:rPr>
              <w:t>20</w:t>
            </w:r>
          </w:p>
        </w:tc>
        <w:tc>
          <w:tcPr>
            <w:tcW w:type="dxa" w:w="2231"/>
          </w:tcPr>
          <w:p>
            <w:pPr>
              <w:spacing w:after="0" w:line="252" w:lineRule="auto"/>
            </w:pPr>
            <w:r>
              <w:rPr>
                <w:sz w:val="17"/>
              </w:rPr>
              <w:t>Charge länger als 20 Zeichen</w:t>
            </w:r>
          </w:p>
        </w:tc>
        <w:tc>
          <w:tcPr>
            <w:tcW w:type="dxa" w:w="2324"/>
          </w:tcPr>
          <w:p>
            <w:pPr>
              <w:spacing w:after="0" w:line="252" w:lineRule="auto"/>
            </w:pPr>
            <w:r>
              <w:rPr>
                <w:sz w:val="17"/>
              </w:rPr>
              <w:t>Prüfung in BC; sonst setzt WAMAS das Telegramm auf Error</w:t>
            </w:r>
          </w:p>
        </w:tc>
        <w:tc>
          <w:tcPr>
            <w:tcW w:type="dxa" w:w="2231"/>
          </w:tcPr>
          <w:p>
            <w:pPr>
              <w:spacing w:after="0" w:line="252" w:lineRule="auto"/>
            </w:pPr>
            <w:r>
              <w:rPr>
                <w:sz w:val="17"/>
              </w:rPr>
              <w:t>in BC abweisen, Charge klären; nicht kürzen</w:t>
            </w:r>
          </w:p>
        </w:tc>
        <w:tc>
          <w:tcPr>
            <w:tcW w:type="dxa" w:w="2200"/>
          </w:tcPr>
          <w:p>
            <w:pPr>
              <w:spacing w:after="0" w:line="252" w:lineRule="auto"/>
            </w:pPr>
            <w:r>
              <w:rPr>
                <w:sz w:val="17"/>
              </w:rPr>
              <w:t>[belegt] Interface Manual Tab. 6 und 40</w:t>
            </w:r>
          </w:p>
        </w:tc>
      </w:tr>
      <w:tr>
        <w:tc>
          <w:tcPr>
            <w:tcW w:type="dxa" w:w="539"/>
          </w:tcPr>
          <w:p>
            <w:pPr>
              <w:spacing w:after="0" w:line="252" w:lineRule="auto"/>
            </w:pPr>
            <w:r>
              <w:rPr>
                <w:sz w:val="17"/>
              </w:rPr>
              <w:t>21</w:t>
            </w:r>
          </w:p>
        </w:tc>
        <w:tc>
          <w:tcPr>
            <w:tcW w:type="dxa" w:w="2231"/>
          </w:tcPr>
          <w:p>
            <w:pPr>
              <w:spacing w:after="0" w:line="252" w:lineRule="auto"/>
            </w:pPr>
            <w:r>
              <w:rPr>
                <w:sz w:val="17"/>
              </w:rPr>
              <w:t>MHD im falschen Format (z. B. 31.03.2028 oder 2028-03-31)</w:t>
            </w:r>
          </w:p>
        </w:tc>
        <w:tc>
          <w:tcPr>
            <w:tcW w:type="dxa" w:w="2324"/>
          </w:tcPr>
          <w:p>
            <w:pPr>
              <w:spacing w:after="0" w:line="252" w:lineRule="auto"/>
            </w:pPr>
            <w:r>
              <w:rPr>
                <w:sz w:val="17"/>
              </w:rPr>
              <w:t>Prüfung in BC; Typ DA verlangt 8 Ziffern JJJJMMTT</w:t>
            </w:r>
          </w:p>
        </w:tc>
        <w:tc>
          <w:tcPr>
            <w:tcW w:type="dxa" w:w="2231"/>
          </w:tcPr>
          <w:p>
            <w:pPr>
              <w:spacing w:after="0" w:line="252" w:lineRule="auto"/>
            </w:pPr>
            <w:r>
              <w:rPr>
                <w:sz w:val="17"/>
              </w:rPr>
              <w:t>in BC in JJJJMMTT umwandeln</w:t>
            </w:r>
          </w:p>
        </w:tc>
        <w:tc>
          <w:tcPr>
            <w:tcW w:type="dxa" w:w="2200"/>
          </w:tcPr>
          <w:p>
            <w:pPr>
              <w:spacing w:after="0" w:line="252" w:lineRule="auto"/>
            </w:pPr>
            <w:r>
              <w:rPr>
                <w:sz w:val="17"/>
              </w:rPr>
              <w:t>[belegt] Format, [Annahme, zu prüfen] Reaktion von WAMAS</w:t>
            </w:r>
          </w:p>
        </w:tc>
      </w:tr>
      <w:tr>
        <w:tc>
          <w:tcPr>
            <w:tcW w:type="dxa" w:w="539"/>
          </w:tcPr>
          <w:p>
            <w:pPr>
              <w:spacing w:after="0" w:line="252" w:lineRule="auto"/>
            </w:pPr>
            <w:r>
              <w:rPr>
                <w:sz w:val="17"/>
              </w:rPr>
              <w:t>22</w:t>
            </w:r>
          </w:p>
        </w:tc>
        <w:tc>
          <w:tcPr>
            <w:tcW w:type="dxa" w:w="2231"/>
          </w:tcPr>
          <w:p>
            <w:pPr>
              <w:spacing w:after="0" w:line="252" w:lineRule="auto"/>
            </w:pPr>
            <w:r>
              <w:rPr>
                <w:sz w:val="17"/>
              </w:rPr>
              <w:t>Charge oder MHD fehlt bei Pflichtartikel</w:t>
            </w:r>
          </w:p>
        </w:tc>
        <w:tc>
          <w:tcPr>
            <w:tcW w:type="dxa" w:w="2324"/>
          </w:tcPr>
          <w:p>
            <w:pPr>
              <w:spacing w:after="0" w:line="252" w:lineRule="auto"/>
            </w:pPr>
            <w:r>
              <w:rPr>
                <w:sz w:val="17"/>
              </w:rPr>
              <w:t xml:space="preserve">Prüfung in BC; am Lift Pflichterfassung bei </w:t>
            </w:r>
            <w:r>
              <w:rPr>
                <w:rFonts w:ascii="Consolas" w:hAnsi="Consolas" w:cs="Consolas" w:eastAsia="Consolas"/>
                <w:sz w:val="15"/>
              </w:rPr>
              <w:t>igBatchRegistration</w:t>
            </w:r>
            <w:r>
              <w:rPr>
                <w:sz w:val="17"/>
              </w:rPr>
              <w:t xml:space="preserve"> / </w:t>
            </w:r>
            <w:r>
              <w:rPr>
                <w:rFonts w:ascii="Consolas" w:hAnsi="Consolas" w:cs="Consolas" w:eastAsia="Consolas"/>
                <w:sz w:val="15"/>
              </w:rPr>
              <w:t>igBbDateRegistration MANDATORY</w:t>
            </w:r>
          </w:p>
        </w:tc>
        <w:tc>
          <w:tcPr>
            <w:tcW w:type="dxa" w:w="2231"/>
          </w:tcPr>
          <w:p>
            <w:pPr>
              <w:spacing w:after="0" w:line="252" w:lineRule="auto"/>
            </w:pPr>
            <w:r>
              <w:rPr>
                <w:sz w:val="17"/>
              </w:rPr>
              <w:t>in BC vor dem Senden erfassen; sonst erfasst der Bediener am Lift vom Etikett</w:t>
            </w:r>
          </w:p>
        </w:tc>
        <w:tc>
          <w:tcPr>
            <w:tcW w:type="dxa" w:w="2200"/>
          </w:tcPr>
          <w:p>
            <w:pPr>
              <w:spacing w:after="0" w:line="252" w:lineRule="auto"/>
            </w:pPr>
            <w:r>
              <w:rPr>
                <w:sz w:val="17"/>
              </w:rPr>
              <w:t>Pflichterfassung [belegt] , Verhalten beim Import [Annahme, zu prüfen]</w:t>
            </w:r>
          </w:p>
        </w:tc>
      </w:tr>
      <w:tr>
        <w:tc>
          <w:tcPr>
            <w:tcW w:type="dxa" w:w="539"/>
          </w:tcPr>
          <w:p>
            <w:pPr>
              <w:spacing w:after="0" w:line="252" w:lineRule="auto"/>
            </w:pPr>
            <w:r>
              <w:rPr>
                <w:sz w:val="17"/>
              </w:rPr>
              <w:t>23</w:t>
            </w:r>
          </w:p>
        </w:tc>
        <w:tc>
          <w:tcPr>
            <w:tcW w:type="dxa" w:w="2231"/>
          </w:tcPr>
          <w:p>
            <w:pPr>
              <w:spacing w:after="0" w:line="252" w:lineRule="auto"/>
            </w:pPr>
            <w:r>
              <w:rPr>
                <w:sz w:val="17"/>
              </w:rPr>
              <w:t>Zwei Chargen oder zwei MHD in einem Fach</w:t>
            </w:r>
          </w:p>
        </w:tc>
        <w:tc>
          <w:tcPr>
            <w:tcW w:type="dxa" w:w="2324"/>
          </w:tcPr>
          <w:p>
            <w:pPr>
              <w:spacing w:after="0" w:line="252" w:lineRule="auto"/>
            </w:pPr>
            <w:r>
              <w:rPr>
                <w:sz w:val="17"/>
              </w:rPr>
              <w:t>beim Erfassen in BC</w:t>
            </w:r>
          </w:p>
        </w:tc>
        <w:tc>
          <w:tcPr>
            <w:tcW w:type="dxa" w:w="2231"/>
          </w:tcPr>
          <w:p>
            <w:pPr>
              <w:spacing w:after="0" w:line="252" w:lineRule="auto"/>
            </w:pPr>
            <w:r>
              <w:rPr>
                <w:sz w:val="17"/>
              </w:rPr>
              <w:t>je Charge eine Position, Ware möglichst auf zwei Fächer verteilen</w:t>
            </w:r>
          </w:p>
        </w:tc>
        <w:tc>
          <w:tcPr>
            <w:tcW w:type="dxa" w:w="2200"/>
          </w:tcPr>
          <w:p>
            <w:pPr>
              <w:spacing w:after="0" w:line="252" w:lineRule="auto"/>
            </w:pPr>
            <w:r>
              <w:rPr>
                <w:sz w:val="17"/>
              </w:rPr>
              <w:t>[Annahme, zu prüfen]</w:t>
            </w:r>
          </w:p>
        </w:tc>
      </w:tr>
      <w:tr>
        <w:tc>
          <w:tcPr>
            <w:tcW w:type="dxa" w:w="539"/>
          </w:tcPr>
          <w:p>
            <w:pPr>
              <w:spacing w:after="0" w:line="252" w:lineRule="auto"/>
            </w:pPr>
            <w:r>
              <w:rPr>
                <w:sz w:val="17"/>
              </w:rPr>
              <w:t>24</w:t>
            </w:r>
          </w:p>
        </w:tc>
        <w:tc>
          <w:tcPr>
            <w:tcW w:type="dxa" w:w="2231"/>
          </w:tcPr>
          <w:p>
            <w:pPr>
              <w:spacing w:after="0" w:line="252" w:lineRule="auto"/>
            </w:pPr>
            <w:r>
              <w:rPr>
                <w:sz w:val="17"/>
              </w:rPr>
              <w:t>Am Lift andere Charge oder anderes MHD als im Auftrag</w:t>
            </w:r>
          </w:p>
        </w:tc>
        <w:tc>
          <w:tcPr>
            <w:tcW w:type="dxa" w:w="2324"/>
          </w:tcPr>
          <w:p>
            <w:pPr>
              <w:spacing w:after="0" w:line="252" w:lineRule="auto"/>
            </w:pPr>
            <w:r>
              <w:rPr>
                <w:sz w:val="17"/>
              </w:rPr>
              <w:t>Bediener sieht Abweichung auf dem Etikett</w:t>
            </w:r>
          </w:p>
        </w:tc>
        <w:tc>
          <w:tcPr>
            <w:tcW w:type="dxa" w:w="2231"/>
          </w:tcPr>
          <w:p>
            <w:pPr>
              <w:spacing w:after="0" w:line="252" w:lineRule="auto"/>
            </w:pPr>
            <w:r>
              <w:rPr>
                <w:sz w:val="17"/>
              </w:rPr>
              <w:t>tatsächlichen Wert erfassen; BC übernimmt den Wert aus dem ACK und meldet die Abweichung</w:t>
            </w:r>
          </w:p>
        </w:tc>
        <w:tc>
          <w:tcPr>
            <w:tcW w:type="dxa" w:w="2200"/>
          </w:tcPr>
          <w:p>
            <w:pPr>
              <w:spacing w:after="0" w:line="252" w:lineRule="auto"/>
            </w:pPr>
            <w:r>
              <w:rPr>
                <w:sz w:val="17"/>
              </w:rPr>
              <w:t>ACK-Felder [belegt] , Ablauf [Annahme, zu prüfen]</w:t>
            </w:r>
          </w:p>
        </w:tc>
      </w:tr>
    </w:tbl>
    <w:p>
      <w:pPr>
        <w:pStyle w:val="BeschriftungSSI"/>
      </w:pPr>
      <w:r>
        <w:t>Tab. 13: Fehlerfälle</w:t>
      </w:r>
    </w:p>
    <w:p>
      <w:pPr>
        <w:pStyle w:val="Quelle"/>
      </w:pPr>
      <w:r>
        <w:rPr>
          <w:b/>
        </w:rPr>
        <w:t xml:space="preserve">Quelle: </w:t>
      </w:r>
      <w:r>
        <w:rPr>
          <w:sz w:val="17"/>
        </w:rPr>
        <w:t>Vorgängerdokument v1.0, Kap. 9 „Fehlerfälle“</w:t>
      </w:r>
    </w:p>
    <w:p>
      <w:pPr>
        <w:pStyle w:val="Heading1"/>
      </w:pPr>
      <w:r>
        <w:t>10 Praxisbeispiele</w:t>
      </w:r>
    </w:p>
    <w:p>
      <w:r>
        <w:t>Die beiden Beispiele zeigen den vollständigen Einlagerauftrag, wie BC Dynamics ihn an WAMAS sendet: das echt gesendete Telegramm Einl000031 mit Abgleich und das Beispiel KW-1042.</w:t>
      </w:r>
    </w:p>
    <w:p>
      <w:pPr>
        <w:pStyle w:val="Heading2"/>
      </w:pPr>
      <w:r>
        <w:t>10.1 Echt gesendet: Einl000031, Wagen KW-1001 (14.10.2026, 15:07)</w:t>
      </w:r>
    </w:p>
    <w:p>
      <w:r>
        <w:t>Dieses Telegramm wurde so an WAMAS gesendet (</w:t>
      </w:r>
      <w:r>
        <w:rPr>
          <w:rFonts w:ascii="Consolas" w:hAnsi="Consolas" w:cs="Consolas" w:eastAsia="Consolas"/>
          <w:sz w:val="18"/>
        </w:rPr>
        <w:t>HEADER_CREATIONTIME 20261014150745</w:t>
      </w:r>
      <w:r>
        <w:t xml:space="preserve">, Ortszeit). Es ist die verbindliche Vorlage für Aufbau und Feldreihenfolge: </w:t>
      </w:r>
      <w:r>
        <w:rPr>
          <w:rFonts w:ascii="Consolas" w:hAnsi="Consolas" w:cs="Consolas" w:eastAsia="Consolas"/>
          <w:sz w:val="18"/>
        </w:rPr>
        <w:t>WLSSDLEXTREF001</w:t>
      </w:r>
      <w:r>
        <w:t xml:space="preserve"> steht als Liste in jeder Position, mit </w:t>
      </w:r>
      <w:r>
        <w:rPr>
          <w:rFonts w:ascii="Consolas" w:hAnsi="Consolas" w:cs="Consolas" w:eastAsia="Consolas"/>
          <w:sz w:val="18"/>
        </w:rPr>
        <w:t>clientId</w:t>
      </w:r>
      <w:r>
        <w:t xml:space="preserve">, </w:t>
      </w:r>
      <w:r>
        <w:rPr>
          <w:rFonts w:ascii="Consolas" w:hAnsi="Consolas" w:cs="Consolas" w:eastAsia="Consolas"/>
          <w:sz w:val="18"/>
        </w:rPr>
        <w:t>demandNo</w:t>
      </w:r>
      <w:r>
        <w:t xml:space="preserve">, </w:t>
      </w:r>
      <w:r>
        <w:rPr>
          <w:rFonts w:ascii="Consolas" w:hAnsi="Consolas" w:cs="Consolas" w:eastAsia="Consolas"/>
          <w:sz w:val="18"/>
        </w:rPr>
        <w:t>extRefKey</w:t>
      </w:r>
      <w:r>
        <w:t xml:space="preserve">, </w:t>
      </w:r>
      <w:r>
        <w:rPr>
          <w:rFonts w:ascii="Consolas" w:hAnsi="Consolas" w:cs="Consolas" w:eastAsia="Consolas"/>
          <w:sz w:val="18"/>
        </w:rPr>
        <w:t>extRefVal1</w:t>
      </w:r>
      <w:r>
        <w:t xml:space="preserve">, </w:t>
      </w:r>
      <w:r>
        <w:rPr>
          <w:rFonts w:ascii="Consolas" w:hAnsi="Consolas" w:cs="Consolas" w:eastAsia="Consolas"/>
          <w:sz w:val="18"/>
        </w:rPr>
        <w:t>extRefVal2</w:t>
      </w:r>
      <w:r>
        <w:t xml:space="preserve">, </w:t>
      </w:r>
      <w:r>
        <w:rPr>
          <w:rFonts w:ascii="Consolas" w:hAnsi="Consolas" w:cs="Consolas" w:eastAsia="Consolas"/>
          <w:sz w:val="18"/>
        </w:rPr>
        <w:t>sysPartnerLine</w:t>
      </w:r>
      <w:r>
        <w:t xml:space="preserve">; die Kopf-Referenz </w:t>
      </w:r>
      <w:r>
        <w:rPr>
          <w:rFonts w:ascii="Consolas" w:hAnsi="Consolas" w:cs="Consolas" w:eastAsia="Consolas"/>
          <w:sz w:val="18"/>
        </w:rPr>
        <w:t>WLSSDEXTREF001</w:t>
      </w:r>
      <w:r>
        <w:t xml:space="preserve"> folgt nach den Positionen. Datei </w:t>
      </w:r>
      <w:r>
        <w:rPr>
          <w:rFonts w:ascii="Consolas" w:hAnsi="Consolas" w:cs="Consolas" w:eastAsia="Consolas"/>
          <w:sz w:val="18"/>
        </w:rPr>
        <w:t>out/einlagerungen/WLSSD_Einl000031_KW-1001.json</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w:t>
            </w:r>
          </w:p>
          <w:p>
            <w:pPr>
              <w:pStyle w:val="Code"/>
            </w:pPr>
            <w:r>
              <w:t xml:space="preserve">          "Auto Generated"</w:t>
            </w:r>
          </w:p>
          <w:p>
            <w:pPr>
              <w:pStyle w:val="Code"/>
            </w:pPr>
            <w:r>
              <w:t xml:space="preserve">        ],</w:t>
            </w:r>
          </w:p>
          <w:p>
            <w:pPr>
              <w:pStyle w:val="Code"/>
            </w:pPr>
            <w:r>
              <w:t xml:space="preserve">        "header": {</w:t>
            </w:r>
          </w:p>
          <w:p>
            <w:pPr>
              <w:pStyle w:val="Code"/>
            </w:pPr>
            <w:r>
              <w:t xml:space="preserve">          "FULL": {</w:t>
            </w:r>
          </w:p>
          <w:p>
            <w:pPr>
              <w:pStyle w:val="Code"/>
            </w:pPr>
            <w:r>
              <w:t xml:space="preserve">            "HEADER_SOURCE": "HOST",</w:t>
            </w:r>
          </w:p>
          <w:p>
            <w:pPr>
              <w:pStyle w:val="Code"/>
            </w:pPr>
            <w:r>
              <w:t xml:space="preserve">            "HEADER_DESTINATION": "WAMAS",</w:t>
            </w:r>
          </w:p>
          <w:p>
            <w:pPr>
              <w:pStyle w:val="Code"/>
            </w:pPr>
            <w:r>
              <w:t xml:space="preserve">            "HEADER_SEQUENCE": 0,</w:t>
            </w:r>
          </w:p>
          <w:p>
            <w:pPr>
              <w:pStyle w:val="Code"/>
            </w:pPr>
            <w:r>
              <w:t xml:space="preserve">            "HEADER_CREATIONTIME": "20261014150745",</w:t>
            </w:r>
          </w:p>
          <w:p>
            <w:pPr>
              <w:pStyle w:val="Code"/>
            </w:pPr>
            <w:r>
              <w:t xml:space="preserve">            "HEADER_RECORDTYPENAME": "WLSSD002"</w:t>
            </w:r>
          </w:p>
          <w:p>
            <w:pPr>
              <w:pStyle w:val="Code"/>
            </w:pPr>
            <w:r>
              <w:t xml:space="preserve">          }</w:t>
            </w:r>
          </w:p>
          <w:p>
            <w:pPr>
              <w:pStyle w:val="Code"/>
            </w:pPr>
            <w:r>
              <w:t xml:space="preserve">        },</w:t>
            </w:r>
          </w:p>
          <w:p>
            <w:pPr>
              <w:pStyle w:val="Code"/>
            </w:pPr>
            <w:r>
              <w:t xml:space="preserve">        "body": {</w:t>
            </w:r>
          </w:p>
          <w:p>
            <w:pPr>
              <w:pStyle w:val="Code"/>
            </w:pPr>
            <w:r>
              <w:t xml:space="preserve">          "WLSSD002": {</w:t>
            </w:r>
          </w:p>
          <w:p>
            <w:pPr>
              <w:pStyle w:val="Code"/>
            </w:pPr>
            <w:r>
              <w:t xml:space="preserve">            "clientId": "DEFAULT",</w:t>
            </w:r>
          </w:p>
          <w:p>
            <w:pPr>
              <w:pStyle w:val="Code"/>
            </w:pPr>
            <w:r>
              <w:t xml:space="preserve">            "demandNo": "Einl000031",</w:t>
            </w:r>
          </w:p>
          <w:p>
            <w:pPr>
              <w:pStyle w:val="Code"/>
            </w:pPr>
            <w:r>
              <w:t xml:space="preserve">            "priority": 1,</w:t>
            </w:r>
          </w:p>
          <w:p>
            <w:pPr>
              <w:pStyle w:val="Code"/>
            </w:pPr>
            <w:r>
              <w:t xml:space="preserve">            "noteNo": "LS-AKU-1001",</w:t>
            </w:r>
          </w:p>
          <w:p>
            <w:pPr>
              <w:pStyle w:val="Code"/>
            </w:pPr>
            <w:r>
              <w:t xml:space="preserve">            "typeId": "RECV",</w:t>
            </w:r>
          </w:p>
          <w:p>
            <w:pPr>
              <w:pStyle w:val="Code"/>
            </w:pPr>
            <w:r>
              <w:t xml:space="preserve">            "zone": "ZONEA",</w:t>
            </w:r>
          </w:p>
          <w:p>
            <w:pPr>
              <w:pStyle w:val="Code"/>
            </w:pPr>
            <w:r>
              <w:t xml:space="preserve">            "info": "Wagen KW-1001",</w:t>
            </w:r>
          </w:p>
          <w:p>
            <w:pPr>
              <w:pStyle w:val="Code"/>
            </w:pPr>
            <w:r>
              <w:t xml:space="preserve">            "info2": "",</w:t>
            </w:r>
          </w:p>
          <w:p>
            <w:pPr>
              <w:pStyle w:val="Code"/>
            </w:pPr>
            <w:r>
              <w:t xml:space="preserve">            "WLSSDL002": [</w:t>
            </w:r>
          </w:p>
          <w:p>
            <w:pPr>
              <w:pStyle w:val="Code"/>
            </w:pPr>
            <w:r>
              <w:t xml:space="preserve">              {</w:t>
            </w:r>
          </w:p>
          <w:p>
            <w:pPr>
              <w:pStyle w:val="Code"/>
            </w:pPr>
            <w:r>
              <w:t xml:space="preserve">                "demandNo": "Einl000031",</w:t>
            </w:r>
          </w:p>
          <w:p>
            <w:pPr>
              <w:pStyle w:val="Code"/>
            </w:pPr>
            <w:r>
              <w:t xml:space="preserve">                "sysPartnerLine": 1,</w:t>
            </w:r>
          </w:p>
          <w:p>
            <w:pPr>
              <w:pStyle w:val="Code"/>
            </w:pPr>
            <w:r>
              <w:t xml:space="preserve">                "recordState": "",</w:t>
            </w:r>
          </w:p>
          <w:p>
            <w:pPr>
              <w:pStyle w:val="Code"/>
            </w:pPr>
            <w:r>
              <w:t xml:space="preserve">                "itemNo": "KT3",</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90.0,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"Einl000031",</w:t>
            </w:r>
          </w:p>
          <w:p>
            <w:pPr>
              <w:pStyle w:val="Code"/>
            </w:pPr>
            <w:r>
              <w:t xml:space="preserve">                "sysPartnerLine": 2,</w:t>
            </w:r>
          </w:p>
          <w:p>
            <w:pPr>
              <w:pStyle w:val="Code"/>
            </w:pPr>
            <w:r>
              <w:t xml:space="preserve">                "recordState": "",</w:t>
            </w:r>
          </w:p>
          <w:p>
            <w:pPr>
              <w:pStyle w:val="Code"/>
            </w:pPr>
            <w:r>
              <w:t xml:space="preserve">                "itemNo": "KT2",</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60.0,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"A2",</w:t>
            </w:r>
          </w:p>
          <w:p>
            <w:pPr>
              <w:pStyle w:val="Code"/>
            </w:pPr>
            <w:r>
              <w:t xml:space="preserve">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"Einl000031",</w:t>
            </w:r>
          </w:p>
          <w:p>
            <w:pPr>
              <w:pStyle w:val="Code"/>
            </w:pPr>
            <w:r>
              <w:t xml:space="preserve">                "sysPartnerLine": 3,</w:t>
            </w:r>
          </w:p>
          <w:p>
            <w:pPr>
              <w:pStyle w:val="Code"/>
            </w:pPr>
            <w:r>
              <w:t xml:space="preserve">                "recordState": "",</w:t>
            </w:r>
          </w:p>
          <w:p>
            <w:pPr>
              <w:pStyle w:val="Code"/>
            </w:pPr>
            <w:r>
              <w:t xml:space="preserve">                "itemNo": "KT5",</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45.0,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"A3",</w:t>
            </w:r>
          </w:p>
          <w:p>
            <w:pPr>
              <w:pStyle w:val="Code"/>
            </w:pPr>
            <w:r>
              <w:t xml:space="preserve">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"LIEFERSCHEIN",</w:t>
            </w:r>
          </w:p>
          <w:p>
            <w:pPr>
              <w:pStyle w:val="Code"/>
            </w:pPr>
            <w:r>
              <w:t xml:space="preserve">                "extRefVal1": "LS-AKU-1001",</w:t>
            </w:r>
          </w:p>
          <w:p>
            <w:pPr>
              <w:pStyle w:val="Code"/>
            </w:pPr>
            <w:r>
              <w:t xml:space="preserve">                "extRefVal2": "LS-AKU-1002"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9: Beispiel: Echt gesendet: Einl000031, Wagen KW-1001 (14.10.2026, 15:07)</w:t>
      </w:r>
    </w:p>
    <w:p>
      <w:pPr>
        <w:pStyle w:val="Heading2"/>
      </w:pPr>
      <w:r>
        <w:t>10.2 Abgleich mit dem bisherigen 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28"/>
        <w:gridCol w:w="2636"/>
        <w:gridCol w:w="2636"/>
        <w:gridCol w:w="2424"/>
      </w:tblGrid>
      <w:tr>
        <w:trPr>
          <w:tblHeader w:val="true"/>
        </w:trPr>
        <w:tc>
          <w:tcPr>
            <w:tcW w:type="dxa" w:w="1828"/>
            <w:shd w:val="clear" w:color="auto" w:fill="FEEE19"/>
          </w:tcPr>
          <w:p>
            <w:pPr>
              <w:spacing w:after="0"/>
            </w:pPr>
            <w:r>
              <w:rPr>
                <w:b/>
                <w:sz w:val="17"/>
              </w:rPr>
              <w:t>Bereich</w:t>
            </w:r>
          </w:p>
        </w:tc>
        <w:tc>
          <w:tcPr>
            <w:tcW w:type="dxa" w:w="2636"/>
            <w:shd w:val="clear" w:color="auto" w:fill="FEEE19"/>
          </w:tcPr>
          <w:p>
            <w:pPr>
              <w:spacing w:after="0"/>
            </w:pPr>
            <w:r>
              <w:rPr>
                <w:b/>
                <w:sz w:val="17"/>
              </w:rPr>
              <w:t>Bisheriger Stand</w:t>
            </w:r>
          </w:p>
        </w:tc>
        <w:tc>
          <w:tcPr>
            <w:tcW w:type="dxa" w:w="2636"/>
            <w:shd w:val="clear" w:color="auto" w:fill="FEEE19"/>
          </w:tcPr>
          <w:p>
            <w:pPr>
              <w:spacing w:after="0"/>
            </w:pPr>
            <w:r>
              <w:rPr>
                <w:b/>
                <w:sz w:val="17"/>
              </w:rPr>
              <w:t>Echt gesendet</w:t>
            </w:r>
          </w:p>
        </w:tc>
        <w:tc>
          <w:tcPr>
            <w:tcW w:type="dxa" w:w="2424"/>
            <w:shd w:val="clear" w:color="auto" w:fill="FEEE19"/>
          </w:tcPr>
          <w:p>
            <w:pPr>
              <w:spacing w:after="0"/>
            </w:pPr>
            <w:r>
              <w:rPr>
                <w:b/>
                <w:sz w:val="17"/>
              </w:rPr>
              <w:t>Folge</w:t>
            </w:r>
          </w:p>
        </w:tc>
      </w:tr>
      <w:tr>
        <w:tc>
          <w:tcPr>
            <w:tcW w:type="dxa" w:w="1828"/>
          </w:tcPr>
          <w:p>
            <w:pPr>
              <w:spacing w:after="0" w:line="252" w:lineRule="auto"/>
            </w:pPr>
            <w:r>
              <w:rPr>
                <w:b/>
                <w:sz w:val="17"/>
              </w:rPr>
              <w:t>Struktur</w:t>
            </w:r>
          </w:p>
        </w:tc>
        <w:tc>
          <w:tcPr>
            <w:tcW w:type="dxa" w:w="2636"/>
          </w:tcPr>
          <w:p>
            <w:pPr>
              <w:spacing w:after="0" w:line="252" w:lineRule="auto"/>
            </w:pPr>
            <w:r>
              <w:rPr>
                <w:sz w:val="17"/>
              </w:rPr>
              <w:t>WLSSD002 &gt; WLSSDL002[ ] &gt; WLSSDLEXTREF001[ ], WLSSDEXTREF001 nach WLSSDL002</w:t>
            </w:r>
          </w:p>
        </w:tc>
        <w:tc>
          <w:tcPr>
            <w:tcW w:type="dxa" w:w="2636"/>
          </w:tcPr>
          <w:p>
            <w:pPr>
              <w:spacing w:after="0" w:line="252" w:lineRule="auto"/>
            </w:pPr>
            <w:r>
              <w:rPr>
                <w:sz w:val="17"/>
              </w:rPr>
              <w:t>gleich</w:t>
            </w:r>
          </w:p>
        </w:tc>
        <w:tc>
          <w:tcPr>
            <w:tcW w:type="dxa" w:w="2424"/>
          </w:tcPr>
          <w:p>
            <w:pPr>
              <w:spacing w:after="0" w:line="252" w:lineRule="auto"/>
            </w:pPr>
            <w:r>
              <w:rPr>
                <w:sz w:val="17"/>
              </w:rPr>
              <w:t>keine</w:t>
            </w:r>
          </w:p>
        </w:tc>
      </w:tr>
      <w:tr>
        <w:tc>
          <w:tcPr>
            <w:tcW w:type="dxa" w:w="1828"/>
          </w:tcPr>
          <w:p>
            <w:pPr>
              <w:spacing w:after="0" w:line="252" w:lineRule="auto"/>
            </w:pPr>
            <w:r>
              <w:rPr>
                <w:b/>
                <w:sz w:val="17"/>
              </w:rPr>
              <w:t>WLSSDLEXTREF001 (3 Positionen)</w:t>
            </w:r>
          </w:p>
        </w:tc>
        <w:tc>
          <w:tcPr>
            <w:tcW w:type="dxa" w:w="2636"/>
          </w:tcPr>
          <w:p>
            <w:pPr>
              <w:spacing w:after="0" w:line="252" w:lineRule="auto"/>
            </w:pPr>
            <w:r>
              <w:rPr>
                <w:sz w:val="17"/>
              </w:rPr>
              <w:t>clientId DEFAULT, demandNo Einl000031, WAGE, KW-1001, A1/A2/A3, sysPartnerLine 1/2/3</w:t>
            </w:r>
          </w:p>
        </w:tc>
        <w:tc>
          <w:tcPr>
            <w:tcW w:type="dxa" w:w="2636"/>
          </w:tcPr>
          <w:p>
            <w:pPr>
              <w:spacing w:after="0" w:line="252" w:lineRule="auto"/>
            </w:pPr>
            <w:r>
              <w:rPr>
                <w:sz w:val="17"/>
              </w:rPr>
              <w:t>gleich</w:t>
            </w:r>
          </w:p>
        </w:tc>
        <w:tc>
          <w:tcPr>
            <w:tcW w:type="dxa" w:w="2424"/>
          </w:tcPr>
          <w:p>
            <w:pPr>
              <w:spacing w:after="0" w:line="252" w:lineRule="auto"/>
            </w:pPr>
            <w:r>
              <w:rPr>
                <w:sz w:val="17"/>
              </w:rPr>
              <w:t>keine</w:t>
            </w:r>
          </w:p>
        </w:tc>
      </w:tr>
      <w:tr>
        <w:tc>
          <w:tcPr>
            <w:tcW w:type="dxa" w:w="1828"/>
          </w:tcPr>
          <w:p>
            <w:pPr>
              <w:spacing w:after="0" w:line="252" w:lineRule="auto"/>
            </w:pPr>
            <w:r>
              <w:rPr>
                <w:b/>
                <w:sz w:val="17"/>
              </w:rPr>
              <w:t>Übrige Positionsfelder</w:t>
            </w:r>
          </w:p>
        </w:tc>
        <w:tc>
          <w:tcPr>
            <w:tcW w:type="dxa" w:w="2636"/>
          </w:tcPr>
          <w:p>
            <w:pPr>
              <w:spacing w:after="0" w:line="252" w:lineRule="auto"/>
            </w:pPr>
            <w:r>
              <w:rPr>
                <w:sz w:val="17"/>
              </w:rPr>
              <w:t>demandNo, sysPartnerLine, recordState, itemNo, variant, numBquWqu, batch, bbDate, prodDate, baseQty, gow, stockRating</w:t>
            </w:r>
          </w:p>
        </w:tc>
        <w:tc>
          <w:tcPr>
            <w:tcW w:type="dxa" w:w="2636"/>
          </w:tcPr>
          <w:p>
            <w:pPr>
              <w:spacing w:after="0" w:line="252" w:lineRule="auto"/>
            </w:pPr>
            <w:r>
              <w:rPr>
                <w:sz w:val="17"/>
              </w:rPr>
              <w:t>gleich</w:t>
            </w:r>
          </w:p>
        </w:tc>
        <w:tc>
          <w:tcPr>
            <w:tcW w:type="dxa" w:w="2424"/>
          </w:tcPr>
          <w:p>
            <w:pPr>
              <w:spacing w:after="0" w:line="252" w:lineRule="auto"/>
            </w:pPr>
            <w:r>
              <w:rPr>
                <w:sz w:val="17"/>
              </w:rPr>
              <w:t>keine</w:t>
            </w:r>
          </w:p>
        </w:tc>
      </w:tr>
      <w:tr>
        <w:tc>
          <w:tcPr>
            <w:tcW w:type="dxa" w:w="1828"/>
          </w:tcPr>
          <w:p>
            <w:pPr>
              <w:spacing w:after="0" w:line="252" w:lineRule="auto"/>
            </w:pPr>
            <w:r>
              <w:rPr>
                <w:b/>
                <w:sz w:val="17"/>
              </w:rPr>
              <w:t>WLSSD002.info</w:t>
            </w:r>
          </w:p>
        </w:tc>
        <w:tc>
          <w:tcPr>
            <w:tcW w:type="dxa" w:w="2636"/>
          </w:tcPr>
          <w:p>
            <w:pPr>
              <w:spacing w:after="0" w:line="252" w:lineRule="auto"/>
            </w:pPr>
            <w:r>
              <w:rPr>
                <w:sz w:val="17"/>
              </w:rPr>
              <w:t>bisher leer</w:t>
            </w:r>
          </w:p>
        </w:tc>
        <w:tc>
          <w:tcPr>
            <w:tcW w:type="dxa" w:w="2636"/>
          </w:tcPr>
          <w:p>
            <w:pPr>
              <w:spacing w:after="0" w:line="252" w:lineRule="auto"/>
            </w:pPr>
            <w:r>
              <w:rPr>
                <w:sz w:val="17"/>
              </w:rPr>
              <w:t>Wagen KW-1001</w:t>
            </w:r>
          </w:p>
        </w:tc>
        <w:tc>
          <w:tcPr>
            <w:tcW w:type="dxa" w:w="2424"/>
          </w:tcPr>
          <w:p>
            <w:pPr>
              <w:spacing w:after="0" w:line="252" w:lineRule="auto"/>
            </w:pPr>
            <w:r>
              <w:rPr>
                <w:sz w:val="17"/>
              </w:rPr>
              <w:t>übernommen; Einl000032/33 analog</w:t>
            </w:r>
          </w:p>
        </w:tc>
      </w:tr>
      <w:tr>
        <w:tc>
          <w:tcPr>
            <w:tcW w:type="dxa" w:w="1828"/>
          </w:tcPr>
          <w:p>
            <w:pPr>
              <w:spacing w:after="0" w:line="252" w:lineRule="auto"/>
            </w:pPr>
            <w:r>
              <w:rPr>
                <w:b/>
                <w:sz w:val="17"/>
              </w:rPr>
              <w:t>WLSSDEXTREF001.​extRefVal2</w:t>
            </w:r>
          </w:p>
        </w:tc>
        <w:tc>
          <w:tcPr>
            <w:tcW w:type="dxa" w:w="2636"/>
          </w:tcPr>
          <w:p>
            <w:pPr>
              <w:spacing w:after="0" w:line="252" w:lineRule="auto"/>
            </w:pPr>
            <w:r>
              <w:rPr>
                <w:sz w:val="17"/>
              </w:rPr>
              <w:t>4500200101 (Bestellnummer)</w:t>
            </w:r>
          </w:p>
        </w:tc>
        <w:tc>
          <w:tcPr>
            <w:tcW w:type="dxa" w:w="2636"/>
          </w:tcPr>
          <w:p>
            <w:pPr>
              <w:spacing w:after="0" w:line="252" w:lineRule="auto"/>
            </w:pPr>
            <w:r>
              <w:rPr>
                <w:sz w:val="17"/>
              </w:rPr>
              <w:t>LS-AKU-1002</w:t>
            </w:r>
          </w:p>
        </w:tc>
        <w:tc>
          <w:tcPr>
            <w:tcW w:type="dxa" w:w="2424"/>
          </w:tcPr>
          <w:p>
            <w:pPr>
              <w:spacing w:after="0" w:line="252" w:lineRule="auto"/>
            </w:pPr>
            <w:r>
              <w:rPr>
                <w:sz w:val="17"/>
              </w:rPr>
              <w:t>Klärung offen; Einl000032/33 behalten die Bestellnummer</w:t>
            </w:r>
          </w:p>
        </w:tc>
      </w:tr>
      <w:tr>
        <w:tc>
          <w:tcPr>
            <w:tcW w:type="dxa" w:w="1828"/>
          </w:tcPr>
          <w:p>
            <w:pPr>
              <w:spacing w:after="0" w:line="252" w:lineRule="auto"/>
            </w:pPr>
            <w:r>
              <w:rPr>
                <w:b/>
                <w:sz w:val="17"/>
              </w:rPr>
              <w:t>HEADER_​CREATIONTIME</w:t>
            </w:r>
          </w:p>
        </w:tc>
        <w:tc>
          <w:tcPr>
            <w:tcW w:type="dxa" w:w="2636"/>
          </w:tcPr>
          <w:p>
            <w:pPr>
              <w:spacing w:after="0" w:line="252" w:lineRule="auto"/>
            </w:pPr>
            <w:r>
              <w:rPr>
                <w:sz w:val="17"/>
              </w:rPr>
              <w:t>20261014112148</w:t>
            </w:r>
          </w:p>
        </w:tc>
        <w:tc>
          <w:tcPr>
            <w:tcW w:type="dxa" w:w="2636"/>
          </w:tcPr>
          <w:p>
            <w:pPr>
              <w:spacing w:after="0" w:line="252" w:lineRule="auto"/>
            </w:pPr>
            <w:r>
              <w:rPr>
                <w:sz w:val="17"/>
              </w:rPr>
              <w:t>20261014150745</w:t>
            </w:r>
          </w:p>
        </w:tc>
        <w:tc>
          <w:tcPr>
            <w:tcW w:type="dxa" w:w="2424"/>
          </w:tcPr>
          <w:p>
            <w:pPr>
              <w:spacing w:after="0" w:line="252" w:lineRule="auto"/>
            </w:pPr>
            <w:r>
              <w:rPr>
                <w:sz w:val="17"/>
              </w:rPr>
              <w:t>Erzeugungszeit, keine fachliche Abweichung</w:t>
            </w:r>
          </w:p>
        </w:tc>
      </w:tr>
      <w:tr>
        <w:tc>
          <w:tcPr>
            <w:tcW w:type="dxa" w:w="1828"/>
          </w:tcPr>
          <w:p>
            <w:pPr>
              <w:spacing w:after="0" w:line="252" w:lineRule="auto"/>
            </w:pPr>
            <w:r>
              <w:rPr>
                <w:b/>
                <w:sz w:val="17"/>
              </w:rPr>
              <w:t>Früherer Stand in derselben Datei</w:t>
            </w:r>
          </w:p>
        </w:tc>
        <w:tc>
          <w:tcPr>
            <w:tcW w:type="dxa" w:w="2636"/>
          </w:tcPr>
          <w:p>
            <w:pPr>
              <w:spacing w:after="0" w:line="252" w:lineRule="auto"/>
            </w:pPr>
            <w:r>
              <w:rPr>
                <w:sz w:val="17"/>
              </w:rPr>
              <w:t>nicht vorhanden</w:t>
            </w:r>
          </w:p>
        </w:tc>
        <w:tc>
          <w:tcPr>
            <w:tcW w:type="dxa" w:w="2636"/>
          </w:tcPr>
          <w:p>
            <w:pPr>
              <w:spacing w:after="0" w:line="252" w:lineRule="auto"/>
            </w:pPr>
            <w:r>
              <w:rPr>
                <w:sz w:val="17"/>
              </w:rPr>
              <w:t>20261014112315: ohne WLSSDLEXTREF001, Kopfschlüssel Information, info leer, extRefVal2 4500200101</w:t>
            </w:r>
          </w:p>
        </w:tc>
        <w:tc>
          <w:tcPr>
            <w:tcW w:type="dxa" w:w="2424"/>
          </w:tcPr>
          <w:p>
            <w:pPr>
              <w:spacing w:after="0" w:line="252" w:lineRule="auto"/>
            </w:pPr>
            <w:r>
              <w:rPr>
                <w:sz w:val="17"/>
              </w:rPr>
              <w:t>prüfen, welche Fassung WAMAS gespeichert hat</w:t>
            </w:r>
          </w:p>
        </w:tc>
      </w:tr>
    </w:tbl>
    <w:p>
      <w:pPr>
        <w:pStyle w:val="BeschriftungSSI"/>
      </w:pPr>
      <w:r>
        <w:t>Tab. 14: Abgleich mit dem bisherigen Stand</w:t>
      </w:r>
    </w:p>
    <w:p>
      <w:pPr>
        <w:pStyle w:val="Heading2"/>
      </w:pPr>
      <w:r>
        <w:t>10.3 Beispiel KW-1042 (abgeleitet aus WLSSD_extref_3_demand_lines.json)</w:t>
      </w:r>
    </w:p>
    <w:p>
      <w:r>
        <w:t xml:space="preserve">Gleiche Artikel wie im Vorlage-Beispiel, aber auf Wagen </w:t>
      </w:r>
      <w:r>
        <w:rPr>
          <w:rFonts w:ascii="Consolas" w:hAnsi="Consolas" w:cs="Consolas" w:eastAsia="Consolas"/>
          <w:sz w:val="18"/>
        </w:rPr>
        <w:t>KW-1042</w:t>
      </w:r>
      <w:r>
        <w:t xml:space="preserve"> in den Fächern A1, A2, B1. So sendet BC Dynamics den Einlagerauftrag an WAMAS. Das Telegramm ist mit den Funktionen der Referenzimplementierung (</w:t>
      </w:r>
      <w:r>
        <w:rPr>
          <w:rFonts w:ascii="Consolas" w:hAnsi="Consolas" w:cs="Consolas" w:eastAsia="Consolas"/>
          <w:sz w:val="18"/>
        </w:rPr>
        <w:t>order_builders.py</w:t>
      </w:r>
      <w:r>
        <w:t xml:space="preserve">) erzeugt; Datei </w:t>
      </w:r>
      <w:r>
        <w:rPr>
          <w:rFonts w:ascii="Consolas" w:hAnsi="Consolas" w:cs="Consolas" w:eastAsia="Consolas"/>
          <w:sz w:val="18"/>
        </w:rPr>
        <w:t>out/WLSSD_extref_kommissionierwagen_KW-1042.json</w:t>
      </w:r>
      <w:r>
        <w:t>. Zeitstempel und Auftragsnummer sind Beispielwerte.</w:t>
      </w:r>
    </w:p>
    <w:p>
      <w:pPr>
        <w:pStyle w:val="Heading3"/>
      </w:pPr>
      <w:r>
        <w:t>10.3.1 Telegramm BC Dynamics → WAMAS (DI_TELEGRAMS)</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w:t>
            </w:r>
          </w:p>
          <w:p>
            <w:pPr>
              <w:pStyle w:val="Code"/>
            </w:pPr>
            <w:r>
              <w:t xml:space="preserve">          "Auto Generated"</w:t>
            </w:r>
          </w:p>
          <w:p>
            <w:pPr>
              <w:pStyle w:val="Code"/>
            </w:pPr>
            <w:r>
              <w:t xml:space="preserve">        ],</w:t>
            </w:r>
          </w:p>
          <w:p>
            <w:pPr>
              <w:pStyle w:val="Code"/>
            </w:pPr>
            <w:r>
              <w:t xml:space="preserve">        "header": {</w:t>
            </w:r>
          </w:p>
          <w:p>
            <w:pPr>
              <w:pStyle w:val="Code"/>
            </w:pPr>
            <w:r>
              <w:t xml:space="preserve">          "FULL": {</w:t>
            </w:r>
          </w:p>
          <w:p>
            <w:pPr>
              <w:pStyle w:val="Code"/>
            </w:pPr>
            <w:r>
              <w:t xml:space="preserve">            "HEADER_SOURCE": "HOST",</w:t>
            </w:r>
          </w:p>
          <w:p>
            <w:pPr>
              <w:pStyle w:val="Code"/>
            </w:pPr>
            <w:r>
              <w:t xml:space="preserve">            "HEADER_DESTINATION": "WAMAS",</w:t>
            </w:r>
          </w:p>
          <w:p>
            <w:pPr>
              <w:pStyle w:val="Code"/>
            </w:pPr>
            <w:r>
              <w:t xml:space="preserve">            "HEADER_SEQUENCE": 0,</w:t>
            </w:r>
          </w:p>
          <w:p>
            <w:pPr>
              <w:pStyle w:val="Code"/>
            </w:pPr>
            <w:r>
              <w:t xml:space="preserve">            "HEADER_CREATIONTIME": "20261014100000",</w:t>
            </w:r>
          </w:p>
          <w:p>
            <w:pPr>
              <w:pStyle w:val="Code"/>
            </w:pPr>
            <w:r>
              <w:t xml:space="preserve">            "HEADER_RECORDTYPENAME": "WLSSD002"</w:t>
            </w:r>
          </w:p>
          <w:p>
            <w:pPr>
              <w:pStyle w:val="Code"/>
            </w:pPr>
            <w:r>
              <w:t xml:space="preserve">          }</w:t>
            </w:r>
          </w:p>
          <w:p>
            <w:pPr>
              <w:pStyle w:val="Code"/>
            </w:pPr>
            <w:r>
              <w:t xml:space="preserve">        },</w:t>
            </w:r>
          </w:p>
          <w:p>
            <w:pPr>
              <w:pStyle w:val="Code"/>
            </w:pPr>
            <w:r>
              <w:t xml:space="preserve">        "body": {</w:t>
            </w:r>
          </w:p>
          <w:p>
            <w:pPr>
              <w:pStyle w:val="Code"/>
            </w:pPr>
            <w:r>
              <w:t xml:space="preserve">          "WLSSD002": {</w:t>
            </w:r>
          </w:p>
          <w:p>
            <w:pPr>
              <w:pStyle w:val="Code"/>
            </w:pPr>
            <w:r>
              <w:t xml:space="preserve">            "clientId": "DEFAULT",</w:t>
            </w:r>
          </w:p>
          <w:p>
            <w:pPr>
              <w:pStyle w:val="Code"/>
            </w:pPr>
            <w:r>
              <w:t xml:space="preserve">            "demandNo": "Einl00000043",</w:t>
            </w:r>
          </w:p>
          <w:p>
            <w:pPr>
              <w:pStyle w:val="Code"/>
            </w:pPr>
            <w:r>
              <w:t xml:space="preserve">            "priority": 1,</w:t>
            </w:r>
          </w:p>
          <w:p>
            <w:pPr>
              <w:pStyle w:val="Code"/>
            </w:pPr>
            <w:r>
              <w:t xml:space="preserve">            "noteNo": "LS-8891",</w:t>
            </w:r>
          </w:p>
          <w:p>
            <w:pPr>
              <w:pStyle w:val="Code"/>
            </w:pPr>
            <w:r>
              <w:t xml:space="preserve">            "typeId": "RECV",</w:t>
            </w:r>
          </w:p>
          <w:p>
            <w:pPr>
              <w:pStyle w:val="Code"/>
            </w:pPr>
            <w:r>
              <w:t xml:space="preserve">            "zone": "ZONEA",</w:t>
            </w:r>
          </w:p>
          <w:p>
            <w:pPr>
              <w:pStyle w:val="Code"/>
            </w:pPr>
            <w:r>
              <w:t xml:space="preserve">            "info": "",</w:t>
            </w:r>
          </w:p>
          <w:p>
            <w:pPr>
              <w:pStyle w:val="Code"/>
            </w:pPr>
            <w:r>
              <w:t xml:space="preserve">            "info2": "",</w:t>
            </w:r>
          </w:p>
          <w:p>
            <w:pPr>
              <w:pStyle w:val="Code"/>
            </w:pPr>
            <w:r>
              <w:t xml:space="preserve">            "WLSSDL002": [</w:t>
            </w:r>
          </w:p>
          <w:p>
            <w:pPr>
              <w:pStyle w:val="Code"/>
            </w:pPr>
            <w:r>
              <w:t xml:space="preserve">              {</w:t>
            </w:r>
          </w:p>
          <w:p>
            <w:pPr>
              <w:pStyle w:val="Code"/>
            </w:pPr>
            <w:r>
              <w:t xml:space="preserve">                "demandNo": "Einl00000043",</w:t>
            </w:r>
          </w:p>
          <w:p>
            <w:pPr>
              <w:pStyle w:val="Code"/>
            </w:pPr>
            <w:r>
              <w:t xml:space="preserve">                "sysPartnerLine": 1,</w:t>
            </w:r>
          </w:p>
          <w:p>
            <w:pPr>
              <w:pStyle w:val="Code"/>
            </w:pPr>
            <w:r>
              <w:t xml:space="preserve">                "recordState": "",</w:t>
            </w:r>
          </w:p>
          <w:p>
            <w:pPr>
              <w:pStyle w:val="Code"/>
            </w:pPr>
            <w:r>
              <w:t xml:space="preserve">                "itemNo": "HAMMER-01",</w:t>
            </w:r>
          </w:p>
          <w:p>
            <w:pPr>
              <w:pStyle w:val="Code"/>
            </w:pPr>
            <w:r>
              <w:t xml:space="preserve">                "variant": "00000",</w:t>
            </w:r>
          </w:p>
          <w:p>
            <w:pPr>
              <w:pStyle w:val="Code"/>
            </w:pPr>
            <w:r>
              <w:t xml:space="preserve">                "numBquWqu": 1,</w:t>
            </w:r>
          </w:p>
          <w:p>
            <w:pPr>
              <w:pStyle w:val="Code"/>
            </w:pPr>
            <w:r>
              <w:t xml:space="preserve">                "batch": "CH-2401",</w:t>
            </w:r>
          </w:p>
          <w:p>
            <w:pPr>
              <w:pStyle w:val="Code"/>
            </w:pPr>
            <w:r>
              <w:t xml:space="preserve">                "bbDate": "",</w:t>
            </w:r>
          </w:p>
          <w:p>
            <w:pPr>
              <w:pStyle w:val="Code"/>
            </w:pPr>
            <w:r>
              <w:t xml:space="preserve">                "prodDate": "",</w:t>
            </w:r>
          </w:p>
          <w:p>
            <w:pPr>
              <w:pStyle w:val="Code"/>
            </w:pPr>
            <w:r>
              <w:t xml:space="preserve">                "baseQty": 2.0,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"WAGE",</w:t>
            </w:r>
          </w:p>
          <w:p>
            <w:pPr>
              <w:pStyle w:val="Code"/>
            </w:pPr>
            <w:r>
              <w:t xml:space="preserve">                    "extRefVal1": "KW-1042",</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"Einl00000043",</w:t>
            </w:r>
          </w:p>
          <w:p>
            <w:pPr>
              <w:pStyle w:val="Code"/>
            </w:pPr>
            <w:r>
              <w:t xml:space="preserve">                "sysPartnerLine": 2,</w:t>
            </w:r>
          </w:p>
          <w:p>
            <w:pPr>
              <w:pStyle w:val="Code"/>
            </w:pPr>
            <w:r>
              <w:t xml:space="preserve">                "recordState": "",</w:t>
            </w:r>
          </w:p>
          <w:p>
            <w:pPr>
              <w:pStyle w:val="Code"/>
            </w:pPr>
            <w:r>
              <w:t xml:space="preserve">                "itemNo": "SCHRAUBE-M8",</w:t>
            </w:r>
          </w:p>
          <w:p>
            <w:pPr>
              <w:pStyle w:val="Code"/>
            </w:pPr>
            <w:r>
              <w:t xml:space="preserve">                "variant": "00000",</w:t>
            </w:r>
          </w:p>
          <w:p>
            <w:pPr>
              <w:pStyle w:val="Code"/>
            </w:pPr>
            <w:r>
              <w:t xml:space="preserve">                "numBquWqu": 1,</w:t>
            </w:r>
          </w:p>
          <w:p>
            <w:pPr>
              <w:pStyle w:val="Code"/>
            </w:pPr>
            <w:r>
              <w:t xml:space="preserve">                "batch": "CH-8812",</w:t>
            </w:r>
          </w:p>
          <w:p>
            <w:pPr>
              <w:pStyle w:val="Code"/>
            </w:pPr>
            <w:r>
              <w:t xml:space="preserve">                "bbDate": "",</w:t>
            </w:r>
          </w:p>
          <w:p>
            <w:pPr>
              <w:pStyle w:val="Code"/>
            </w:pPr>
            <w:r>
              <w:t xml:space="preserve">                "prodDate": "",</w:t>
            </w:r>
          </w:p>
          <w:p>
            <w:pPr>
              <w:pStyle w:val="Code"/>
            </w:pPr>
            <w:r>
              <w:t xml:space="preserve">                "baseQty": 50.0,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"WAGE",</w:t>
            </w:r>
          </w:p>
          <w:p>
            <w:pPr>
              <w:pStyle w:val="Code"/>
            </w:pPr>
            <w:r>
              <w:t xml:space="preserve">                    "extRefVal1": "KW-1042",</w:t>
            </w:r>
          </w:p>
          <w:p>
            <w:pPr>
              <w:pStyle w:val="Code"/>
            </w:pPr>
            <w:r>
              <w:t xml:space="preserve">                    "extRefVal2": "A2",</w:t>
            </w:r>
          </w:p>
          <w:p>
            <w:pPr>
              <w:pStyle w:val="Code"/>
            </w:pPr>
            <w:r>
              <w:t xml:space="preserve">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"Einl00000043",</w:t>
            </w:r>
          </w:p>
          <w:p>
            <w:pPr>
              <w:pStyle w:val="Code"/>
            </w:pPr>
            <w:r>
              <w:t xml:space="preserve">                "sysPartnerLine": 3,</w:t>
            </w:r>
          </w:p>
          <w:p>
            <w:pPr>
              <w:pStyle w:val="Code"/>
            </w:pPr>
            <w:r>
              <w:t xml:space="preserve">                "recordState": "",</w:t>
            </w:r>
          </w:p>
          <w:p>
            <w:pPr>
              <w:pStyle w:val="Code"/>
            </w:pPr>
            <w:r>
              <w:t xml:space="preserve">                "itemNo": "DICHTUNG-12",</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1.0,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"WAGE",</w:t>
            </w:r>
          </w:p>
          <w:p>
            <w:pPr>
              <w:pStyle w:val="Code"/>
            </w:pPr>
            <w:r>
              <w:t xml:space="preserve">                    "extRefVal1": "KW-1042",</w:t>
            </w:r>
          </w:p>
          <w:p>
            <w:pPr>
              <w:pStyle w:val="Code"/>
            </w:pPr>
            <w:r>
              <w:t xml:space="preserve">                    "extRefVal2": "B1",</w:t>
            </w:r>
          </w:p>
          <w:p>
            <w:pPr>
              <w:pStyle w:val="Code"/>
            </w:pPr>
            <w:r>
              <w:t xml:space="preserve">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"LIEFERSCHEIN",</w:t>
            </w:r>
          </w:p>
          <w:p>
            <w:pPr>
              <w:pStyle w:val="Code"/>
            </w:pPr>
            <w:r>
              <w:t xml:space="preserve">                "extRefVal1": "LS-8891",</w:t>
            </w:r>
          </w:p>
          <w:p>
            <w:pPr>
              <w:pStyle w:val="Code"/>
            </w:pPr>
            <w:r>
              <w:t xml:space="preserve">                "extRefVal2": "4500123456"</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10: Beispiel: Telegramm BC Dynamics → WAMAS (DI_TELEGRAMS)</w:t>
      </w:r>
    </w:p>
    <w:p>
      <w:pPr>
        <w:pStyle w:val="Heading3"/>
      </w:pPr>
      <w:r>
        <w:t>10.3.2 Variante: Wagennummer zusätzlich am Kopf (Annahme)</w:t>
      </w:r>
    </w:p>
    <w:p>
      <w:r>
        <w:t xml:space="preserve">BC Dynamics sendet dann zwei Zeilen in </w:t>
      </w:r>
      <w:r>
        <w:rPr>
          <w:rFonts w:ascii="Consolas" w:hAnsi="Consolas" w:cs="Consolas" w:eastAsia="Consolas"/>
          <w:sz w:val="18"/>
        </w:rPr>
        <w:t>WLSSDEXTREF001</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"WLSSDEXTREF001":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"WAGE",</w:t>
            </w:r>
          </w:p>
          <w:p>
            <w:pPr>
              <w:pStyle w:val="Code"/>
            </w:pPr>
            <w:r>
              <w:t xml:space="preserve">      "extRefVal1": "KW-1042",</w:t>
            </w:r>
          </w:p>
          <w:p>
            <w:pPr>
              <w:pStyle w:val="Code"/>
            </w:pPr>
            <w:r>
              <w:t xml:space="preserve">      "extRefVal2": ""</w:t>
            </w:r>
          </w:p>
          <w:p>
            <w:pPr>
              <w:pStyle w:val="Code"/>
            </w:pPr>
            <w:r>
              <w:t xml:space="preserve">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"LIEFERSCHEIN",</w:t>
            </w:r>
          </w:p>
          <w:p>
            <w:pPr>
              <w:pStyle w:val="Code"/>
            </w:pPr>
            <w:r>
              <w:t xml:space="preserve">      "extRefVal1": "LS-8891",</w:t>
            </w:r>
          </w:p>
          <w:p>
            <w:pPr>
              <w:pStyle w:val="Code"/>
            </w:pPr>
            <w:r>
              <w:t xml:space="preserve">      "extRefVal2": "4500123456"</w:t>
            </w:r>
          </w:p>
          <w:p>
            <w:pPr>
              <w:pStyle w:val="Code"/>
            </w:pPr>
            <w:r>
              <w:t xml:space="preserve">    }</w:t>
            </w:r>
          </w:p>
          <w:p>
            <w:pPr>
              <w:pStyle w:val="Code"/>
            </w:pPr>
            <w:r>
              <w:t xml:space="preserve">  ]</w:t>
            </w:r>
          </w:p>
          <w:p>
            <w:pPr>
              <w:pStyle w:val="Code"/>
            </w:pPr>
            <w:r>
              <w:t>}</w:t>
            </w:r>
          </w:p>
        </w:tc>
      </w:tr>
    </w:tbl>
    <w:p>
      <w:pPr>
        <w:pStyle w:val="BeschriftungSSI"/>
      </w:pPr>
      <w:r>
        <w:t>Abb. 11: Beispiel: Variante: Wagennummer zusätzlich am Kopf (Annahme)</w:t>
      </w:r>
    </w:p>
    <w:p>
      <w:pPr>
        <w:pStyle w:val="Quelle"/>
      </w:pPr>
      <w:r>
        <w:rPr>
          <w:b/>
        </w:rPr>
        <w:t xml:space="preserve">Quelle: </w:t>
      </w:r>
      <w:r>
        <w:rPr>
          <w:sz w:val="17"/>
        </w:rPr>
        <w:t xml:space="preserve">Vorgängerdokument v1.0, Kap. 7; Datei </w:t>
      </w:r>
      <w:r>
        <w:rPr>
          <w:rFonts w:ascii="Consolas" w:hAnsi="Consolas" w:cs="Consolas" w:eastAsia="Consolas"/>
          <w:sz w:val="15"/>
        </w:rPr>
        <w:t>out/einlagerungen/WLSSD_Einl000031_KW-1001.json</w:t>
      </w:r>
      <w:r>
        <w:rPr>
          <w:sz w:val="17"/>
        </w:rPr>
        <w:t xml:space="preserve">, </w:t>
      </w:r>
      <w:r>
        <w:rPr>
          <w:rFonts w:ascii="Consolas" w:hAnsi="Consolas" w:cs="Consolas" w:eastAsia="Consolas"/>
          <w:sz w:val="15"/>
        </w:rPr>
        <w:t>out/WLSSD_extref_kommissionierwagen_KW-1042.json</w:t>
      </w:r>
    </w:p>
    <w:p>
      <w:pPr>
        <w:pStyle w:val="Heading1"/>
      </w:pPr>
      <w:r>
        <w:t>11 Offene Fragen und Lücken</w:t>
      </w:r>
    </w:p>
    <w:p>
      <w:pPr>
        <w:pStyle w:val="Heading2"/>
      </w:pPr>
      <w:r>
        <w:t>11.1 Offene Fragen</w:t>
      </w:r>
    </w:p>
    <w:p>
      <w:pPr>
        <w:tabs>
          <w:tab w:pos="425" w:val="left"/>
        </w:tabs>
        <w:spacing w:after="60"/>
        <w:ind w:left="425" w:hanging="425"/>
      </w:pPr>
      <w:r>
        <w:rPr>
          <w:b/>
        </w:rPr>
        <w:t>1.</w:t>
        <w:tab/>
      </w:r>
      <w:r>
        <w:rPr>
          <w:b/>
        </w:rPr>
        <w:t>Schlüssel und Werteformat:</w:t>
      </w:r>
      <w:r>
        <w:t xml:space="preserve"> Bleibt der Positionsschlüssel </w:t>
      </w:r>
      <w:r>
        <w:rPr>
          <w:rFonts w:ascii="Consolas" w:hAnsi="Consolas" w:cs="Consolas" w:eastAsia="Consolas"/>
          <w:sz w:val="18"/>
        </w:rPr>
        <w:t>WAGE</w:t>
      </w:r>
      <w:r>
        <w:t xml:space="preserve"> aus der Touch-Konfiguration, oder wird ein eindeutigerer Schlüssel angelegt? Sendet BC Dynamics reine Werte (</w:t>
      </w:r>
      <w:r>
        <w:rPr>
          <w:rFonts w:ascii="Consolas" w:hAnsi="Consolas" w:cs="Consolas" w:eastAsia="Consolas"/>
          <w:sz w:val="18"/>
        </w:rPr>
        <w:t>KW-1042</w:t>
      </w:r>
      <w:r>
        <w:t xml:space="preserve">, </w:t>
      </w:r>
      <w:r>
        <w:rPr>
          <w:rFonts w:ascii="Consolas" w:hAnsi="Consolas" w:cs="Consolas" w:eastAsia="Consolas"/>
          <w:sz w:val="18"/>
        </w:rPr>
        <w:t>A1</w:t>
      </w:r>
      <w:r>
        <w:t xml:space="preserve">) oder wie im Beispiel mit Präfix und Format </w:t>
      </w:r>
      <w:r>
        <w:rPr>
          <w:rFonts w:ascii="Consolas" w:hAnsi="Consolas" w:cs="Consolas" w:eastAsia="Consolas"/>
          <w:sz w:val="18"/>
        </w:rPr>
        <w:t>„Fach Nr: 001-001“</w:t>
      </w:r>
      <w:r>
        <w:t>?</w:t>
      </w:r>
    </w:p>
    <w:p>
      <w:pPr>
        <w:tabs>
          <w:tab w:pos="425" w:val="left"/>
        </w:tabs>
        <w:spacing w:after="60"/>
        <w:ind w:left="425" w:hanging="425"/>
      </w:pPr>
      <w:r>
        <w:rPr>
          <w:b/>
        </w:rPr>
        <w:t>2.</w:t>
        <w:tab/>
      </w:r>
      <w:r>
        <w:rPr>
          <w:b/>
        </w:rPr>
        <w:t>Echtes Telegramm Einl000031:</w:t>
      </w:r>
      <w:r>
        <w:t xml:space="preserve"> Kopf-</w:t>
      </w:r>
      <w:r>
        <w:rPr>
          <w:rFonts w:ascii="Consolas" w:hAnsi="Consolas" w:cs="Consolas" w:eastAsia="Consolas"/>
          <w:sz w:val="18"/>
        </w:rPr>
        <w:t>extRefVal2</w:t>
      </w:r>
      <w:r>
        <w:t xml:space="preserve"> ist </w:t>
      </w:r>
      <w:r>
        <w:rPr>
          <w:rFonts w:ascii="Consolas" w:hAnsi="Consolas" w:cs="Consolas" w:eastAsia="Consolas"/>
          <w:sz w:val="18"/>
        </w:rPr>
        <w:t>LS-AKU-1002</w:t>
      </w:r>
      <w:r>
        <w:t xml:space="preserve"> statt Bestellnummer </w:t>
      </w:r>
      <w:r>
        <w:rPr>
          <w:rFonts w:ascii="Consolas" w:hAnsi="Consolas" w:cs="Consolas" w:eastAsia="Consolas"/>
          <w:sz w:val="18"/>
        </w:rPr>
        <w:t>4500200101</w:t>
      </w:r>
      <w:r>
        <w:t xml:space="preserve">: Eingabefehler? Soll </w:t>
      </w:r>
      <w:r>
        <w:rPr>
          <w:rFonts w:ascii="Consolas" w:hAnsi="Consolas" w:cs="Consolas" w:eastAsia="Consolas"/>
          <w:sz w:val="18"/>
        </w:rPr>
        <w:t>info</w:t>
      </w:r>
      <w:r>
        <w:t xml:space="preserve"> „Wagen KW-xxxx“ fester Bestandteil sein? Wurde der frühere Stand ohne Positions-Referenzen (11:23) ebenfalls gesendet, und welche Fassung zeigt WAMAS für Einl000031?</w:t>
      </w:r>
    </w:p>
    <w:p>
      <w:pPr>
        <w:tabs>
          <w:tab w:pos="425" w:val="left"/>
        </w:tabs>
        <w:spacing w:after="60"/>
        <w:ind w:left="425" w:hanging="425"/>
      </w:pPr>
      <w:r>
        <w:rPr>
          <w:b/>
        </w:rPr>
        <w:t>3.</w:t>
        <w:tab/>
      </w:r>
      <w:r>
        <w:rPr>
          <w:b/>
        </w:rPr>
        <w:t>Lieferschein:</w:t>
      </w:r>
      <w:r>
        <w:t xml:space="preserve"> Genügt </w:t>
      </w:r>
      <w:r>
        <w:rPr>
          <w:rFonts w:ascii="Consolas" w:hAnsi="Consolas" w:cs="Consolas" w:eastAsia="Consolas"/>
          <w:sz w:val="18"/>
        </w:rPr>
        <w:t>noteNo</w:t>
      </w:r>
      <w:r>
        <w:t xml:space="preserve"> allein, oder soll die Kopf-Referenz </w:t>
      </w:r>
      <w:r>
        <w:rPr>
          <w:rFonts w:ascii="Consolas" w:hAnsi="Consolas" w:cs="Consolas" w:eastAsia="Consolas"/>
          <w:sz w:val="18"/>
        </w:rPr>
        <w:t>LIEFERSCHEIN</w:t>
      </w:r>
      <w:r>
        <w:t xml:space="preserve"> mit Bestellnummer weiter gesendet werden (Touch-Anzeige über </w:t>
      </w:r>
      <w:r>
        <w:rPr>
          <w:rFonts w:ascii="Consolas" w:hAnsi="Consolas" w:cs="Consolas" w:eastAsia="Consolas"/>
          <w:sz w:val="18"/>
        </w:rPr>
        <w:t>DemandExtRefLabeled</w:t>
      </w:r>
      <w:r>
        <w:t>)?</w:t>
      </w:r>
    </w:p>
    <w:p>
      <w:pPr>
        <w:tabs>
          <w:tab w:pos="425" w:val="left"/>
        </w:tabs>
        <w:spacing w:after="60"/>
        <w:ind w:left="425" w:hanging="425"/>
      </w:pPr>
      <w:r>
        <w:rPr>
          <w:b/>
        </w:rPr>
        <w:t>4.</w:t>
        <w:tab/>
      </w:r>
      <w:r>
        <w:rPr>
          <w:b/>
        </w:rPr>
        <w:t>Seriennummer (CSIA 01):</w:t>
      </w:r>
      <w:r>
        <w:t xml:space="preserve"> CSIA 01 in WAMAS (MD017) als „Seriennummer“ anlegen, Eindeutigkeit (MD080: Item, Client, Global) festlegen, welche Artikel </w:t>
      </w:r>
      <w:r>
        <w:rPr>
          <w:rFonts w:ascii="Consolas" w:hAnsi="Consolas" w:cs="Consolas" w:eastAsia="Consolas"/>
          <w:sz w:val="18"/>
        </w:rPr>
        <w:t>MANDATORY</w:t>
      </w:r>
      <w:r>
        <w:t xml:space="preserve"> bekommen. Am Lift testen, ob </w:t>
      </w:r>
      <w:r>
        <w:rPr>
          <w:rFonts w:ascii="Consolas" w:hAnsi="Consolas" w:cs="Consolas" w:eastAsia="Consolas"/>
          <w:sz w:val="18"/>
        </w:rPr>
        <w:t>csia1</w:t>
      </w:r>
      <w:r>
        <w:t xml:space="preserve"> vorbelegt angezeigt wird und ob WAMAS einen Auftrag ohne Seriennummer annimmt. JSON-Schlüssel </w:t>
      </w:r>
      <w:r>
        <w:rPr>
          <w:rFonts w:ascii="Consolas" w:hAnsi="Consolas" w:cs="Consolas" w:eastAsia="Consolas"/>
          <w:sz w:val="18"/>
        </w:rPr>
        <w:t>csia1</w:t>
      </w:r>
      <w:r>
        <w:t xml:space="preserve"> (Tabelle) oder </w:t>
      </w:r>
      <w:r>
        <w:rPr>
          <w:rFonts w:ascii="Consolas" w:hAnsi="Consolas" w:cs="Consolas" w:eastAsia="Consolas"/>
          <w:sz w:val="18"/>
        </w:rPr>
        <w:t>csia01</w:t>
      </w:r>
      <w:r>
        <w:t xml:space="preserve"> (Beschreibung) mit einem Testtelegramm bestätigen.</w:t>
      </w:r>
    </w:p>
    <w:p>
      <w:pPr>
        <w:tabs>
          <w:tab w:pos="425" w:val="left"/>
        </w:tabs>
        <w:spacing w:after="60"/>
        <w:ind w:left="425" w:hanging="425"/>
      </w:pPr>
      <w:r>
        <w:rPr>
          <w:b/>
        </w:rPr>
        <w:t>5.</w:t>
        <w:tab/>
      </w:r>
      <w:r>
        <w:rPr>
          <w:b/>
        </w:rPr>
        <w:t>Charge und MHD:</w:t>
      </w:r>
      <w:r>
        <w:t xml:space="preserve"> Welche Artikel werden mit Charge und/oder MHD geführt (Vorschlag: Akupunkturnadeln JB, Öle und Lotionen SCH/SF)? Werte für </w:t>
      </w:r>
      <w:r>
        <w:rPr>
          <w:rFonts w:ascii="Consolas" w:hAnsi="Consolas" w:cs="Consolas" w:eastAsia="Consolas"/>
          <w:sz w:val="18"/>
        </w:rPr>
        <w:t>ogBatchRegistration</w:t>
      </w:r>
      <w:r>
        <w:t xml:space="preserve"> / </w:t>
      </w:r>
      <w:r>
        <w:rPr>
          <w:rFonts w:ascii="Consolas" w:hAnsi="Consolas" w:cs="Consolas" w:eastAsia="Consolas"/>
          <w:sz w:val="18"/>
        </w:rPr>
        <w:t>ogBbDateRegistration</w:t>
      </w:r>
      <w:r>
        <w:t xml:space="preserve">, </w:t>
      </w:r>
      <w:r>
        <w:rPr>
          <w:rFonts w:ascii="Consolas" w:hAnsi="Consolas" w:cs="Consolas" w:eastAsia="Consolas"/>
          <w:sz w:val="18"/>
        </w:rPr>
        <w:t>timeBasedAccMode BBD</w:t>
      </w:r>
      <w:r>
        <w:t xml:space="preserve"> und </w:t>
      </w:r>
      <w:r>
        <w:rPr>
          <w:rFonts w:ascii="Consolas" w:hAnsi="Consolas" w:cs="Consolas" w:eastAsia="Consolas"/>
          <w:sz w:val="18"/>
        </w:rPr>
        <w:t>itemEquivPeriod</w:t>
      </w:r>
      <w:r>
        <w:t xml:space="preserve"> festlegen. Am Lift testen, ob </w:t>
      </w:r>
      <w:r>
        <w:rPr>
          <w:rFonts w:ascii="Consolas" w:hAnsi="Consolas" w:cs="Consolas" w:eastAsia="Consolas"/>
          <w:sz w:val="18"/>
        </w:rPr>
        <w:t>batch</w:t>
      </w:r>
      <w:r>
        <w:t xml:space="preserve"> und </w:t>
      </w:r>
      <w:r>
        <w:rPr>
          <w:rFonts w:ascii="Consolas" w:hAnsi="Consolas" w:cs="Consolas" w:eastAsia="Consolas"/>
          <w:sz w:val="18"/>
        </w:rPr>
        <w:t>bbDate</w:t>
      </w:r>
      <w:r>
        <w:t xml:space="preserve"> aus dem Telegramm vorbelegt sind und ob WAMAS einen Auftrag ohne Pflichtwert annimmt. In BC: Artikelverfolgungscode und Zuordnung Ablaufdatum = MHD bestätigen.</w:t>
      </w:r>
    </w:p>
    <w:p>
      <w:pPr>
        <w:tabs>
          <w:tab w:pos="425" w:val="left"/>
        </w:tabs>
        <w:spacing w:after="60"/>
        <w:ind w:left="425" w:hanging="425"/>
      </w:pPr>
      <w:r>
        <w:rPr>
          <w:b/>
        </w:rPr>
        <w:t>6.</w:t>
        <w:tab/>
      </w:r>
      <w:r>
        <w:rPr>
          <w:b/>
        </w:rPr>
        <w:t>Wagen am Kopf:</w:t>
      </w:r>
      <w:r>
        <w:t xml:space="preserve"> Soll BC Dynamics die Wagennummer zusätzlich als zweite Kopf-Referenz </w:t>
      </w:r>
      <w:r>
        <w:rPr>
          <w:rFonts w:ascii="Consolas" w:hAnsi="Consolas" w:cs="Consolas" w:eastAsia="Consolas"/>
          <w:sz w:val="18"/>
        </w:rPr>
        <w:t>WAGE</w:t>
      </w:r>
      <w:r>
        <w:t xml:space="preserve"> senden, oder bleibt der Kopf für </w:t>
      </w:r>
      <w:r>
        <w:rPr>
          <w:rFonts w:ascii="Consolas" w:hAnsi="Consolas" w:cs="Consolas" w:eastAsia="Consolas"/>
          <w:sz w:val="18"/>
        </w:rPr>
        <w:t>LIEFERSCHEIN</w:t>
      </w:r>
      <w:r>
        <w:t>?</w:t>
      </w:r>
    </w:p>
    <w:p>
      <w:pPr>
        <w:tabs>
          <w:tab w:pos="425" w:val="left"/>
        </w:tabs>
        <w:spacing w:after="60"/>
        <w:ind w:left="425" w:hanging="425"/>
      </w:pPr>
      <w:r>
        <w:rPr>
          <w:b/>
        </w:rPr>
        <w:t>7.</w:t>
        <w:tab/>
      </w:r>
      <w:r>
        <w:rPr>
          <w:b/>
        </w:rPr>
        <w:t>Freigabe des Wagens:</w:t>
      </w:r>
      <w:r>
        <w:t xml:space="preserve"> Wann gilt der Wagen als frei: ACK </w:t>
      </w:r>
      <w:r>
        <w:rPr>
          <w:rFonts w:ascii="Consolas" w:hAnsi="Consolas" w:cs="Consolas" w:eastAsia="Consolas"/>
          <w:sz w:val="18"/>
        </w:rPr>
        <w:t>FINISHED</w:t>
      </w:r>
      <w:r>
        <w:t xml:space="preserve"> des ganzen Demands, oder je Fach? Wer gibt bei Teilmengen oder Fehlern frei, und führt BC Dynamics den Wagenstatus?</w:t>
      </w:r>
    </w:p>
    <w:p>
      <w:pPr>
        <w:tabs>
          <w:tab w:pos="425" w:val="left"/>
        </w:tabs>
        <w:spacing w:after="60"/>
        <w:ind w:left="425" w:hanging="425"/>
      </w:pPr>
      <w:r>
        <w:rPr>
          <w:b/>
        </w:rPr>
        <w:t>8.</w:t>
        <w:tab/>
      </w:r>
      <w:r>
        <w:rPr>
          <w:b/>
        </w:rPr>
        <w:t>Kardinalität:</w:t>
      </w:r>
      <w:r>
        <w:t xml:space="preserve"> Ein Wagen gleich ein Einlagerauftrag? Oder mehrere Lieferscheine auf einem Wagen bzw. eine Lieferung auf mehreren Wagen?</w:t>
      </w:r>
    </w:p>
    <w:p>
      <w:pPr>
        <w:tabs>
          <w:tab w:pos="425" w:val="left"/>
        </w:tabs>
        <w:spacing w:after="60"/>
        <w:ind w:left="425" w:hanging="425"/>
      </w:pPr>
      <w:r>
        <w:rPr>
          <w:b/>
        </w:rPr>
        <w:t>9.</w:t>
        <w:tab/>
      </w:r>
      <w:r>
        <w:rPr>
          <w:b/>
        </w:rPr>
        <w:t>Schnittstelle BC Dynamics zu WAMAS:</w:t>
      </w:r>
      <w:r>
        <w:t xml:space="preserve"> REST DI-API v3 oder Dateiablage, welches Format, welche Authentifizierung? Wie empfängt BC Dynamics die ACKs? Und welche Recordversion: </w:t>
      </w:r>
      <w:r>
        <w:rPr>
          <w:rFonts w:ascii="Consolas" w:hAnsi="Consolas" w:cs="Consolas" w:eastAsia="Consolas"/>
          <w:sz w:val="18"/>
        </w:rPr>
        <w:t>WLSSD002</w:t>
      </w:r>
      <w:r>
        <w:t xml:space="preserve"> (Referenzimplementierung) oder </w:t>
      </w:r>
      <w:r>
        <w:rPr>
          <w:rFonts w:ascii="Consolas" w:hAnsi="Consolas" w:cs="Consolas" w:eastAsia="Consolas"/>
          <w:sz w:val="18"/>
        </w:rPr>
        <w:t>WLSSD003</w:t>
      </w:r>
      <w:r>
        <w:t xml:space="preserve"> (2.8-Manual)?</w:t>
      </w:r>
    </w:p>
    <w:p>
      <w:pPr>
        <w:tabs>
          <w:tab w:pos="425" w:val="left"/>
        </w:tabs>
        <w:spacing w:after="60"/>
        <w:ind w:left="425" w:hanging="425"/>
      </w:pPr>
      <w:r>
        <w:rPr>
          <w:b/>
        </w:rPr>
        <w:t>10.</w:t>
        <w:tab/>
      </w:r>
      <w:r>
        <w:rPr>
          <w:b/>
        </w:rPr>
        <w:t>Erfassung und Anzeige:</w:t>
      </w:r>
      <w:r>
        <w:t xml:space="preserve"> Mit welchem Gerät und Dialog wird in BC Dynamics gescannt? Zeigt WAMAS Touch am Lift die Positions-Referenzen am Zielsystem tatsächlich an (InfoElement-Konfiguration prüfen)?</w:t>
      </w:r>
    </w:p>
    <w:p>
      <w:pPr>
        <w:pStyle w:val="Heading2"/>
      </w:pPr>
      <w:r>
        <w:t>11.2 Annahmen im Text (Übersicht)</w:t>
      </w:r>
    </w:p>
    <w:p>
      <w:r>
        <w:t>Die folgenden Kästen „Annahme, zu prüfen“ stehen im Text an der jeweiligen Stelle; hier als Übersicht:</w:t>
      </w:r>
    </w:p>
    <w:p>
      <w:pPr>
        <w:pStyle w:val="ListBullet"/>
      </w:pPr>
      <w:r>
        <w:rPr>
          <w:b/>
        </w:rPr>
        <w:t>Übertragung auf den Wareneingang:</w:t>
      </w:r>
      <w:r>
        <w:t xml:space="preserve"> Das Konzept beschreibt den Wagen im Kommissionierauftrag (WLSPD). Für den Wareneingang wird dieselbe Referenzlogik auf den Einlagerauftrag (WLSSD) übertragen. Das ist durch die Schnittstelle gedeckt: In der Referenzimplementierung nutzen </w:t>
      </w:r>
      <w:r>
        <w:rPr>
          <w:rFonts w:ascii="Consolas" w:hAnsi="Consolas" w:cs="Consolas" w:eastAsia="Consolas"/>
          <w:sz w:val="18"/>
        </w:rPr>
        <w:t>WLSSD</w:t>
      </w:r>
      <w:r>
        <w:t xml:space="preserve"> und </w:t>
      </w:r>
      <w:r>
        <w:rPr>
          <w:rFonts w:ascii="Consolas" w:hAnsi="Consolas" w:cs="Consolas" w:eastAsia="Consolas"/>
          <w:sz w:val="18"/>
        </w:rPr>
        <w:t>WLSPD</w:t>
      </w:r>
      <w:r>
        <w:t xml:space="preserve"> dieselben Builder </w:t>
      </w:r>
      <w:r>
        <w:rPr>
          <w:rFonts w:ascii="Consolas" w:hAnsi="Consolas" w:cs="Consolas" w:eastAsia="Consolas"/>
          <w:sz w:val="18"/>
        </w:rPr>
        <w:t>build_header_ext_refs</w:t>
      </w:r>
      <w:r>
        <w:t xml:space="preserve"> / </w:t>
      </w:r>
      <w:r>
        <w:rPr>
          <w:rFonts w:ascii="Consolas" w:hAnsi="Consolas" w:cs="Consolas" w:eastAsia="Consolas"/>
          <w:sz w:val="18"/>
        </w:rPr>
        <w:t>build_line_ext_refs</w:t>
      </w:r>
      <w:r>
        <w:t xml:space="preserve"> und unterscheiden sich laut </w:t>
      </w:r>
      <w:r>
        <w:rPr>
          <w:rFonts w:ascii="Consolas" w:hAnsi="Consolas" w:cs="Consolas" w:eastAsia="Consolas"/>
          <w:sz w:val="18"/>
        </w:rPr>
        <w:t>FIELD_MAPPING.md</w:t>
      </w:r>
      <w:r>
        <w:t xml:space="preserve"> nur in </w:t>
      </w:r>
      <w:r>
        <w:rPr>
          <w:rFonts w:ascii="Consolas" w:hAnsi="Consolas" w:cs="Consolas" w:eastAsia="Consolas"/>
          <w:sz w:val="18"/>
        </w:rPr>
        <w:t>typeId</w:t>
      </w:r>
      <w:r>
        <w:t>, Recordnamen und Dateipräfix.</w:t>
      </w:r>
    </w:p>
    <w:p>
      <w:pPr>
        <w:pStyle w:val="ListBullet"/>
      </w:pPr>
      <w:r>
        <w:rPr>
          <w:b/>
        </w:rPr>
        <w:t>Echte Aufträge:</w:t>
      </w:r>
      <w:r>
        <w:t xml:space="preserve"> Die echten Aufträge Einl000031 bis 33 (Akumax) haben keine Seriennummern: csia1 wird nicht gesendet bzw. bleibt leer, die Akumax-Artikel bekommen keine csia-Einstellungen (entspricht NOT_APPLICABLE).</w:t>
      </w:r>
    </w:p>
    <w:p>
      <w:pPr>
        <w:pStyle w:val="ListBullet"/>
      </w:pPr>
      <w:r>
        <w:rPr>
          <w:b/>
        </w:rPr>
        <w:t>Echte Aufträge:</w:t>
      </w:r>
      <w:r>
        <w:t xml:space="preserve"> Die echten Aufträge Einl000031 bis 33 (Akumax) senden keine Charge und kein MHD; batch und bbDate sind leer, die Artikel haben keine Einstellungen. Fachlich naheliegend wären Charge und MHD z. B. für die sterilen Akupunkturnadeln (JB-...) und die Öle und Lotionen (SCH-..., SF-...). Das ist ein Vorschlag, keine Vorgabe.</w:t>
      </w:r>
    </w:p>
    <w:p>
      <w:pPr>
        <w:pStyle w:val="ListBullet"/>
      </w:pPr>
      <w:r>
        <w:rPr>
          <w:b/>
        </w:rPr>
        <w:t>Annahme:</w:t>
      </w:r>
      <w:r>
        <w:t xml:space="preserve"> Ein Wagenstatus ist in den vorliegenden Dateien nicht vorhanden. Das Modell ist eine Annahme für BC Dynamics; jeder Zustand ist aus Daten der Schnittstelle ableitbar (Einlagerauftrag, Sendeergebnis, ACK). Schlüssel ist die Kombination </w:t>
      </w:r>
      <w:r>
        <w:rPr>
          <w:rFonts w:ascii="Consolas" w:hAnsi="Consolas" w:cs="Consolas" w:eastAsia="Consolas"/>
          <w:sz w:val="18"/>
        </w:rPr>
        <w:t>WAGE</w:t>
      </w:r>
      <w:r>
        <w:t xml:space="preserve"> + </w:t>
      </w:r>
      <w:r>
        <w:rPr>
          <w:rFonts w:ascii="Consolas" w:hAnsi="Consolas" w:cs="Consolas" w:eastAsia="Consolas"/>
          <w:sz w:val="18"/>
        </w:rPr>
        <w:t>extRefVal1</w:t>
      </w:r>
      <w:r>
        <w:t>.</w:t>
      </w:r>
    </w:p>
    <w:p>
      <w:pPr>
        <w:pStyle w:val="Heading2"/>
      </w:pPr>
      <w:r>
        <w:t>11.3 Fehlende Screenshots und Fotos</w:t>
      </w:r>
    </w:p>
    <w:p>
      <w:r>
        <w:t>Diese Bilder sind im Dokument als Lücke markiert und werden nachgeliefert:</w:t>
      </w:r>
    </w:p>
    <w:p>
      <w:pPr>
        <w:pStyle w:val="ListBullet"/>
      </w:pPr>
      <w:r>
        <w:rPr>
          <w:b/>
        </w:rPr>
        <w:t>Foto folgt:</w:t>
      </w:r>
      <w:r>
        <w:t xml:space="preserve"> Echtes Foto des Kommissionierwagens mit Deichsel-Schild und Fach-Etiketten</w:t>
      </w:r>
    </w:p>
    <w:p>
      <w:pPr>
        <w:pStyle w:val="Heading1"/>
      </w:pPr>
      <w:r>
        <w:t>12 Quellenverzeichnis</w:t>
      </w:r>
    </w:p>
    <w:p>
      <w:pPr>
        <w:pStyle w:val="Heading2"/>
      </w:pPr>
      <w:r>
        <w:t>12.1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8283"/>
      </w:tblGrid>
      <w:tr>
        <w:trPr>
          <w:tblHeader w:val="true"/>
        </w:trPr>
        <w:tc>
          <w:tcPr>
            <w:tcW w:type="dxa" w:w="1242"/>
            <w:shd w:val="clear" w:color="auto" w:fill="FEEE19"/>
          </w:tcPr>
          <w:p>
            <w:pPr>
              <w:spacing w:after="0"/>
            </w:pPr>
            <w:r>
              <w:rPr>
                <w:b/>
                <w:sz w:val="17"/>
              </w:rPr>
              <w:t>Kürzel</w:t>
            </w:r>
          </w:p>
        </w:tc>
        <w:tc>
          <w:tcPr>
            <w:tcW w:type="dxa" w:w="8282"/>
            <w:shd w:val="clear" w:color="auto" w:fill="FEEE19"/>
          </w:tcPr>
          <w:p>
            <w:pPr>
              <w:spacing w:after="0"/>
            </w:pPr>
            <w:r>
              <w:rPr>
                <w:b/>
                <w:sz w:val="17"/>
              </w:rPr>
              <w:t>Bedeutung</w:t>
            </w:r>
          </w:p>
        </w:tc>
      </w:tr>
      <w:tr>
        <w:tc>
          <w:tcPr>
            <w:tcW w:type="dxa" w:w="1242"/>
          </w:tcPr>
          <w:p>
            <w:pPr>
              <w:spacing w:after="0" w:line="252" w:lineRule="auto"/>
            </w:pPr>
            <w:r>
              <w:rPr>
                <w:sz w:val="17"/>
              </w:rPr>
              <w:t>ACK</w:t>
            </w:r>
          </w:p>
        </w:tc>
        <w:tc>
          <w:tcPr>
            <w:tcW w:type="dxa" w:w="8282"/>
          </w:tcPr>
          <w:p>
            <w:pPr>
              <w:spacing w:after="0" w:line="252" w:lineRule="auto"/>
            </w:pPr>
            <w:r>
              <w:rPr>
                <w:sz w:val="17"/>
              </w:rPr>
              <w:t>Acknowledge, Rückmeldung von WAMAS an den Host</w:t>
            </w:r>
          </w:p>
        </w:tc>
      </w:tr>
      <w:tr>
        <w:tc>
          <w:tcPr>
            <w:tcW w:type="dxa" w:w="1242"/>
          </w:tcPr>
          <w:p>
            <w:pPr>
              <w:spacing w:after="0" w:line="252" w:lineRule="auto"/>
            </w:pPr>
            <w:r>
              <w:rPr>
                <w:sz w:val="17"/>
              </w:rPr>
              <w:t>AM</w:t>
            </w:r>
          </w:p>
        </w:tc>
        <w:tc>
          <w:tcPr>
            <w:tcW w:type="dxa" w:w="8282"/>
          </w:tcPr>
          <w:p>
            <w:pPr>
              <w:spacing w:after="0" w:line="252" w:lineRule="auto"/>
            </w:pPr>
            <w:r>
              <w:rPr>
                <w:sz w:val="17"/>
              </w:rPr>
              <w:t>Administrator Manual WAMAS Lift &amp; Store 2.8</w:t>
            </w:r>
          </w:p>
        </w:tc>
      </w:tr>
      <w:tr>
        <w:tc>
          <w:tcPr>
            <w:tcW w:type="dxa" w:w="1242"/>
          </w:tcPr>
          <w:p>
            <w:pPr>
              <w:spacing w:after="0" w:line="252" w:lineRule="auto"/>
            </w:pPr>
            <w:r>
              <w:rPr>
                <w:sz w:val="17"/>
              </w:rPr>
              <w:t>BC</w:t>
            </w:r>
          </w:p>
        </w:tc>
        <w:tc>
          <w:tcPr>
            <w:tcW w:type="dxa" w:w="8282"/>
          </w:tcPr>
          <w:p>
            <w:pPr>
              <w:spacing w:after="0" w:line="252" w:lineRule="auto"/>
            </w:pPr>
            <w:r>
              <w:rPr>
                <w:sz w:val="17"/>
              </w:rPr>
              <w:t>BC Dynamics (Microsoft Dynamics 365 Business Central), ERP und Host</w:t>
            </w:r>
          </w:p>
        </w:tc>
      </w:tr>
      <w:tr>
        <w:tc>
          <w:tcPr>
            <w:tcW w:type="dxa" w:w="1242"/>
          </w:tcPr>
          <w:p>
            <w:pPr>
              <w:spacing w:after="0" w:line="252" w:lineRule="auto"/>
            </w:pPr>
            <w:r>
              <w:rPr>
                <w:sz w:val="17"/>
              </w:rPr>
              <w:t>CSIA</w:t>
            </w:r>
          </w:p>
        </w:tc>
        <w:tc>
          <w:tcPr>
            <w:tcW w:type="dxa" w:w="8282"/>
          </w:tcPr>
          <w:p>
            <w:pPr>
              <w:spacing w:after="0" w:line="252" w:lineRule="auto"/>
            </w:pPr>
            <w:r>
              <w:rPr>
                <w:sz w:val="17"/>
              </w:rPr>
              <w:t>Customizable stock-identifying attribute (frei definierbares Bestandsmerkmal)</w:t>
            </w:r>
          </w:p>
        </w:tc>
      </w:tr>
      <w:tr>
        <w:tc>
          <w:tcPr>
            <w:tcW w:type="dxa" w:w="1242"/>
          </w:tcPr>
          <w:p>
            <w:pPr>
              <w:spacing w:after="0" w:line="252" w:lineRule="auto"/>
            </w:pPr>
            <w:r>
              <w:rPr>
                <w:sz w:val="17"/>
              </w:rPr>
              <w:t>DI-API</w:t>
            </w:r>
          </w:p>
        </w:tc>
        <w:tc>
          <w:tcPr>
            <w:tcW w:type="dxa" w:w="8282"/>
          </w:tcPr>
          <w:p>
            <w:pPr>
              <w:spacing w:after="0" w:line="252" w:lineRule="auto"/>
            </w:pPr>
            <w:r>
              <w:rPr>
                <w:sz w:val="17"/>
              </w:rPr>
              <w:t>REST-Schnittstelle von WAMAS für Telegramme (DI_TELEGRAMS)</w:t>
            </w:r>
          </w:p>
        </w:tc>
      </w:tr>
      <w:tr>
        <w:tc>
          <w:tcPr>
            <w:tcW w:type="dxa" w:w="1242"/>
          </w:tcPr>
          <w:p>
            <w:pPr>
              <w:spacing w:after="0" w:line="252" w:lineRule="auto"/>
            </w:pPr>
            <w:r>
              <w:rPr>
                <w:sz w:val="17"/>
              </w:rPr>
              <w:t>FEFO</w:t>
            </w:r>
          </w:p>
        </w:tc>
        <w:tc>
          <w:tcPr>
            <w:tcW w:type="dxa" w:w="8282"/>
          </w:tcPr>
          <w:p>
            <w:pPr>
              <w:spacing w:after="0" w:line="252" w:lineRule="auto"/>
            </w:pPr>
            <w:r>
              <w:rPr>
                <w:sz w:val="17"/>
              </w:rPr>
              <w:t>First Expired, First Out</w:t>
            </w:r>
          </w:p>
        </w:tc>
      </w:tr>
      <w:tr>
        <w:tc>
          <w:tcPr>
            <w:tcW w:type="dxa" w:w="1242"/>
          </w:tcPr>
          <w:p>
            <w:pPr>
              <w:spacing w:after="0" w:line="252" w:lineRule="auto"/>
            </w:pPr>
            <w:r>
              <w:rPr>
                <w:sz w:val="17"/>
              </w:rPr>
              <w:t>IM</w:t>
            </w:r>
          </w:p>
        </w:tc>
        <w:tc>
          <w:tcPr>
            <w:tcW w:type="dxa" w:w="8282"/>
          </w:tcPr>
          <w:p>
            <w:pPr>
              <w:spacing w:after="0" w:line="252" w:lineRule="auto"/>
            </w:pPr>
            <w:r>
              <w:rPr>
                <w:sz w:val="17"/>
              </w:rPr>
              <w:t>Interface Manual WLS-ERP WAMAS Lift &amp; Store 2.8</w:t>
            </w:r>
          </w:p>
        </w:tc>
      </w:tr>
      <w:tr>
        <w:tc>
          <w:tcPr>
            <w:tcW w:type="dxa" w:w="1242"/>
          </w:tcPr>
          <w:p>
            <w:pPr>
              <w:spacing w:after="0" w:line="252" w:lineRule="auto"/>
            </w:pPr>
            <w:r>
              <w:rPr>
                <w:sz w:val="17"/>
              </w:rPr>
              <w:t>MHD</w:t>
            </w:r>
          </w:p>
        </w:tc>
        <w:tc>
          <w:tcPr>
            <w:tcW w:type="dxa" w:w="8282"/>
          </w:tcPr>
          <w:p>
            <w:pPr>
              <w:spacing w:after="0" w:line="252" w:lineRule="auto"/>
            </w:pPr>
            <w:r>
              <w:rPr>
                <w:sz w:val="17"/>
              </w:rPr>
              <w:t>Mindesthaltbarkeitsdatum (bbDate, best before date)</w:t>
            </w:r>
          </w:p>
        </w:tc>
      </w:tr>
      <w:tr>
        <w:tc>
          <w:tcPr>
            <w:tcW w:type="dxa" w:w="1242"/>
          </w:tcPr>
          <w:p>
            <w:pPr>
              <w:spacing w:after="0" w:line="252" w:lineRule="auto"/>
            </w:pPr>
            <w:r>
              <w:rPr>
                <w:sz w:val="17"/>
              </w:rPr>
              <w:t>sqa / sia</w:t>
            </w:r>
          </w:p>
        </w:tc>
        <w:tc>
          <w:tcPr>
            <w:tcW w:type="dxa" w:w="8282"/>
          </w:tcPr>
          <w:p>
            <w:pPr>
              <w:spacing w:after="0" w:line="252" w:lineRule="auto"/>
            </w:pPr>
            <w:r>
              <w:rPr>
                <w:sz w:val="17"/>
              </w:rPr>
              <w:t>verlangte Merkmale (Vorgabe) / tatsächliche Bestandsmerkmale</w:t>
            </w:r>
          </w:p>
        </w:tc>
      </w:tr>
      <w:tr>
        <w:tc>
          <w:tcPr>
            <w:tcW w:type="dxa" w:w="1242"/>
          </w:tcPr>
          <w:p>
            <w:pPr>
              <w:spacing w:after="0" w:line="252" w:lineRule="auto"/>
            </w:pPr>
            <w:r>
              <w:rPr>
                <w:sz w:val="17"/>
              </w:rPr>
              <w:t>UM</w:t>
            </w:r>
          </w:p>
        </w:tc>
        <w:tc>
          <w:tcPr>
            <w:tcW w:type="dxa" w:w="8282"/>
          </w:tcPr>
          <w:p>
            <w:pPr>
              <w:spacing w:after="0" w:line="252" w:lineRule="auto"/>
            </w:pPr>
            <w:r>
              <w:rPr>
                <w:sz w:val="17"/>
              </w:rPr>
              <w:t>User Manual WAMAS Lift &amp; Store 2.8</w:t>
            </w:r>
          </w:p>
        </w:tc>
      </w:tr>
      <w:tr>
        <w:tc>
          <w:tcPr>
            <w:tcW w:type="dxa" w:w="1242"/>
          </w:tcPr>
          <w:p>
            <w:pPr>
              <w:spacing w:after="0" w:line="252" w:lineRule="auto"/>
            </w:pPr>
            <w:r>
              <w:rPr>
                <w:sz w:val="17"/>
              </w:rPr>
              <w:t>WAGE</w:t>
            </w:r>
          </w:p>
        </w:tc>
        <w:tc>
          <w:tcPr>
            <w:tcW w:type="dxa" w:w="8282"/>
          </w:tcPr>
          <w:p>
            <w:pPr>
              <w:spacing w:after="0" w:line="252" w:lineRule="auto"/>
            </w:pPr>
            <w:r>
              <w:rPr>
                <w:sz w:val="17"/>
              </w:rPr>
              <w:t>Referenzschlüssel für den Kommissionierwagen (nicht „Waage“)</w:t>
            </w:r>
          </w:p>
        </w:tc>
      </w:tr>
    </w:tbl>
    <w:p>
      <w:pPr>
        <w:pStyle w:val="BeschriftungSSI"/>
      </w:pPr>
      <w:r>
        <w:t>Tab. 15: Abkürzungen</w:t>
      </w:r>
    </w:p>
    <w:p>
      <w:pPr>
        <w:pStyle w:val="Heading2"/>
      </w:pPr>
      <w:r>
        <w:t>12.2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292"/>
        <w:gridCol w:w="4233"/>
      </w:tblGrid>
      <w:tr>
        <w:trPr>
          <w:tblHeader w:val="true"/>
        </w:trPr>
        <w:tc>
          <w:tcPr>
            <w:tcW w:type="dxa" w:w="5291"/>
            <w:shd w:val="clear" w:color="auto" w:fill="FEEE19"/>
          </w:tcPr>
          <w:p>
            <w:pPr>
              <w:spacing w:after="0"/>
            </w:pPr>
            <w:r>
              <w:rPr>
                <w:b/>
                <w:sz w:val="17"/>
              </w:rPr>
              <w:t>Dokument / Datei</w:t>
            </w:r>
          </w:p>
        </w:tc>
        <w:tc>
          <w:tcPr>
            <w:tcW w:type="dxa" w:w="4233"/>
            <w:shd w:val="clear" w:color="auto" w:fill="FEEE19"/>
          </w:tcPr>
          <w:p>
            <w:pPr>
              <w:spacing w:after="0"/>
            </w:pPr>
            <w:r>
              <w:rPr>
                <w:b/>
                <w:sz w:val="17"/>
              </w:rPr>
              <w:t>Verwendung</w:t>
            </w:r>
          </w:p>
        </w:tc>
      </w:tr>
      <w:tr>
        <w:tc>
          <w:tcPr>
            <w:tcW w:type="dxa" w:w="5291"/>
          </w:tcPr>
          <w:p>
            <w:pPr>
              <w:spacing w:after="0" w:line="252" w:lineRule="auto"/>
            </w:pPr>
            <w:r>
              <w:rPr>
                <w:sz w:val="17"/>
              </w:rPr>
              <w:t>Interface Manual WLS-ERP WAMAS Lift &amp; Store 2.8 (IM)</w:t>
            </w:r>
          </w:p>
        </w:tc>
        <w:tc>
          <w:tcPr>
            <w:tcW w:type="dxa" w:w="4233"/>
          </w:tcPr>
          <w:p>
            <w:pPr>
              <w:spacing w:after="0" w:line="252" w:lineRule="auto"/>
            </w:pPr>
            <w:r>
              <w:rPr>
                <w:sz w:val="17"/>
              </w:rPr>
              <w:t>Satzarten, Feldlängen, Datumsformat, ACK</w:t>
            </w:r>
          </w:p>
        </w:tc>
      </w:tr>
      <w:tr>
        <w:tc>
          <w:tcPr>
            <w:tcW w:type="dxa" w:w="5291"/>
          </w:tcPr>
          <w:p>
            <w:pPr>
              <w:spacing w:after="0" w:line="252" w:lineRule="auto"/>
            </w:pPr>
            <w:r>
              <w:rPr>
                <w:sz w:val="17"/>
              </w:rPr>
              <w:t>User Manual und Administrator Manual WAMAS Lift &amp; Store 2.8 (UM, AM)</w:t>
            </w:r>
          </w:p>
        </w:tc>
        <w:tc>
          <w:tcPr>
            <w:tcW w:type="dxa" w:w="4233"/>
          </w:tcPr>
          <w:p>
            <w:pPr>
              <w:spacing w:after="0" w:line="252" w:lineRule="auto"/>
            </w:pPr>
            <w:r>
              <w:rPr>
                <w:sz w:val="17"/>
              </w:rPr>
              <w:t>Erfassung am Lift, CSIA, Homogenität</w:t>
            </w:r>
          </w:p>
        </w:tc>
      </w:tr>
      <w:tr>
        <w:tc>
          <w:tcPr>
            <w:tcW w:type="dxa" w:w="5291"/>
          </w:tcPr>
          <w:p>
            <w:pPr>
              <w:spacing w:after="0" w:line="252" w:lineRule="auto"/>
            </w:pPr>
            <w:r>
              <w:rPr>
                <w:sz w:val="17"/>
              </w:rPr>
              <w:t xml:space="preserve">Designkonzept </w:t>
            </w:r>
            <w:r>
              <w:rPr>
                <w:rFonts w:ascii="Consolas" w:hAnsi="Consolas" w:cs="Consolas" w:eastAsia="Consolas"/>
                <w:sz w:val="15"/>
              </w:rPr>
              <w:t>kommissionierwagen.​html</w:t>
            </w:r>
            <w:r>
              <w:rPr>
                <w:sz w:val="17"/>
              </w:rPr>
              <w:t xml:space="preserve"> / </w:t>
            </w:r>
            <w:r>
              <w:rPr>
                <w:rFonts w:ascii="Consolas" w:hAnsi="Consolas" w:cs="Consolas" w:eastAsia="Consolas"/>
                <w:sz w:val="15"/>
              </w:rPr>
              <w:t>_build_wagen.py</w:t>
            </w:r>
          </w:p>
        </w:tc>
        <w:tc>
          <w:tcPr>
            <w:tcW w:type="dxa" w:w="4233"/>
          </w:tcPr>
          <w:p>
            <w:pPr>
              <w:spacing w:after="0" w:line="252" w:lineRule="auto"/>
            </w:pPr>
            <w:r>
              <w:rPr>
                <w:sz w:val="17"/>
              </w:rPr>
              <w:t>Wagen, QR-Codes, Referenzwerte</w:t>
            </w:r>
          </w:p>
        </w:tc>
      </w:tr>
      <w:tr>
        <w:tc>
          <w:tcPr>
            <w:tcW w:type="dxa" w:w="5291"/>
          </w:tcPr>
          <w:p>
            <w:pPr>
              <w:spacing w:after="0" w:line="252" w:lineRule="auto"/>
            </w:pPr>
            <w:r>
              <w:rPr>
                <w:sz w:val="17"/>
              </w:rPr>
              <w:t xml:space="preserve">Referenzimplementierung WAMAS Web App v2: </w:t>
            </w:r>
            <w:r>
              <w:rPr>
                <w:rFonts w:ascii="Consolas" w:hAnsi="Consolas" w:cs="Consolas" w:eastAsia="Consolas"/>
                <w:sz w:val="15"/>
              </w:rPr>
              <w:t>order_​builders.​py</w:t>
            </w:r>
            <w:r>
              <w:rPr>
                <w:sz w:val="17"/>
              </w:rPr>
              <w:t xml:space="preserve">, </w:t>
            </w:r>
            <w:r>
              <w:rPr>
                <w:rFonts w:ascii="Consolas" w:hAnsi="Consolas" w:cs="Consolas" w:eastAsia="Consolas"/>
                <w:sz w:val="15"/>
              </w:rPr>
              <w:t>server.py</w:t>
            </w:r>
            <w:r>
              <w:rPr>
                <w:sz w:val="17"/>
              </w:rPr>
              <w:t xml:space="preserve">, </w:t>
            </w:r>
            <w:r>
              <w:rPr>
                <w:rFonts w:ascii="Consolas" w:hAnsi="Consolas" w:cs="Consolas" w:eastAsia="Consolas"/>
                <w:sz w:val="15"/>
              </w:rPr>
              <w:t>FIELD_​MAPPING.​md</w:t>
            </w:r>
            <w:r>
              <w:rPr>
                <w:sz w:val="17"/>
              </w:rPr>
              <w:t xml:space="preserve">, </w:t>
            </w:r>
            <w:r>
              <w:rPr>
                <w:rFonts w:ascii="Consolas" w:hAnsi="Consolas" w:cs="Consolas" w:eastAsia="Consolas"/>
                <w:sz w:val="15"/>
              </w:rPr>
              <w:t>telegram_​fields.​yaml</w:t>
            </w:r>
            <w:r>
              <w:rPr>
                <w:sz w:val="17"/>
              </w:rPr>
              <w:t xml:space="preserve">, </w:t>
            </w:r>
            <w:r>
              <w:rPr>
                <w:rFonts w:ascii="Consolas" w:hAnsi="Consolas" w:cs="Consolas" w:eastAsia="Consolas"/>
                <w:sz w:val="15"/>
              </w:rPr>
              <w:t>de.json</w:t>
            </w:r>
            <w:r>
              <w:rPr>
                <w:sz w:val="17"/>
              </w:rPr>
              <w:t xml:space="preserve">, </w:t>
            </w:r>
            <w:r>
              <w:rPr>
                <w:rFonts w:ascii="Consolas" w:hAnsi="Consolas" w:cs="Consolas" w:eastAsia="Consolas"/>
                <w:sz w:val="15"/>
              </w:rPr>
              <w:t>extended-forms.​js</w:t>
            </w:r>
            <w:r>
              <w:rPr>
                <w:sz w:val="17"/>
              </w:rPr>
              <w:t xml:space="preserve">, </w:t>
            </w:r>
            <w:r>
              <w:rPr>
                <w:rFonts w:ascii="Consolas" w:hAnsi="Consolas" w:cs="Consolas" w:eastAsia="Consolas"/>
                <w:sz w:val="15"/>
              </w:rPr>
              <w:t>test_​touch_​ext_​ref_​catalog.​py</w:t>
            </w:r>
          </w:p>
        </w:tc>
        <w:tc>
          <w:tcPr>
            <w:tcW w:type="dxa" w:w="4233"/>
          </w:tcPr>
          <w:p>
            <w:pPr>
              <w:spacing w:after="0" w:line="252" w:lineRule="auto"/>
            </w:pPr>
            <w:r>
              <w:rPr>
                <w:sz w:val="17"/>
              </w:rPr>
              <w:t>Telegrammaufbau, Prüfregeln, Touch-Konfiguration</w:t>
            </w:r>
          </w:p>
        </w:tc>
      </w:tr>
      <w:tr>
        <w:tc>
          <w:tcPr>
            <w:tcW w:type="dxa" w:w="5291"/>
          </w:tcPr>
          <w:p>
            <w:pPr>
              <w:spacing w:after="0" w:line="252" w:lineRule="auto"/>
            </w:pPr>
            <w:r>
              <w:rPr>
                <w:rFonts w:ascii="Consolas" w:hAnsi="Consolas" w:cs="Consolas" w:eastAsia="Consolas"/>
                <w:sz w:val="15"/>
              </w:rPr>
              <w:t>diff_​2.​7_​to_​2.​8.​md</w:t>
            </w:r>
          </w:p>
        </w:tc>
        <w:tc>
          <w:tcPr>
            <w:tcW w:type="dxa" w:w="4233"/>
          </w:tcPr>
          <w:p>
            <w:pPr>
              <w:spacing w:after="0" w:line="252" w:lineRule="auto"/>
            </w:pPr>
            <w:r>
              <w:rPr>
                <w:sz w:val="17"/>
              </w:rPr>
              <w:t>Änderungen WAMAS 2.7 zu 2.8</w:t>
            </w:r>
          </w:p>
        </w:tc>
      </w:tr>
      <w:tr>
        <w:tc>
          <w:tcPr>
            <w:tcW w:type="dxa" w:w="5291"/>
          </w:tcPr>
          <w:p>
            <w:pPr>
              <w:spacing w:after="0" w:line="252" w:lineRule="auto"/>
            </w:pPr>
            <w:r>
              <w:rPr>
                <w:rFonts w:ascii="Consolas" w:hAnsi="Consolas" w:cs="Consolas" w:eastAsia="Consolas"/>
                <w:sz w:val="15"/>
              </w:rPr>
              <w:t>WLSSD_​extref_​3_​demand_​lines.​json</w:t>
            </w:r>
            <w:r>
              <w:rPr>
                <w:sz w:val="17"/>
              </w:rPr>
              <w:t xml:space="preserve">, </w:t>
            </w:r>
            <w:r>
              <w:rPr>
                <w:rFonts w:ascii="Consolas" w:hAnsi="Consolas" w:cs="Consolas" w:eastAsia="Consolas"/>
                <w:sz w:val="15"/>
              </w:rPr>
              <w:t>WLSSD_​00000025.​json</w:t>
            </w:r>
          </w:p>
        </w:tc>
        <w:tc>
          <w:tcPr>
            <w:tcW w:type="dxa" w:w="4233"/>
          </w:tcPr>
          <w:p>
            <w:pPr>
              <w:spacing w:after="0" w:line="252" w:lineRule="auto"/>
            </w:pPr>
            <w:r>
              <w:rPr>
                <w:sz w:val="17"/>
              </w:rPr>
              <w:t>Beispieltelegramme</w:t>
            </w:r>
          </w:p>
        </w:tc>
      </w:tr>
      <w:tr>
        <w:tc>
          <w:tcPr>
            <w:tcW w:type="dxa" w:w="5291"/>
          </w:tcPr>
          <w:p>
            <w:pPr>
              <w:spacing w:after="0" w:line="252" w:lineRule="auto"/>
            </w:pPr>
            <w:r>
              <w:rPr>
                <w:rFonts w:ascii="Consolas" w:hAnsi="Consolas" w:cs="Consolas" w:eastAsia="Consolas"/>
                <w:sz w:val="15"/>
              </w:rPr>
              <w:t>out/​einlagerungen/​WLSSD_​Einl000031_​KW-1001.​json</w:t>
            </w:r>
            <w:r>
              <w:rPr>
                <w:sz w:val="17"/>
              </w:rPr>
              <w:t xml:space="preserve"> (echt gesendet), </w:t>
            </w:r>
            <w:r>
              <w:rPr>
                <w:rFonts w:ascii="Consolas" w:hAnsi="Consolas" w:cs="Consolas" w:eastAsia="Consolas"/>
                <w:sz w:val="15"/>
              </w:rPr>
              <w:t>WLSSD_​extref_​kommissionierwagen_​KW-1042.​json</w:t>
            </w:r>
          </w:p>
        </w:tc>
        <w:tc>
          <w:tcPr>
            <w:tcW w:type="dxa" w:w="4233"/>
          </w:tcPr>
          <w:p>
            <w:pPr>
              <w:spacing w:after="0" w:line="252" w:lineRule="auto"/>
            </w:pPr>
            <w:r>
              <w:rPr>
                <w:sz w:val="17"/>
              </w:rPr>
              <w:t>Telegramme Kap. Praxisbeispiele</w:t>
            </w:r>
          </w:p>
        </w:tc>
      </w:tr>
      <w:tr>
        <w:tc>
          <w:tcPr>
            <w:tcW w:type="dxa" w:w="5291"/>
          </w:tcPr>
          <w:p>
            <w:pPr>
              <w:spacing w:after="0" w:line="252" w:lineRule="auto"/>
            </w:pPr>
            <w:r>
              <w:rPr>
                <w:sz w:val="17"/>
              </w:rPr>
              <w:t xml:space="preserve">Diagramme </w:t>
            </w:r>
            <w:r>
              <w:rPr>
                <w:rFonts w:ascii="Consolas" w:hAnsi="Consolas" w:cs="Consolas" w:eastAsia="Consolas"/>
                <w:sz w:val="15"/>
              </w:rPr>
              <w:t>01_​prozess_​swimlanes.​png</w:t>
            </w:r>
            <w:r>
              <w:rPr>
                <w:sz w:val="17"/>
              </w:rPr>
              <w:t xml:space="preserve">, </w:t>
            </w:r>
            <w:r>
              <w:rPr>
                <w:rFonts w:ascii="Consolas" w:hAnsi="Consolas" w:cs="Consolas" w:eastAsia="Consolas"/>
                <w:sz w:val="15"/>
              </w:rPr>
              <w:t>02_sequenz.png</w:t>
            </w:r>
            <w:r>
              <w:rPr>
                <w:sz w:val="17"/>
              </w:rPr>
              <w:t xml:space="preserve">, </w:t>
            </w:r>
            <w:r>
              <w:rPr>
                <w:rFonts w:ascii="Consolas" w:hAnsi="Consolas" w:cs="Consolas" w:eastAsia="Consolas"/>
                <w:sz w:val="15"/>
              </w:rPr>
              <w:t>03_​status_​wagen.​png</w:t>
            </w:r>
          </w:p>
        </w:tc>
        <w:tc>
          <w:tcPr>
            <w:tcW w:type="dxa" w:w="4233"/>
          </w:tcPr>
          <w:p>
            <w:pPr>
              <w:spacing w:after="0" w:line="252" w:lineRule="auto"/>
            </w:pPr>
            <w:r>
              <w:rPr>
                <w:sz w:val="17"/>
              </w:rPr>
              <w:t>Abbildungen Ablauf, Sequenz, Status</w:t>
            </w:r>
          </w:p>
        </w:tc>
      </w:tr>
      <w:tr>
        <w:tc>
          <w:tcPr>
            <w:tcW w:type="dxa" w:w="5291"/>
          </w:tcPr>
          <w:p>
            <w:pPr>
              <w:spacing w:after="0" w:line="252" w:lineRule="auto"/>
            </w:pPr>
            <w:r>
              <w:rPr>
                <w:sz w:val="17"/>
              </w:rPr>
              <w:t>Prozess_​Wareneingang_​Kommissionierwagen v1.0 (HTML/Word, bisheriges Layout)</w:t>
            </w:r>
          </w:p>
        </w:tc>
        <w:tc>
          <w:tcPr>
            <w:tcW w:type="dxa" w:w="4233"/>
          </w:tcPr>
          <w:p>
            <w:pPr>
              <w:spacing w:after="0" w:line="252" w:lineRule="auto"/>
            </w:pPr>
            <w:r>
              <w:rPr>
                <w:sz w:val="17"/>
              </w:rPr>
              <w:t>Vorgängerversion, Inhalt übernommen</w:t>
            </w:r>
          </w:p>
        </w:tc>
      </w:tr>
    </w:tbl>
    <w:p>
      <w:pPr>
        <w:pStyle w:val="BeschriftungSSI"/>
      </w:pPr>
      <w:r>
        <w:t>Tab. 16: Verwendete Dokumente und Dateien</w:t>
      </w:r>
    </w:p>
    <w:p>
      <w:pPr>
        <w:pStyle w:val="Heading2"/>
      </w:pPr>
      <w:r>
        <w:t>12.3 Verwendete Kapitel und Tabellen der Manuals</w:t>
      </w:r>
    </w:p>
    <w:p>
      <w:r>
        <w:t>Im Text zitierte Stellen (Kapitel, Tabellen, Seiten der PDF-Fassung):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Manual</w:t>
            </w:r>
          </w:p>
        </w:tc>
        <w:tc>
          <w:tcPr>
            <w:tcW w:type="dxa" w:w="6145"/>
            <w:shd w:val="clear" w:color="auto" w:fill="FEEE19"/>
          </w:tcPr>
          <w:p>
            <w:pPr>
              <w:spacing w:after="0"/>
            </w:pPr>
            <w:r>
              <w:rPr>
                <w:b/>
                <w:sz w:val="17"/>
              </w:rPr>
              <w:t>Zitierte Stellen</w:t>
            </w:r>
          </w:p>
        </w:tc>
      </w:tr>
      <w:tr>
        <w:tc>
          <w:tcPr>
            <w:tcW w:type="dxa" w:w="3380"/>
          </w:tcPr>
          <w:p>
            <w:pPr>
              <w:spacing w:after="0" w:line="252" w:lineRule="auto"/>
            </w:pPr>
            <w:r>
              <w:rPr>
                <w:sz w:val="17"/>
              </w:rPr>
              <w:t>Interface Manual WLS-ERP 2.8 (IM)</w:t>
            </w:r>
          </w:p>
        </w:tc>
        <w:tc>
          <w:tcPr>
            <w:tcW w:type="dxa" w:w="6145"/>
          </w:tcPr>
          <w:p>
            <w:pPr>
              <w:spacing w:after="0" w:line="252" w:lineRule="auto"/>
            </w:pPr>
            <w:r>
              <w:rPr>
                <w:sz w:val="17"/>
              </w:rPr>
              <w:t>Tab. 6, Tab. 14, Tab. 35, Tab. 39, Tab. 40, Tab. 50, 2.8, S. 71, S. 75</w:t>
            </w:r>
          </w:p>
        </w:tc>
      </w:tr>
      <w:tr>
        <w:tc>
          <w:tcPr>
            <w:tcW w:type="dxa" w:w="3380"/>
          </w:tcPr>
          <w:p>
            <w:pPr>
              <w:spacing w:after="0" w:line="252" w:lineRule="auto"/>
            </w:pPr>
            <w:r>
              <w:rPr>
                <w:sz w:val="17"/>
              </w:rPr>
              <w:t>User Manual 2.8 (UM)</w:t>
            </w:r>
          </w:p>
        </w:tc>
        <w:tc>
          <w:tcPr>
            <w:tcW w:type="dxa" w:w="6145"/>
          </w:tcPr>
          <w:p>
            <w:pPr>
              <w:spacing w:after="0" w:line="252" w:lineRule="auto"/>
            </w:pPr>
            <w:r>
              <w:rPr>
                <w:sz w:val="17"/>
              </w:rPr>
              <w:t>5.1.1, 5.1.5, 6.2.5.1, S. 60</w:t>
            </w:r>
          </w:p>
        </w:tc>
      </w:tr>
      <w:tr>
        <w:tc>
          <w:tcPr>
            <w:tcW w:type="dxa" w:w="3380"/>
          </w:tcPr>
          <w:p>
            <w:pPr>
              <w:spacing w:after="0" w:line="252" w:lineRule="auto"/>
            </w:pPr>
            <w:r>
              <w:rPr>
                <w:sz w:val="17"/>
              </w:rPr>
              <w:t>Administrator Manual 2.8 (AM)</w:t>
            </w:r>
          </w:p>
        </w:tc>
        <w:tc>
          <w:tcPr>
            <w:tcW w:type="dxa" w:w="6145"/>
          </w:tcPr>
          <w:p>
            <w:pPr>
              <w:spacing w:after="0" w:line="252" w:lineRule="auto"/>
            </w:pPr>
            <w:r>
              <w:rPr>
                <w:sz w:val="17"/>
              </w:rPr>
              <w:t>3.1.3.1, 3.6.1.7, 3.6.3.1, 3.6.3.3, 3.6.6, 3.6.10, S. 103, S. 104, S. 118, S. 173</w:t>
            </w:r>
          </w:p>
        </w:tc>
      </w:tr>
    </w:tbl>
    <w:p>
      <w:pPr>
        <w:pStyle w:val="BeschriftungSSI"/>
      </w:pPr>
      <w:r>
        <w:t>Tab. 17: Zitierte Stellen der Manuals</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Prozessbeschreibung V 2.0 (Redesign)</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Prozessbeschreibung</w:t>
    </w:r>
  </w:p>
  <w:p>
    <w:pPr>
      <w:jc w:val="right"/>
      <w:pBdr>
        <w:bottom w:val="single" w:sz="4" w:space="4" w:color="000000"/>
      </w:pBdr>
    </w:pPr>
    <w:r>
      <w:rPr>
        <w:b/>
        <w:sz w:val="22"/>
      </w:rPr>
      <w:t>Wareneingang mit Kommissionierwagen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Wareneingang mit Kommissionierwagen in BC Dynamics</dc:title>
  <dc:subject>Akumax AG · Prozessbeschreibung und Schnittstelle BC Dynamics zu WAMAS</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