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Problembeschreibung / Lösungsvorschlag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Problembeschreibung HTTP 201 vs. 200 bei Systempartnernachrichten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Empfehlung an die Produktentwicklung – globaler Parameter für Dynamics On-Prem und Cloud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Sobona (Projekt Acumax AG)</w:t>
            </w:r>
          </w:p>
        </w:tc>
      </w:tr>
    </w:tbl>
    <w:p>
      <w:pPr>
        <w:spacing w:before="8617"/>
      </w:pPr>
      <w:r>
        <w:rPr>
          <w:sz w:val="18"/>
        </w:rPr>
        <w:t>V 1.0  ·  28.10.2026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Dokumentinformationen</w:t>
        <w:tab/>
        <w:t>4</w:t>
      </w:r>
    </w:p>
    <w:p>
      <w:pPr>
        <w:pStyle w:val="TOC2"/>
        <w:tabs>
          <w:tab w:pos="9524" w:val="right" w:leader="dot"/>
        </w:tabs>
      </w:pPr>
      <w:r>
        <w:t>1.3 Lesereihenfolge</w:t>
        <w:tab/>
        <w:t>4</w:t>
      </w:r>
    </w:p>
    <w:p>
      <w:pPr>
        <w:pStyle w:val="TOC1"/>
        <w:tabs>
          <w:tab w:pos="9524" w:val="right" w:leader="dot"/>
        </w:tabs>
      </w:pPr>
      <w:r>
        <w:t>2 Ist-Zustand und Feststellung</w:t>
        <w:tab/>
        <w:t>5</w:t>
      </w:r>
    </w:p>
    <w:p>
      <w:pPr>
        <w:pStyle w:val="TOC2"/>
        <w:tabs>
          <w:tab w:pos="9524" w:val="right" w:leader="dot"/>
        </w:tabs>
      </w:pPr>
      <w:r>
        <w:t>2.1 Kommunikationsrichtung</w:t>
        <w:tab/>
        <w:t>5</w:t>
      </w:r>
    </w:p>
    <w:p>
      <w:pPr>
        <w:pStyle w:val="TOC2"/>
        <w:tabs>
          <w:tab w:pos="9524" w:val="right" w:leader="dot"/>
        </w:tabs>
      </w:pPr>
      <w:r>
        <w:t>2.2 Erwartetes Referenzverhalten (WAMAS)</w:t>
        <w:tab/>
        <w:t>5</w:t>
      </w:r>
    </w:p>
    <w:p>
      <w:pPr>
        <w:pStyle w:val="TOC2"/>
        <w:tabs>
          <w:tab w:pos="9524" w:val="right" w:leader="dot"/>
        </w:tabs>
      </w:pPr>
      <w:r>
        <w:t>2.3 Tatsächliches Verhalten Business Central (Cloud)</w:t>
        <w:tab/>
        <w:t>5</w:t>
      </w:r>
    </w:p>
    <w:p>
      <w:pPr>
        <w:pStyle w:val="TOC2"/>
        <w:tabs>
          <w:tab w:pos="9524" w:val="right" w:leader="dot"/>
        </w:tabs>
      </w:pPr>
      <w:r>
        <w:t>2.4 Kernproblem in einem Satz</w:t>
        <w:tab/>
        <w:t>5</w:t>
      </w:r>
    </w:p>
    <w:p>
      <w:pPr>
        <w:pStyle w:val="TOC2"/>
        <w:tabs>
          <w:tab w:pos="9524" w:val="right" w:leader="dot"/>
        </w:tabs>
      </w:pPr>
      <w:r>
        <w:t>2.5 Was noch nicht endgültig bewiesen ist</w:t>
        <w:tab/>
        <w:t>6</w:t>
      </w:r>
    </w:p>
    <w:p>
      <w:pPr>
        <w:pStyle w:val="TOC1"/>
        <w:tabs>
          <w:tab w:pos="9524" w:val="right" w:leader="dot"/>
        </w:tabs>
      </w:pPr>
      <w:r>
        <w:t>3 Auswirkungen im Projekt</w:t>
        <w:tab/>
        <w:t>7</w:t>
      </w:r>
    </w:p>
    <w:p>
      <w:pPr>
        <w:pStyle w:val="TOC2"/>
        <w:tabs>
          <w:tab w:pos="9524" w:val="right" w:leader="dot"/>
        </w:tabs>
      </w:pPr>
      <w:r>
        <w:t>3.1 Operative Wirkung</w:t>
        <w:tab/>
        <w:t>7</w:t>
      </w:r>
    </w:p>
    <w:p>
      <w:pPr>
        <w:pStyle w:val="TOC2"/>
        <w:tabs>
          <w:tab w:pos="9524" w:val="right" w:leader="dot"/>
        </w:tabs>
      </w:pPr>
      <w:r>
        <w:t>3.2 Was wir bewusst nicht tun wollen</w:t>
        <w:tab/>
        <w:t>7</w:t>
      </w:r>
    </w:p>
    <w:p>
      <w:pPr>
        <w:pStyle w:val="TOC1"/>
        <w:tabs>
          <w:tab w:pos="9524" w:val="right" w:leader="dot"/>
        </w:tabs>
      </w:pPr>
      <w:r>
        <w:t>4 On-Prem versus Cloud</w:t>
        <w:tab/>
        <w:t>8</w:t>
      </w:r>
    </w:p>
    <w:p>
      <w:pPr>
        <w:pStyle w:val="TOC2"/>
        <w:tabs>
          <w:tab w:pos="9524" w:val="right" w:leader="dot"/>
        </w:tabs>
      </w:pPr>
      <w:r>
        <w:t>4.1 Beobachtung aus dem Feld</w:t>
        <w:tab/>
        <w:t>8</w:t>
      </w:r>
    </w:p>
    <w:p>
      <w:pPr>
        <w:pStyle w:val="TOC2"/>
        <w:tabs>
          <w:tab w:pos="9524" w:val="right" w:leader="dot"/>
        </w:tabs>
      </w:pPr>
      <w:r>
        <w:t>4.2 Produktziel</w:t>
        <w:tab/>
        <w:t>8</w:t>
      </w:r>
    </w:p>
    <w:p>
      <w:pPr>
        <w:pStyle w:val="TOC1"/>
        <w:tabs>
          <w:tab w:pos="9524" w:val="right" w:leader="dot"/>
        </w:tabs>
      </w:pPr>
      <w:r>
        <w:t>5 Empfehlung an die Produktentwicklung</w:t>
        <w:tab/>
        <w:t>9</w:t>
      </w:r>
    </w:p>
    <w:p>
      <w:pPr>
        <w:pStyle w:val="TOC2"/>
        <w:tabs>
          <w:tab w:pos="9524" w:val="right" w:leader="dot"/>
        </w:tabs>
      </w:pPr>
      <w:r>
        <w:t>5.1 Vorschlag: globaler Parameter</w:t>
        <w:tab/>
        <w:t>9</w:t>
      </w:r>
    </w:p>
    <w:p>
      <w:pPr>
        <w:pStyle w:val="TOC2"/>
        <w:tabs>
          <w:tab w:pos="9524" w:val="right" w:leader="dot"/>
        </w:tabs>
      </w:pPr>
      <w:r>
        <w:t>5.2 Gewünschtes Sender-Verhalten</w:t>
        <w:tab/>
        <w:t>9</w:t>
      </w:r>
    </w:p>
    <w:p>
      <w:pPr>
        <w:pStyle w:val="TOC2"/>
        <w:tabs>
          <w:tab w:pos="9524" w:val="right" w:leader="dot"/>
        </w:tabs>
      </w:pPr>
      <w:r>
        <w:t>5.3 Warum Parameter statt Hardcode</w:t>
        <w:tab/>
        <w:t>9</w:t>
      </w:r>
    </w:p>
    <w:p>
      <w:pPr>
        <w:pStyle w:val="TOC2"/>
        <w:tabs>
          <w:tab w:pos="9524" w:val="right" w:leader="dot"/>
        </w:tabs>
      </w:pPr>
      <w:r>
        <w:t>5.4 Abgrenzung</w:t>
        <w:tab/>
        <w:t>9</w:t>
      </w:r>
    </w:p>
    <w:p>
      <w:pPr>
        <w:pStyle w:val="TOC1"/>
        <w:tabs>
          <w:tab w:pos="9524" w:val="right" w:leader="dot"/>
        </w:tabs>
      </w:pPr>
      <w:r>
        <w:t>6 Praxisbeispiel Acumax AG</w:t>
        <w:tab/>
        <w:t>10</w:t>
      </w:r>
    </w:p>
    <w:p>
      <w:pPr>
        <w:pStyle w:val="TOC2"/>
        <w:tabs>
          <w:tab w:pos="9524" w:val="right" w:leader="dot"/>
        </w:tabs>
      </w:pPr>
      <w:r>
        <w:t>6.1 Umfeld</w:t>
        <w:tab/>
        <w:t>10</w:t>
      </w:r>
    </w:p>
    <w:p>
      <w:pPr>
        <w:pStyle w:val="TOC2"/>
        <w:tabs>
          <w:tab w:pos="9524" w:val="right" w:leader="dot"/>
        </w:tabs>
      </w:pPr>
      <w:r>
        <w:t>6.2 Ablauf Ist</w:t>
        <w:tab/>
        <w:t>10</w:t>
      </w:r>
    </w:p>
    <w:p>
      <w:pPr>
        <w:pStyle w:val="TOC2"/>
        <w:tabs>
          <w:tab w:pos="9524" w:val="right" w:leader="dot"/>
        </w:tabs>
      </w:pPr>
      <w:r>
        <w:t>6.3 Ablauf Soll (nach Parameter)</w:t>
        <w:tab/>
        <w:t>10</w:t>
      </w:r>
    </w:p>
    <w:p>
      <w:pPr>
        <w:pStyle w:val="TOC1"/>
        <w:tabs>
          <w:tab w:pos="9524" w:val="right" w:leader="dot"/>
        </w:tabs>
      </w:pPr>
      <w:r>
        <w:t>7 Stolperfallen</w:t>
        <w:tab/>
        <w:t>11</w:t>
      </w:r>
    </w:p>
    <w:p>
      <w:pPr>
        <w:pStyle w:val="TOC1"/>
        <w:tabs>
          <w:tab w:pos="9524" w:val="right" w:leader="dot"/>
        </w:tabs>
      </w:pPr>
      <w:r>
        <w:t>8 Offene Punkte für die Produktklärung</w:t>
        <w:tab/>
        <w:t>12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13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beschreibt ein bei </w:t>
      </w:r>
      <w:r>
        <w:rPr>
          <w:b/>
        </w:rPr>
        <w:t>Acumax AG</w:t>
      </w:r>
      <w:r>
        <w:t xml:space="preserve"> (Microsoft Dynamics 365 Business Central, Cloud) festgestelltes Problem bei der Bestätigung ausgehender </w:t>
      </w:r>
      <w:r>
        <w:rPr>
          <w:b/>
        </w:rPr>
        <w:t>Systempartnernachrichten</w:t>
      </w:r>
      <w:r>
        <w:t xml:space="preserve"> (WAMAS → Host) und unterbreitet der Produktentwicklung einen konkreten Lösungsvorschlag: einen </w:t>
      </w:r>
      <w:r>
        <w:rPr>
          <w:b/>
        </w:rPr>
        <w:t>globalen Parameter</w:t>
      </w:r>
      <w:r>
        <w:t>, der steuert, welchen HTTP-Erfolg WAMAS als gültige Partnerbestätigung akzeptiert (</w:t>
      </w:r>
      <w:r>
        <w:rPr>
          <w:rFonts w:ascii="Consolas" w:hAnsi="Consolas" w:cs="Consolas" w:eastAsia="Consolas"/>
          <w:sz w:val="18"/>
        </w:rPr>
        <w:t>200</w:t>
      </w:r>
      <w:r>
        <w:t xml:space="preserve"> oder </w:t>
      </w:r>
      <w:r>
        <w:rPr>
          <w:rFonts w:ascii="Consolas" w:hAnsi="Consolas" w:cs="Consolas" w:eastAsia="Consolas"/>
          <w:sz w:val="18"/>
        </w:rPr>
        <w:t>201</w:t>
      </w:r>
      <w:r>
        <w:t>).</w:t>
      </w:r>
    </w:p>
    <w:p>
      <w:r>
        <w:t>Es ist als Vorlage für die Weitergabe an die Entwicklung gedacht und enthält keine SQL- oder Datenbank-Workarounds.</w:t>
      </w:r>
    </w:p>
    <w:p>
      <w:pPr>
        <w:pStyle w:val="Heading2"/>
      </w:pPr>
      <w:r>
        <w:t>1.2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Problembeschreibung HTTP 201 vs. 200 bei Systempartnernachrichten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(Projekt Acumax AG)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Produktentwicklung (DI-API / REST-Sender), Schnittstellenberatung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Acumax REST-Projektdokumentation v1.1; WAMAS-FW027 Nachricht 1110 vom 10.10.2026; DI-API-Referenzverhalten</w:t>
            </w:r>
          </w:p>
        </w:tc>
      </w:tr>
    </w:tbl>
    <w:p>
      <w:pPr>
        <w:spacing w:after="40"/>
      </w:pPr>
    </w:p>
    <w:p>
      <w:pPr>
        <w:pStyle w:val="Heading2"/>
      </w:pPr>
      <w:r>
        <w:t>1.3 Lesereihenfolge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Ist-Zustand und Feststellung (Kapitel 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Auswirkungen im Projekt (Kapitel 3)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On-Prem versus Cloud (Kapitel 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Empfehlung Parameter (Kapitel 5)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Praxisbeispiel Acumax und offene Punkte (Kapitel 6 und 7)</w:t>
      </w:r>
    </w:p>
    <w:p>
      <w:pPr>
        <w:pStyle w:val="Heading1"/>
      </w:pPr>
      <w:r>
        <w:t>2 Ist-Zustand und Feststellung</w:t>
      </w:r>
    </w:p>
    <w:p>
      <w:pPr>
        <w:pStyle w:val="Heading2"/>
      </w:pPr>
      <w:r>
        <w:t>2.1 Kommunikationsrichtung</w:t>
      </w:r>
    </w:p>
    <w:p>
      <w:r>
        <w:t>Bei Acumax sendet WAMAS Lift &amp; Store ausgehende Systempartnernachrichten (OutSpm) per REST an Business Central:</w:t>
      </w:r>
    </w:p>
    <w:p>
      <w:pPr>
        <w:pStyle w:val="ListBullet"/>
      </w:pPr>
      <w:r>
        <w:t xml:space="preserve">API: Custom API </w:t>
      </w:r>
      <w:r>
        <w:rPr>
          <w:rFonts w:ascii="Consolas" w:hAnsi="Consolas" w:cs="Consolas" w:eastAsia="Consolas"/>
          <w:sz w:val="18"/>
        </w:rPr>
        <w:t>acumax/wamas/v2.0/.../wamasInboundMessages</w:t>
      </w:r>
    </w:p>
    <w:p>
      <w:pPr>
        <w:pStyle w:val="ListBullet"/>
      </w:pPr>
      <w:r>
        <w:t>Authentifizierung: OAuth2 Client Credentials</w:t>
      </w:r>
    </w:p>
    <w:p>
      <w:pPr>
        <w:pStyle w:val="ListBullet"/>
      </w:pPr>
      <w:r>
        <w:t xml:space="preserve">Je OutSpm-Nummer ein </w:t>
      </w:r>
      <w:r>
        <w:rPr>
          <w:rFonts w:ascii="Consolas" w:hAnsi="Consolas" w:cs="Consolas" w:eastAsia="Consolas"/>
          <w:sz w:val="18"/>
        </w:rPr>
        <w:t>POST</w:t>
      </w:r>
      <w:r>
        <w:t xml:space="preserve"> im selben HTTP-Aufruf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Acumax REST-Projektdokumentation deDE v1.1, Kap. 3 und 10.3</w:t>
      </w:r>
    </w:p>
    <w:p>
      <w:pPr>
        <w:pStyle w:val="Heading2"/>
      </w:pPr>
      <w:r>
        <w:t>2.2 Erwartetes Referenzverhalten (WAMAS)</w:t>
      </w:r>
    </w:p>
    <w:p>
      <w:r>
        <w:t xml:space="preserve">Der WAMAS-REST-Sender wertet die HTTP-Antwort des Systempartners aus. Als Referenz für einen </w:t>
      </w:r>
      <w:r>
        <w:rPr>
          <w:b/>
        </w:rPr>
        <w:t>erfolgreichen</w:t>
      </w:r>
      <w:r>
        <w:t xml:space="preserve"> Empfang gilt laut bisheriger DI-/REST-Auswertung und Vergleich mit dem Referenzempfänger: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75"/>
        <w:gridCol w:w="8049"/>
      </w:tblGrid>
      <w:tr>
        <w:trPr>
          <w:tblHeader w:val="true"/>
        </w:trPr>
        <w:tc>
          <w:tcPr>
            <w:tcW w:type="dxa" w:w="1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Aspekt</w:t>
            </w:r>
          </w:p>
        </w:tc>
        <w:tc>
          <w:tcPr>
            <w:tcW w:type="dxa" w:w="80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Referenz (Soll)</w:t>
            </w:r>
          </w:p>
        </w:tc>
      </w:tr>
      <w:tr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HTTP-Status</w:t>
            </w:r>
          </w:p>
        </w:tc>
        <w:tc>
          <w:tcPr>
            <w:tcW w:type="dxa" w:w="804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200 OK</w:t>
            </w:r>
          </w:p>
        </w:tc>
      </w:tr>
      <w:tr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Body</w:t>
            </w:r>
          </w:p>
        </w:tc>
        <w:tc>
          <w:tcPr>
            <w:tcW w:type="dxa" w:w="804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Fehlerliste im Sinne von </w:t>
            </w:r>
            <w:r>
              <w:rPr>
                <w:rFonts w:ascii="Consolas" w:hAnsi="Consolas" w:cs="Consolas" w:eastAsia="Consolas"/>
                <w:sz w:val="15"/>
              </w:rPr>
              <w:t>ErrorDtoList</w:t>
            </w:r>
            <w:r>
              <w:rPr>
                <w:sz w:val="17"/>
              </w:rPr>
              <w:t xml:space="preserve">, typisch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  <w:r>
              <w:rPr>
                <w:sz w:val="17"/>
              </w:rPr>
              <w:t xml:space="preserve"> (leere Fehlerliste)</w:t>
            </w:r>
          </w:p>
        </w:tc>
      </w:tr>
      <w:tr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Auswertung</w:t>
            </w:r>
          </w:p>
        </w:tc>
        <w:tc>
          <w:tcPr>
            <w:tcW w:type="dxa" w:w="804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Sender liest die Antwort als </w:t>
            </w:r>
            <w:r>
              <w:rPr>
                <w:rFonts w:ascii="Consolas" w:hAnsi="Consolas" w:cs="Consolas" w:eastAsia="Consolas"/>
                <w:sz w:val="15"/>
              </w:rPr>
              <w:t>com.wamas.wms.core.rest.di.v10.ErrorDtoList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REST-Projektdokumentation v1.1 (TD Kap. 4, Analyse L3); Checkliste Acumax (Fehler 1110)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Hinweis</w:t>
            </w:r>
          </w:p>
          <w:p>
            <w:pPr>
              <w:spacing w:after="40"/>
            </w:pPr>
            <w:r>
              <w:rPr>
                <w:sz w:val="19"/>
              </w:rPr>
              <w:t>Fachlich „Erfolg“ bedeutet hier: der Partner hat die Partnernachricht entgegengenommen und WAMAS kann die OutSpm als erledigt führen. Es geht nicht um den fachlichen Telegrammstatus im Host (DRAFT/NEW/ACTIVE/FINISHED).</w:t>
            </w:r>
          </w:p>
        </w:tc>
      </w:tr>
    </w:tbl>
    <w:p>
      <w:pPr>
        <w:spacing w:after="40"/>
      </w:pPr>
    </w:p>
    <w:p>
      <w:pPr>
        <w:pStyle w:val="Heading2"/>
      </w:pPr>
      <w:r>
        <w:t>2.3 Tatsächliches Verhalten Business Central (Cloud)</w:t>
      </w:r>
    </w:p>
    <w:p>
      <w:r>
        <w:t xml:space="preserve">Bei erfolgreichem Anlegen eines Datensatzes in </w:t>
      </w:r>
      <w:r>
        <w:rPr>
          <w:rFonts w:ascii="Consolas" w:hAnsi="Consolas" w:cs="Consolas" w:eastAsia="Consolas"/>
          <w:sz w:val="18"/>
        </w:rPr>
        <w:t>wamasInboundMessages</w:t>
      </w:r>
      <w:r>
        <w:t xml:space="preserve"> antwortet Business Central typischerweise: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6885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Aspekt</w:t>
            </w:r>
          </w:p>
        </w:tc>
        <w:tc>
          <w:tcPr>
            <w:tcW w:type="dxa" w:w="68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BC Cloud (Ist bei Acumax)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HTTP-Status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201 Created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Body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>OData-Objekt mit angelegten Datensätzen (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mit Inhalt)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Fachliche Wirkung in BC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>Nachricht ist gespeichert (sichtbar in BC)</w:t>
            </w:r>
          </w:p>
        </w:tc>
      </w:tr>
    </w:tbl>
    <w:p>
      <w:pPr>
        <w:spacing w:after="40"/>
      </w:pPr>
    </w:p>
    <w:p>
      <w:r>
        <w:t xml:space="preserve">Belegt am Fall </w:t>
      </w:r>
      <w:r>
        <w:rPr>
          <w:b/>
        </w:rPr>
        <w:t>Nachricht 1110</w:t>
      </w:r>
      <w:r>
        <w:t xml:space="preserve"> (10.10.2026, 16:06:40.663): BC speichert die Nachricht, WAMAS meldet in </w:t>
      </w:r>
      <w:r>
        <w:rPr>
          <w:b/>
        </w:rPr>
        <w:t>FW027</w:t>
      </w:r>
      <w:r>
        <w:t xml:space="preserve"> dennoch einen Systempartnerfehler.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REST-Projektdokumentation v1.1, Kap. 10.3 und Abb. 3 (FW027); Postman-Vergleich 201 / entryNo</w:t>
      </w:r>
    </w:p>
    <w:p>
      <w:pPr>
        <w:pStyle w:val="Heading2"/>
      </w:pPr>
      <w:r>
        <w:t>2.4 Kernproblem in einem Satz</w:t>
      </w:r>
    </w:p>
    <w:p>
      <w:r>
        <w:rPr>
          <w:b/>
        </w:rPr>
        <w:t>WAMAS erwartet als Erfolgsbestätigung HTTP `200` mit leerer Fehlerliste; Dynamics 365 Business Central (Cloud) bestätigt erfolgreiches Anlegen mit HTTP `201` und einem OData-Erfolgsobjekt. Dadurch wertet WAMAS eine fachlich erfolgreiche Übertragung als Partnerfehler.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WAMAS OutSpm  POST  →  BC wamasInboundMessages</w:t>
            </w:r>
          </w:p>
          <w:p>
            <w:pPr>
              <w:pStyle w:val="Code"/>
            </w:pPr>
            <w:r>
              <w:t xml:space="preserve">                         │</w:t>
            </w:r>
          </w:p>
          <w:p>
            <w:pPr>
              <w:pStyle w:val="Code"/>
            </w:pPr>
            <w:r>
              <w:t xml:space="preserve">                         ▼</w:t>
            </w:r>
          </w:p>
          <w:p>
            <w:pPr>
              <w:pStyle w:val="Code"/>
            </w:pPr>
            <w:r>
              <w:t xml:space="preserve">              BC: 201 Created + OData (items = Datensätze)</w:t>
            </w:r>
          </w:p>
          <w:p>
            <w:pPr>
              <w:pStyle w:val="Code"/>
            </w:pPr>
            <w:r>
              <w:t xml:space="preserve">                         │</w:t>
            </w:r>
          </w:p>
          <w:p>
            <w:pPr>
              <w:pStyle w:val="Code"/>
            </w:pPr>
            <w:r>
              <w:t xml:space="preserve">                         ▼</w:t>
            </w:r>
          </w:p>
          <w:p>
            <w:pPr>
              <w:pStyle w:val="Code"/>
            </w:pPr>
            <w:r>
              <w:t xml:space="preserve">              WAMAS-Sender: liest Body als ErrorDtoList</w:t>
            </w:r>
          </w:p>
          <w:p>
            <w:pPr>
              <w:pStyle w:val="Code"/>
            </w:pPr>
            <w:r>
              <w:t xml:space="preserve">                         │</w:t>
            </w:r>
          </w:p>
          <w:p>
            <w:pPr>
              <w:pStyle w:val="Code"/>
            </w:pPr>
            <w:r>
              <w:t xml:space="preserve">                         ▼</w:t>
            </w:r>
          </w:p>
          <w:p>
            <w:pPr>
              <w:pStyle w:val="Code"/>
            </w:pPr>
            <w:r>
              <w:t xml:space="preserve">              FW027 Systempartnerfehler / „unknown error“</w:t>
            </w:r>
          </w:p>
          <w:p>
            <w:pPr>
              <w:pStyle w:val="Code"/>
            </w:pPr>
            <w:r>
              <w:t xml:space="preserve">              obwohl BC die Nachricht gespeichert hat</w:t>
            </w:r>
          </w:p>
        </w:tc>
      </w:tr>
    </w:tbl>
    <w:p>
      <w:pPr>
        <w:pStyle w:val="BeschriftungSSI"/>
      </w:pPr>
      <w:r>
        <w:t>Abb. 1: Konflikt Erfolgsvertrag WAMAS vs. BC Cloud</w:t>
      </w:r>
    </w:p>
    <w:p>
      <w:pPr>
        <w:pStyle w:val="Heading2"/>
      </w:pPr>
      <w:r>
        <w:t>2.5 Was noch nicht endgültig bewiesen ist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Nicht abschließend belegt ist, ob allein Status </w:t>
            </w:r>
            <w:r>
              <w:rPr>
                <w:rFonts w:ascii="Consolas" w:hAnsi="Consolas" w:cs="Consolas" w:eastAsia="Consolas"/>
                <w:sz w:val="17"/>
              </w:rPr>
              <w:t>201</w:t>
            </w:r>
            <w:r>
              <w:rPr>
                <w:sz w:val="19"/>
              </w:rPr>
              <w:t xml:space="preserve">, allein der Body (gefülltes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>) oder die Kombination den Fehler auslöst. Für die Produktentscheidung reicht die Feststellung: der aktuelle Erfolgsvertrag des Senders passt nicht zum BC-Cloud-Antwortmuster. Ein vollständiger Logblock der Antwortauswertung zu Nachricht 1110 fehlt in der Projektsicherung und sollte bei Bedarf nachgeliefert werden.</w:t>
            </w:r>
          </w:p>
        </w:tc>
      </w:tr>
    </w:tbl>
    <w:p>
      <w:pPr>
        <w:spacing w:after="40"/>
      </w:pPr>
    </w:p>
    <w:p>
      <w:pPr>
        <w:pStyle w:val="Heading1"/>
      </w:pPr>
      <w:r>
        <w:t>3 Auswirkungen im Projekt</w:t>
      </w:r>
    </w:p>
    <w:p>
      <w:pPr>
        <w:pStyle w:val="Heading2"/>
      </w:pPr>
      <w:r>
        <w:t>3.1 Operative Wirkung</w:t>
      </w:r>
    </w:p>
    <w:p>
      <w:pPr>
        <w:pStyle w:val="ListBullet"/>
      </w:pPr>
      <w:r>
        <w:t>In BC erscheinen eingehende Partnernachrichten als gespeichert.</w:t>
      </w:r>
    </w:p>
    <w:p>
      <w:pPr>
        <w:pStyle w:val="ListBullet"/>
      </w:pPr>
      <w:r>
        <w:t>In WAMAS bleiben OutSpm im Fehler-/Retry-Pfad (FW027, Systempartnerfehler).</w:t>
      </w:r>
    </w:p>
    <w:p>
      <w:pPr>
        <w:pStyle w:val="ListBullet"/>
      </w:pPr>
      <w:r>
        <w:t>Doppelte Zustellung und manuelle Klärung werden wahrscheinlicher.</w:t>
      </w:r>
    </w:p>
    <w:p>
      <w:pPr>
        <w:pStyle w:val="ListBullet"/>
      </w:pPr>
      <w:r>
        <w:t>Abnahme und Dauerbetrieb der Schnittstelle WAMAS → BC sind blockiert, solange der Antwortvertrag nicht passt.</w:t>
      </w:r>
    </w:p>
    <w:p>
      <w:pPr>
        <w:pStyle w:val="Heading2"/>
      </w:pPr>
      <w:r>
        <w:t>3.2 Was wir bewusst nicht tun wollen</w:t>
      </w:r>
    </w:p>
    <w:p>
      <w:r>
        <w:t xml:space="preserve">Wir empfehlen </w:t>
      </w:r>
      <w:r>
        <w:rPr>
          <w:b/>
        </w:rPr>
        <w:t>keine</w:t>
      </w:r>
      <w:r>
        <w:t xml:space="preserve"> lokalen Notlösungen in SQL, Basisdaten oder Kundenskripten, die den Fehler „wegschreiben“, weil:</w:t>
      </w:r>
    </w:p>
    <w:p>
      <w:pPr>
        <w:pStyle w:val="ListBullet"/>
      </w:pPr>
      <w:r>
        <w:t>das Verhalten je Partner (On-Prem / Cloud / anderer Host) unterschiedlich bleibt,</w:t>
      </w:r>
    </w:p>
    <w:p>
      <w:pPr>
        <w:pStyle w:val="ListBullet"/>
      </w:pPr>
      <w:r>
        <w:t>Support und Upgrades unklar werden,</w:t>
      </w:r>
    </w:p>
    <w:p>
      <w:pPr>
        <w:pStyle w:val="ListBullet"/>
      </w:pPr>
      <w:r>
        <w:t>die Ursache im Produktvertrag (Sender-Erfolgskriterium) liegt, nicht in den Projektdaten.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Vorgabe Projektleitung Acumax / Weitergabe an Produktentwicklung (dieses Dokument)</w:t>
      </w:r>
    </w:p>
    <w:p>
      <w:pPr>
        <w:pStyle w:val="Heading1"/>
      </w:pPr>
      <w:r>
        <w:t>4 On-Prem versus Cloud</w:t>
      </w:r>
    </w:p>
    <w:p>
      <w:pPr>
        <w:pStyle w:val="Heading2"/>
      </w:pPr>
      <w:r>
        <w:t>4.1 Beobachtung aus dem Feld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297"/>
        <w:gridCol w:w="2864"/>
        <w:gridCol w:w="2363"/>
      </w:tblGrid>
      <w:tr>
        <w:trPr>
          <w:tblHeader w:val="true"/>
        </w:trPr>
        <w:tc>
          <w:tcPr>
            <w:tcW w:type="dxa" w:w="42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Partner-Typ</w:t>
            </w:r>
          </w:p>
        </w:tc>
        <w:tc>
          <w:tcPr>
            <w:tcW w:type="dxa" w:w="28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Typische HTTP-Erfolgsantwort bei Annahme</w:t>
            </w:r>
          </w:p>
        </w:tc>
        <w:tc>
          <w:tcPr>
            <w:tcW w:type="dxa" w:w="23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Passend zu heutigem WAMAS-Sender?</w:t>
            </w:r>
          </w:p>
        </w:tc>
      </w:tr>
      <w:tr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Dynamics / Host </w:t>
            </w:r>
            <w:r>
              <w:rPr>
                <w:b/>
                <w:sz w:val="17"/>
              </w:rPr>
              <w:t>On-Prem</w:t>
            </w:r>
            <w:r>
              <w:rPr>
                <w:sz w:val="17"/>
              </w:rPr>
              <w:t xml:space="preserve"> (bzw. Referenzempfänger mit DI-Vertrag)</w:t>
            </w:r>
          </w:p>
        </w:tc>
        <w:tc>
          <w:tcPr>
            <w:tcW w:type="dxa" w:w="28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oft </w:t>
            </w:r>
            <w:r>
              <w:rPr>
                <w:rFonts w:ascii="Consolas" w:hAnsi="Consolas" w:cs="Consolas" w:eastAsia="Consolas"/>
                <w:sz w:val="15"/>
              </w:rPr>
              <w:t>200 OK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</w:p>
        </w:tc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Dynamics 365 Business Central </w:t>
            </w:r>
            <w:r>
              <w:rPr>
                <w:b/>
                <w:sz w:val="17"/>
              </w:rPr>
              <w:t>Cloud</w:t>
            </w:r>
            <w:r>
              <w:rPr>
                <w:sz w:val="17"/>
              </w:rPr>
              <w:t xml:space="preserve"> (Custom API / OData Create)</w:t>
            </w:r>
          </w:p>
        </w:tc>
        <w:tc>
          <w:tcPr>
            <w:tcW w:type="dxa" w:w="28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typisch </w:t>
            </w:r>
            <w:r>
              <w:rPr>
                <w:rFonts w:ascii="Consolas" w:hAnsi="Consolas" w:cs="Consolas" w:eastAsia="Consolas"/>
                <w:sz w:val="15"/>
              </w:rPr>
              <w:t>201 Created</w:t>
            </w:r>
            <w:r>
              <w:rPr>
                <w:sz w:val="17"/>
              </w:rPr>
              <w:t xml:space="preserve"> mit OData-Objekt</w:t>
            </w:r>
          </w:p>
        </w:tc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sz w:val="17"/>
              </w:rPr>
              <w:t>nein (Fall Acumax)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Achtung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„On-Prem kann 200, Cloud sendet 201“ ist die </w:t>
            </w:r>
            <w:r>
              <w:rPr>
                <w:b/>
                <w:sz w:val="19"/>
              </w:rPr>
              <w:t>Arbeitsannahme aus dem Acumax-Fall</w:t>
            </w:r>
            <w:r>
              <w:rPr>
                <w:sz w:val="19"/>
              </w:rPr>
              <w:t xml:space="preserve"> und dem Vergleich mit dem Referenzempfänger. Andere Host-Implementierungen können abweichen. Der Parameter soll genau diese Vielfalt abbilden, ohne den Code pro Kunde zu forken.</w:t>
            </w:r>
          </w:p>
        </w:tc>
      </w:tr>
    </w:tbl>
    <w:p>
      <w:pPr>
        <w:spacing w:after="40"/>
      </w:pPr>
    </w:p>
    <w:p>
      <w:pPr>
        <w:pStyle w:val="Heading2"/>
      </w:pPr>
      <w:r>
        <w:t>4.2 Produktziel</w:t>
      </w:r>
    </w:p>
    <w:p>
      <w:r>
        <w:t>Ein und derselbe WAMAS-REST-Sender soll beide Partner-Typen bedienen können, ohne dass Projekte den Erfolg im Speicher „umbiegen“.</w:t>
      </w:r>
    </w:p>
    <w:p>
      <w:pPr>
        <w:pStyle w:val="Heading1"/>
      </w:pPr>
      <w:r>
        <w:t>5 Empfehlung an die Produktentwicklung</w:t>
      </w:r>
    </w:p>
    <w:p>
      <w:pPr>
        <w:pStyle w:val="Heading2"/>
      </w:pPr>
      <w:r>
        <w:t>5.1 Vorschlag: globaler Parameter</w:t>
      </w:r>
    </w:p>
    <w:p>
      <w:r>
        <w:t xml:space="preserve">Neuen </w:t>
      </w:r>
      <w:r>
        <w:rPr>
          <w:b/>
        </w:rPr>
        <w:t>globalen Parameter</w:t>
      </w:r>
      <w:r>
        <w:t xml:space="preserve"> (Name vorschlagbar, fachlich klar) einführen, z. B.: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934"/>
        <w:gridCol w:w="1449"/>
        <w:gridCol w:w="4141"/>
      </w:tblGrid>
      <w:tr>
        <w:trPr>
          <w:tblHeader w:val="true"/>
        </w:trPr>
        <w:tc>
          <w:tcPr>
            <w:tcW w:type="dxa" w:w="39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Vorschlag Name</w:t>
            </w:r>
          </w:p>
        </w:tc>
        <w:tc>
          <w:tcPr>
            <w:tcW w:type="dxa" w:w="14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393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SystempartnerHttpErfolg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HostPartnerAntwortProfil</w:t>
            </w:r>
          </w:p>
        </w:tc>
        <w:tc>
          <w:tcPr>
            <w:tcW w:type="dxa" w:w="1449"/>
          </w:tcPr>
          <w:p>
            <w:pPr>
              <w:spacing w:after="0" w:line="252" w:lineRule="auto"/>
            </w:pPr>
            <w:r>
              <w:rPr>
                <w:sz w:val="17"/>
              </w:rPr>
              <w:t>Enumeration / Auswahl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steuert, welche HTTP-Antwort WAMAS als erfolgreiche Partnerbestätigung wertet</w:t>
            </w:r>
          </w:p>
        </w:tc>
      </w:tr>
    </w:tbl>
    <w:p>
      <w:pPr>
        <w:spacing w:after="40"/>
      </w:pPr>
    </w:p>
    <w:p>
      <w:r>
        <w:t>Mögliche Werte (Vorschlag):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90"/>
        <w:gridCol w:w="2362"/>
        <w:gridCol w:w="4572"/>
      </w:tblGrid>
      <w:tr>
        <w:trPr>
          <w:tblHeader w:val="true"/>
        </w:trPr>
        <w:tc>
          <w:tcPr>
            <w:tcW w:type="dxa" w:w="25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23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Erfolgreiche Antwort (Vorschlag)</w:t>
            </w:r>
          </w:p>
        </w:tc>
      </w:tr>
      <w:tr>
        <w:tc>
          <w:tcPr>
            <w:tcW w:type="dxa" w:w="259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ON_PREM</w:t>
            </w:r>
          </w:p>
        </w:tc>
        <w:tc>
          <w:tcPr>
            <w:tcW w:type="dxa" w:w="2362"/>
          </w:tcPr>
          <w:p>
            <w:pPr>
              <w:spacing w:after="0" w:line="252" w:lineRule="auto"/>
            </w:pPr>
            <w:r>
              <w:rPr>
                <w:sz w:val="17"/>
              </w:rPr>
              <w:t>klassischer DI-/Referenzvertrag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HTTP </w:t>
            </w:r>
            <w:r>
              <w:rPr>
                <w:rFonts w:ascii="Consolas" w:hAnsi="Consolas" w:cs="Consolas" w:eastAsia="Consolas"/>
                <w:sz w:val="15"/>
              </w:rPr>
              <w:t>200</w:t>
            </w:r>
            <w:r>
              <w:rPr>
                <w:sz w:val="17"/>
              </w:rPr>
              <w:t xml:space="preserve"> und Body als leere Fehlerliste </w:t>
            </w:r>
            <w:r>
              <w:rPr>
                <w:rFonts w:ascii="Consolas" w:hAnsi="Consolas" w:cs="Consolas" w:eastAsia="Consolas"/>
                <w:sz w:val="15"/>
              </w:rPr>
              <w:t>ErrorDtoList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259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DYNAMICS_CLOUD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ODATA_CREATED</w:t>
            </w:r>
          </w:p>
        </w:tc>
        <w:tc>
          <w:tcPr>
            <w:tcW w:type="dxa" w:w="2362"/>
          </w:tcPr>
          <w:p>
            <w:pPr>
              <w:spacing w:after="0" w:line="252" w:lineRule="auto"/>
            </w:pPr>
            <w:r>
              <w:rPr>
                <w:sz w:val="17"/>
              </w:rPr>
              <w:t>BC Cloud / OData Create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HTTP </w:t>
            </w:r>
            <w:r>
              <w:rPr>
                <w:rFonts w:ascii="Consolas" w:hAnsi="Consolas" w:cs="Consolas" w:eastAsia="Consolas"/>
                <w:sz w:val="15"/>
              </w:rPr>
              <w:t>201</w:t>
            </w:r>
            <w:r>
              <w:rPr>
                <w:sz w:val="17"/>
              </w:rPr>
              <w:t xml:space="preserve"> (und optional weitere Erfolgscodes) bei erfolgreichem Anlegen; Body nicht als Fehlerliste mit Datensätzen fehlinterpretieren</w:t>
            </w:r>
          </w:p>
        </w:tc>
      </w:tr>
    </w:tbl>
    <w:p>
      <w:pPr>
        <w:spacing w:after="40"/>
      </w:pPr>
    </w:p>
    <w:p>
      <w:r>
        <w:t>Alternative Benennung näher an der Anforderung des Projekts:</w:t>
      </w:r>
    </w:p>
    <w:p>
      <w:pPr>
        <w:pStyle w:val="ListBullet"/>
      </w:pPr>
      <w:r>
        <w:t xml:space="preserve">Parametername: </w:t>
      </w:r>
      <w:r>
        <w:rPr>
          <w:b/>
        </w:rPr>
        <w:t>Systempartner-Typ</w:t>
      </w:r>
    </w:p>
    <w:p>
      <w:pPr>
        <w:pStyle w:val="ListBullet"/>
      </w:pPr>
      <w:r>
        <w:t xml:space="preserve">Werte: </w:t>
      </w:r>
      <w:r>
        <w:rPr>
          <w:rFonts w:ascii="Consolas" w:hAnsi="Consolas" w:cs="Consolas" w:eastAsia="Consolas"/>
          <w:sz w:val="18"/>
        </w:rPr>
        <w:t>Dynamics On-Prem</w:t>
      </w:r>
      <w:r>
        <w:t xml:space="preserve"> | </w:t>
      </w:r>
      <w:r>
        <w:rPr>
          <w:rFonts w:ascii="Consolas" w:hAnsi="Consolas" w:cs="Consolas" w:eastAsia="Consolas"/>
          <w:sz w:val="18"/>
        </w:rPr>
        <w:t>Dynamics Cloud</w:t>
      </w:r>
      <w:r>
        <w:t xml:space="preserve"> | (optional später weitere Hosts)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Lösungsvorschlag Projekt Acumax an Produktentwicklung (Marek Sobona, 28.10.2026)</w:t>
      </w:r>
    </w:p>
    <w:p>
      <w:pPr>
        <w:pStyle w:val="Heading2"/>
      </w:pPr>
      <w:r>
        <w:t>5.2 Gewünschtes Sender-Verhalten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Parameter lesen (global, ggf. je Systempartner überschreibbar, falls das Produktmodell Partnerprofile kennt).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Nach dem </w:t>
      </w:r>
      <w:r>
        <w:rPr>
          <w:rFonts w:ascii="Consolas" w:hAnsi="Consolas" w:cs="Consolas" w:eastAsia="Consolas"/>
          <w:sz w:val="18"/>
        </w:rPr>
        <w:t>POST</w:t>
      </w:r>
      <w:r>
        <w:t xml:space="preserve"> der OutSpm:</w:t>
      </w:r>
    </w:p>
    <w:p>
      <w:pPr>
        <w:pStyle w:val="ListBullet2"/>
      </w:pPr>
      <w:r>
        <w:t xml:space="preserve">bei Profil </w:t>
      </w:r>
      <w:r>
        <w:rPr>
          <w:b/>
        </w:rPr>
        <w:t>On-Prem / STANDARD</w:t>
      </w:r>
      <w:r>
        <w:t xml:space="preserve">: Erfolg nur bei </w:t>
      </w:r>
      <w:r>
        <w:rPr>
          <w:rFonts w:ascii="Consolas" w:hAnsi="Consolas" w:cs="Consolas" w:eastAsia="Consolas"/>
          <w:sz w:val="18"/>
        </w:rPr>
        <w:t>200</w:t>
      </w:r>
      <w:r>
        <w:t xml:space="preserve"> + leerer Fehlerliste.</w:t>
      </w:r>
    </w:p>
    <w:p>
      <w:pPr>
        <w:pStyle w:val="ListBullet2"/>
      </w:pPr>
      <w:r>
        <w:t xml:space="preserve">bei Profil </w:t>
      </w:r>
      <w:r>
        <w:rPr>
          <w:b/>
        </w:rPr>
        <w:t>Dynamics Cloud</w:t>
      </w:r>
      <w:r>
        <w:t xml:space="preserve">: Erfolg bei </w:t>
      </w:r>
      <w:r>
        <w:rPr>
          <w:rFonts w:ascii="Consolas" w:hAnsi="Consolas" w:cs="Consolas" w:eastAsia="Consolas"/>
          <w:sz w:val="18"/>
        </w:rPr>
        <w:t>201 Created</w:t>
      </w:r>
      <w:r>
        <w:t xml:space="preserve">, wenn die Antwort ein erfolgreiches Anlegen signalisiert (nicht als 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 mit „Fehlern“ werten).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Alle anderen Status (4xx/5xx, unerwartete Bodies) weiterhin als Partnerfehler mit Retry/FW027 behandeln.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Logging: Status, Content-Type und Kurzform des Body immer mitschreiben (Support).</w:t>
      </w:r>
    </w:p>
    <w:p>
      <w:pPr>
        <w:pStyle w:val="Heading2"/>
      </w:pPr>
      <w:r>
        <w:t>5.3 Warum Parameter statt Hardcode</w:t>
      </w:r>
    </w:p>
    <w:p>
      <w:pPr>
        <w:pStyle w:val="ListBullet"/>
      </w:pPr>
      <w:r>
        <w:t>Kundenlandschaft mischt On-Prem und Cloud.</w:t>
      </w:r>
    </w:p>
    <w:p>
      <w:pPr>
        <w:pStyle w:val="ListBullet"/>
      </w:pPr>
      <w:r>
        <w:t>Custom APIs in BC folgen OData-Konventionen (</w:t>
      </w:r>
      <w:r>
        <w:rPr>
          <w:rFonts w:ascii="Consolas" w:hAnsi="Consolas" w:cs="Consolas" w:eastAsia="Consolas"/>
          <w:sz w:val="18"/>
        </w:rPr>
        <w:t>201</w:t>
      </w:r>
      <w:r>
        <w:t xml:space="preserve"> bei Create).</w:t>
      </w:r>
    </w:p>
    <w:p>
      <w:pPr>
        <w:pStyle w:val="ListBullet"/>
      </w:pPr>
      <w:r>
        <w:t>Keine projektspezifischen SQL-Patches nötig.</w:t>
      </w:r>
    </w:p>
    <w:p>
      <w:pPr>
        <w:pStyle w:val="ListBullet"/>
      </w:pPr>
      <w:r>
        <w:t>Upgrade-fähig und dokumentierbar in Admin-Handbuch / Schnittstellenhandbuch.</w:t>
      </w:r>
    </w:p>
    <w:p>
      <w:pPr>
        <w:pStyle w:val="Heading2"/>
      </w:pPr>
      <w:r>
        <w:t>5.4 Abgrenzung</w:t>
      </w:r>
    </w:p>
    <w:p>
      <w:r>
        <w:t xml:space="preserve">Der Parameter ersetzt </w:t>
      </w:r>
      <w:r>
        <w:rPr>
          <w:b/>
        </w:rPr>
        <w:t>nicht</w:t>
      </w:r>
      <w:r>
        <w:t>:</w:t>
      </w:r>
    </w:p>
    <w:p>
      <w:pPr>
        <w:pStyle w:val="ListBullet"/>
      </w:pPr>
      <w:r>
        <w:t>fachliche Telegrammvalidierung,</w:t>
      </w:r>
    </w:p>
    <w:p>
      <w:pPr>
        <w:pStyle w:val="ListBullet"/>
      </w:pPr>
      <w:r>
        <w:t>OAuth-/URL-Konfiguration,</w:t>
      </w:r>
    </w:p>
    <w:p>
      <w:pPr>
        <w:pStyle w:val="ListBullet"/>
      </w:pPr>
      <w:r>
        <w:t>Fehlerbehandlung bei echten Ablehnungen (400/401/404 usw.).</w:t>
      </w:r>
    </w:p>
    <w:p>
      <w:r>
        <w:t xml:space="preserve">Er betrifft nur die </w:t>
      </w:r>
      <w:r>
        <w:rPr>
          <w:b/>
        </w:rPr>
        <w:t>Interpretation erfolgreicher HTTP-Antworten</w:t>
      </w:r>
      <w:r>
        <w:t xml:space="preserve"> des Systempartners.</w:t>
      </w:r>
    </w:p>
    <w:p>
      <w:pPr>
        <w:pStyle w:val="Heading1"/>
      </w:pPr>
      <w:r>
        <w:t>6 Praxisbeispiel Acumax AG</w:t>
      </w:r>
    </w:p>
    <w:p>
      <w:pPr>
        <w:pStyle w:val="Heading2"/>
      </w:pPr>
      <w:r>
        <w:t>6.1 Umfeld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51"/>
        <w:gridCol w:w="7473"/>
      </w:tblGrid>
      <w:tr>
        <w:trPr>
          <w:tblHeader w:val="true"/>
        </w:trPr>
        <w:tc>
          <w:tcPr>
            <w:tcW w:type="dxa" w:w="20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4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05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473"/>
          </w:tcPr>
          <w:p>
            <w:pPr>
              <w:spacing w:after="0" w:line="252" w:lineRule="auto"/>
            </w:pPr>
            <w:r>
              <w:rPr>
                <w:sz w:val="17"/>
              </w:rPr>
              <w:t>Acumax AG (Acu Max AG), CH-Zurzach</w:t>
            </w:r>
          </w:p>
        </w:tc>
      </w:tr>
      <w:tr>
        <w:tc>
          <w:tcPr>
            <w:tcW w:type="dxa" w:w="205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  <w:tc>
          <w:tcPr>
            <w:tcW w:type="dxa" w:w="74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Lift &amp; Store </w:t>
            </w:r>
            <w:r>
              <w:rPr>
                <w:b/>
                <w:sz w:val="17"/>
              </w:rPr>
              <w:t>2.7</w:t>
            </w:r>
          </w:p>
        </w:tc>
      </w:tr>
      <w:tr>
        <w:tc>
          <w:tcPr>
            <w:tcW w:type="dxa" w:w="2051"/>
          </w:tcPr>
          <w:p>
            <w:pPr>
              <w:spacing w:after="0" w:line="252" w:lineRule="auto"/>
            </w:pPr>
            <w:r>
              <w:rPr>
                <w:sz w:val="17"/>
              </w:rPr>
              <w:t>Host</w:t>
            </w:r>
          </w:p>
        </w:tc>
        <w:tc>
          <w:tcPr>
            <w:tcW w:type="dxa" w:w="7473"/>
          </w:tcPr>
          <w:p>
            <w:pPr>
              <w:spacing w:after="0" w:line="252" w:lineRule="auto"/>
            </w:pPr>
            <w:r>
              <w:rPr>
                <w:sz w:val="17"/>
              </w:rPr>
              <w:t>Microsoft Dynamics 365 Business Central (</w:t>
            </w:r>
            <w:r>
              <w:rPr>
                <w:b/>
                <w:sz w:val="17"/>
              </w:rPr>
              <w:t>Cloud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2051"/>
          </w:tcPr>
          <w:p>
            <w:pPr>
              <w:spacing w:after="0" w:line="252" w:lineRule="auto"/>
            </w:pPr>
            <w:r>
              <w:rPr>
                <w:sz w:val="17"/>
              </w:rPr>
              <w:t>Richtung</w:t>
            </w:r>
          </w:p>
        </w:tc>
        <w:tc>
          <w:tcPr>
            <w:tcW w:type="dxa" w:w="74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→ BC, Custom API </w:t>
            </w:r>
            <w:r>
              <w:rPr>
                <w:rFonts w:ascii="Consolas" w:hAnsi="Consolas" w:cs="Consolas" w:eastAsia="Consolas"/>
                <w:sz w:val="15"/>
              </w:rPr>
              <w:t>wamasInboundMessages</w:t>
            </w:r>
          </w:p>
        </w:tc>
      </w:tr>
      <w:tr>
        <w:tc>
          <w:tcPr>
            <w:tcW w:type="dxa" w:w="2051"/>
          </w:tcPr>
          <w:p>
            <w:pPr>
              <w:spacing w:after="0" w:line="252" w:lineRule="auto"/>
            </w:pPr>
            <w:r>
              <w:rPr>
                <w:sz w:val="17"/>
              </w:rPr>
              <w:t>Beispielfehler</w:t>
            </w:r>
          </w:p>
        </w:tc>
        <w:tc>
          <w:tcPr>
            <w:tcW w:type="dxa" w:w="74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OutSpm </w:t>
            </w:r>
            <w:r>
              <w:rPr>
                <w:b/>
                <w:sz w:val="17"/>
              </w:rPr>
              <w:t>1110</w:t>
            </w:r>
            <w:r>
              <w:rPr>
                <w:sz w:val="17"/>
              </w:rPr>
              <w:t>, 10.10.2026 16:06:40.663</w:t>
            </w:r>
          </w:p>
        </w:tc>
      </w:tr>
    </w:tbl>
    <w:p>
      <w:pPr>
        <w:spacing w:after="40"/>
      </w:pPr>
    </w:p>
    <w:p>
      <w:pPr>
        <w:pStyle w:val="Heading2"/>
      </w:pPr>
      <w:r>
        <w:t>6.2 Ablauf Ist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WAMAS sendet Partnernachricht 1110 per REST.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BC legt den Datensatz an und antwortet </w:t>
      </w:r>
      <w:r>
        <w:rPr>
          <w:rFonts w:ascii="Consolas" w:hAnsi="Consolas" w:cs="Consolas" w:eastAsia="Consolas"/>
          <w:sz w:val="18"/>
        </w:rPr>
        <w:t>201 Created</w:t>
      </w:r>
      <w:r>
        <w:t xml:space="preserve"> inkl. OData-Objekt.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WAMAS-Sender wertet die Antwort als Fehler (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 / unknown error).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FW027 zeigt Systempartnerfehler, obwohl BC die Nachricht hat.</w:t>
      </w:r>
    </w:p>
    <w:p>
      <w:pPr>
        <w:pStyle w:val="Heading2"/>
      </w:pPr>
      <w:r>
        <w:t>6.3 Ablauf Soll (nach Parameter)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Parameter z. B. </w:t>
      </w:r>
      <w:r>
        <w:rPr>
          <w:rFonts w:ascii="Consolas" w:hAnsi="Consolas" w:cs="Consolas" w:eastAsia="Consolas"/>
          <w:sz w:val="18"/>
        </w:rPr>
        <w:t>Dynamics Cloud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Dieselbe BC-Antwort </w:t>
      </w:r>
      <w:r>
        <w:rPr>
          <w:rFonts w:ascii="Consolas" w:hAnsi="Consolas" w:cs="Consolas" w:eastAsia="Consolas"/>
          <w:sz w:val="18"/>
        </w:rPr>
        <w:t>201</w:t>
      </w:r>
      <w:r>
        <w:t xml:space="preserve"> gilt als Erfolg.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OutSpm wird in WAMAS erledigt; kein FW027-Partnerfehler wegen Status/Body-Mismatch.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Echte Fehler (z. B. 404 CompanyNotFound wie früher bei 1109) bleiben Fehler.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REST-Projektdokumentation v1.1 Kap. 10.2 (1109) und 10.3 (1110)</w:t>
      </w:r>
    </w:p>
    <w:p>
      <w:pPr>
        <w:pStyle w:val="Heading1"/>
      </w:pPr>
      <w:r>
        <w:t>7 Stolperfallen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201</w:t>
      </w:r>
      <w:r>
        <w:t xml:space="preserve"> ist in REST oft „Create erfolgreich“, für den heutigen WAMAS-Sender aber nicht automatisch Erfolg.</w:t>
      </w:r>
    </w:p>
    <w:p>
      <w:pPr>
        <w:pStyle w:val="ListBullet"/>
      </w:pPr>
      <w:r>
        <w:t xml:space="preserve">Ein gefülltes </w:t>
      </w:r>
      <w:r>
        <w:rPr>
          <w:rFonts w:ascii="Consolas" w:hAnsi="Consolas" w:cs="Consolas" w:eastAsia="Consolas"/>
          <w:sz w:val="18"/>
        </w:rPr>
        <w:t>items</w:t>
      </w:r>
      <w:r>
        <w:t xml:space="preserve"> im OData-Erfolg darf nicht mit einer Fehlerliste </w:t>
      </w:r>
      <w:r>
        <w:rPr>
          <w:rFonts w:ascii="Consolas" w:hAnsi="Consolas" w:cs="Consolas" w:eastAsia="Consolas"/>
          <w:sz w:val="18"/>
        </w:rPr>
        <w:t>items</w:t>
      </w:r>
      <w:r>
        <w:t xml:space="preserve"> verwechselt werden.</w:t>
      </w:r>
    </w:p>
    <w:p>
      <w:pPr>
        <w:pStyle w:val="ListBullet"/>
      </w:pPr>
      <w:r>
        <w:t>Ohne Parameter drohen kundenspezifische SQL- oder Config-Tricks, die bei jedem Release brechen.</w:t>
      </w:r>
    </w:p>
    <w:p>
      <w:pPr>
        <w:pStyle w:val="ListBullet"/>
      </w:pPr>
      <w:r>
        <w:t>On-Prem und Cloud dürfen nicht stillschweigend gleichgesetzt werden.</w:t>
      </w:r>
    </w:p>
    <w:p>
      <w:pPr>
        <w:pStyle w:val="ListBullet"/>
      </w:pPr>
      <w:r>
        <w:t>Bis der Parameter existiert, bleibt der Acumax-Fall 1110 ein offener Blocker (Antwortvertrag).</w:t>
      </w:r>
    </w:p>
    <w:p>
      <w:pPr>
        <w:pStyle w:val="Heading1"/>
      </w:pPr>
      <w:r>
        <w:t>8 Offene Punkte für die Produktklärung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56"/>
        <w:gridCol w:w="6569"/>
        <w:gridCol w:w="2299"/>
      </w:tblGrid>
      <w:tr>
        <w:trPr>
          <w:tblHeader w:val="true"/>
        </w:trPr>
        <w:tc>
          <w:tcPr>
            <w:tcW w:type="dxa" w:w="6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5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22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Owner Vorschlag</w:t>
            </w:r>
          </w:p>
        </w:tc>
      </w:tr>
      <w:tr>
        <w:tc>
          <w:tcPr>
            <w:tcW w:type="dxa" w:w="65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Welche Erfolgscodes und Bodies akzeptiert der REST-Sender heute exakt (2.7 und 2.8)?</w:t>
            </w:r>
          </w:p>
        </w:tc>
        <w:tc>
          <w:tcPr>
            <w:tcW w:type="dxa" w:w="2299"/>
          </w:tcPr>
          <w:p>
            <w:pPr>
              <w:spacing w:after="0" w:line="252" w:lineRule="auto"/>
            </w:pPr>
            <w:r>
              <w:rPr>
                <w:sz w:val="17"/>
              </w:rPr>
              <w:t>Produkt DI-API</w:t>
            </w:r>
          </w:p>
        </w:tc>
      </w:tr>
      <w:tr>
        <w:tc>
          <w:tcPr>
            <w:tcW w:type="dxa" w:w="65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Reicht </w:t>
            </w:r>
            <w:r>
              <w:rPr>
                <w:rFonts w:ascii="Consolas" w:hAnsi="Consolas" w:cs="Consolas" w:eastAsia="Consolas"/>
                <w:sz w:val="15"/>
              </w:rPr>
              <w:t>201</w:t>
            </w:r>
            <w:r>
              <w:rPr>
                <w:sz w:val="17"/>
              </w:rPr>
              <w:t xml:space="preserve"> allein, oder muss zusätzlich Content-Type/Schema geprüft werden?</w:t>
            </w:r>
          </w:p>
        </w:tc>
        <w:tc>
          <w:tcPr>
            <w:tcW w:type="dxa" w:w="2299"/>
          </w:tcPr>
          <w:p>
            <w:pPr>
              <w:spacing w:after="0" w:line="252" w:lineRule="auto"/>
            </w:pPr>
            <w:r>
              <w:rPr>
                <w:sz w:val="17"/>
              </w:rPr>
              <w:t>Produkt DI-API</w:t>
            </w:r>
          </w:p>
        </w:tc>
      </w:tr>
      <w:tr>
        <w:tc>
          <w:tcPr>
            <w:tcW w:type="dxa" w:w="65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Parameter global oder je Systempartner?</w:t>
            </w:r>
          </w:p>
        </w:tc>
        <w:tc>
          <w:tcPr>
            <w:tcW w:type="dxa" w:w="2299"/>
          </w:tcPr>
          <w:p>
            <w:pPr>
              <w:spacing w:after="0" w:line="252" w:lineRule="auto"/>
            </w:pPr>
            <w:r>
              <w:rPr>
                <w:sz w:val="17"/>
              </w:rPr>
              <w:t>Produkt / Architektur</w:t>
            </w:r>
          </w:p>
        </w:tc>
      </w:tr>
      <w:tr>
        <w:tc>
          <w:tcPr>
            <w:tcW w:type="dxa" w:w="65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Backport auf 2.7 (Acumax) und/oder nur neuere Releases?</w:t>
            </w:r>
          </w:p>
        </w:tc>
        <w:tc>
          <w:tcPr>
            <w:tcW w:type="dxa" w:w="2299"/>
          </w:tcPr>
          <w:p>
            <w:pPr>
              <w:spacing w:after="0" w:line="252" w:lineRule="auto"/>
            </w:pPr>
            <w:r>
              <w:rPr>
                <w:sz w:val="17"/>
              </w:rPr>
              <w:t>Produktmanagement</w:t>
            </w:r>
          </w:p>
        </w:tc>
      </w:tr>
      <w:tr>
        <w:tc>
          <w:tcPr>
            <w:tcW w:type="dxa" w:w="65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Dokumentation in Administrator- und Interface-Manual</w:t>
            </w:r>
          </w:p>
        </w:tc>
        <w:tc>
          <w:tcPr>
            <w:tcW w:type="dxa" w:w="2299"/>
          </w:tcPr>
          <w:p>
            <w:pPr>
              <w:spacing w:after="0" w:line="252" w:lineRule="auto"/>
            </w:pPr>
            <w:r>
              <w:rPr>
                <w:sz w:val="17"/>
              </w:rPr>
              <w:t>Tech Writing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Bitte den fehlenden detaillierten Antwortblock aus dem WAMAS-Log zu Nachricht 1110 nachliefern, sobald verfügbar. Er beschleunigt die Implementierungsentscheidung, ändert aber nicht die Empfehlung eines konfigurierbaren Erfolgsprofils.</w:t>
            </w:r>
          </w:p>
        </w:tc>
      </w:tr>
    </w:tbl>
    <w:p>
      <w:pPr>
        <w:spacing w:after="40"/>
      </w:pPr>
    </w:p>
    <w:p>
      <w:pPr>
        <w:pStyle w:val="Heading1"/>
      </w:pPr>
      <w:r>
        <w:t>9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87"/>
        <w:gridCol w:w="7938"/>
      </w:tblGrid>
      <w:tr>
        <w:trPr>
          <w:tblHeader w:val="true"/>
        </w:trPr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9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REST v1.1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Acumax_WAMAS_BC_REST_Projektdokumentation_deDE_v1.1</w:t>
            </w:r>
            <w:r>
              <w:rPr>
                <w:sz w:val="17"/>
              </w:rPr>
              <w:t xml:space="preserve"> (Kap. 3.8, 10.3, Matrix K9)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Checkliste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/workspace/projekte/Akumax_AG/Checkliste.md</w:t>
            </w:r>
            <w:r>
              <w:rPr>
                <w:sz w:val="17"/>
              </w:rPr>
              <w:t xml:space="preserve"> – Fehler 1110 offen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FW027 / S1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Screenshot/Chat: Systempartnerfehler Nachricht 1110, 10.10.2026 16:06:40.663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Postman / S2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BC-Antwort </w:t>
            </w:r>
            <w:r>
              <w:rPr>
                <w:rFonts w:ascii="Consolas" w:hAnsi="Consolas" w:cs="Consolas" w:eastAsia="Consolas"/>
                <w:sz w:val="15"/>
              </w:rPr>
              <w:t>201 Created</w:t>
            </w:r>
            <w:r>
              <w:rPr>
                <w:sz w:val="17"/>
              </w:rPr>
              <w:t>, entryNo &gt; 0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TD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DI-/REST-Referenz: Erfolg </w:t>
            </w:r>
            <w:r>
              <w:rPr>
                <w:rFonts w:ascii="Consolas" w:hAnsi="Consolas" w:cs="Consolas" w:eastAsia="Consolas"/>
                <w:sz w:val="15"/>
              </w:rPr>
              <w:t>200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  <w:r>
              <w:rPr>
                <w:sz w:val="17"/>
              </w:rPr>
              <w:t xml:space="preserve"> als ErrorDtoList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Vorgabe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Mündliche / Chat-Anforderung Marek Sobona, 28.10.2026: Parameter On-Prem vs. Cloud, keine SQL-Workarounds</w:t>
            </w:r>
          </w:p>
        </w:tc>
      </w:tr>
    </w:tbl>
    <w:p>
      <w:pPr>
        <w:spacing w:after="40"/>
      </w:pPr>
    </w:p>
    <w:p>
      <w:r>
        <w:t>Tab. 1: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Intern</w:t>
          </w:r>
        </w:p>
        <w:p>
          <w:pPr>
            <w:spacing w:after="0" w:line="240" w:lineRule="auto"/>
          </w:pPr>
          <w:r>
            <w:rPr>
              <w:sz w:val="13"/>
            </w:rPr>
            <w:t>Lösungsvorschlag Produkt</w:t>
          </w:r>
        </w:p>
        <w:p>
          <w:pPr>
            <w:spacing w:after="0" w:line="240" w:lineRule="auto"/>
          </w:pPr>
          <w:r>
            <w:rPr>
              <w:sz w:val="13"/>
            </w:rPr>
            <w:t>v1.0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Problembeschreibung / Lösungsvorschlag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Problembeschreibung | HTTP 201 vs. 200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Problembeschreibung HTTP 201 vs. 200 bei Systempartnernachrichten</dc:title>
  <dc:subject>Empfehlung an die Produktentwicklung – globaler Parameter für Dynamics On-Prem und Cloud</dc:subject>
  <dc:creator>Marek Sobona (Projekt Acumax AG)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