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WAMAS Versand an Business Central</w:t>
      </w:r>
    </w:p>
    <w:p>
      <w:pPr>
        <w:pStyle w:val="Subtitle"/>
      </w:pPr>
      <w:r>
        <w:t>Prüfauftrag für den Integrationspartner zu Nachricht 1109</w:t>
      </w:r>
    </w:p>
    <w:p>
      <w:r>
        <w:t>AcuMax Med AG · 10. Oktober 2026</w:t>
      </w:r>
    </w:p>
    <w:p>
      <w:pPr>
        <w:pStyle w:val="Heading2"/>
      </w:pPr>
      <w:r>
        <w:t>Anlass und gewünschtes Ergebnis</w:t>
      </w:r>
    </w:p>
    <w:p>
      <w:r>
        <w:t>Bitte prüfen und korrigieren Sie gemeinsam mit dem WAMAS-Verantwortlichen den Firmenkontext der Empfangsschnittstelle. Beim Versand von OutSpm(1109) am 10.10.2026 um 15:34:51.877 und erneut um 15:35:21.686 protokolliert WAMAS HTTP 404 mit dem Fehlercode Internal_CompanyNotFound. Die Antwort meldet, dass die Standardfirma nicht gefunden werden kann. [L3, Zeilen 1025843–1025869]</w:t>
      </w:r>
    </w:p>
    <w:p>
      <w:r>
        <w:t>Ziel ist ein nachweislich erfolgreicher Versand an die fachlich vorgesehene Firma AcuMax Med AG: korrekte Zuordnung in Business Central, Verarbeitung des echten WAMAS-Requests und eine von WAMAS akzeptierte Antwort. Bitte bestätigen Sie die tatsächlich gültige Ziel-URL und Company-ID vor dem gemeinsamen Retest.</w:t>
      </w:r>
    </w:p>
    <w:p>
      <w:pPr>
        <w:pStyle w:val="Heading2"/>
      </w:pPr>
      <w:r>
        <w:t>Gesicherter Befund und offene Ursache</w:t>
      </w:r>
    </w:p>
    <w:p>
      <w:r>
        <w:t>Gesichert ist der wiederholte Fehler im Firmenkontext. Nicht bewiesen ist, ob der company-Parameter fehlt, beim URL-Aufbau verloren geht, ungültig ist oder ob die angesprochene Umgebung keine passende Standardfirma bereitstellt. Ebenso wenig belegt der 404-Fehler, dass Payload, Schreibberechtigungen oder ACK bereits korrekt sind.</w:t>
      </w:r>
    </w:p>
    <w:p>
      <w:r>
        <w:t>Der im vorherigen Gespräch erwähnte Postman-Fehler Internal_RecordNotFound mit Entry No.=0 ist kein Nachweis für diese beiden WAMAS-Versuche. Hier lautet der protokollierte Fehler ausdrücklich Internal_CompanyNotFound.</w:t>
      </w:r>
    </w:p>
    <w:p>
      <w:pPr>
        <w:pStyle w:val="Heading2"/>
      </w:pPr>
      <w:r>
        <w:t>Quellen und Leseregeln</w:t>
      </w:r>
    </w:p>
    <w:p>
      <w:r>
        <w:t>L1  ServerApplication_WAMAS_AllInOne_srv01acumbadz(1).log</w:t>
        <w:br/>
        <w:t>392869 Zeilen; SHA-256: a97709384ab393d6cf1d9edee3f0b223f182de7cd63b5b015d2ffcf8cfe0cfcb</w:t>
      </w:r>
    </w:p>
    <w:p>
      <w:r>
        <w:t>L2  ServerApplication_WAMAS_AllInOne_srv01acumbadz.log</w:t>
        <w:br/>
        <w:t>392869 Zeilen; SHA-256: a97709384ab393d6cf1d9edee3f0b223f182de7cd63b5b015d2ffcf8cfe0cfcb</w:t>
      </w:r>
    </w:p>
    <w:p>
      <w:r>
        <w:t>L3  ServerApplication_WAMAS_AllInOne_DI_SRV01ACUMBADZ (1)(1).log</w:t>
        <w:br/>
        <w:t>1025917 Zeilen; SHA-256: 78018c71491b62a5cbdf505e3923afade7e7b7ffa3f6f6b5551ce20a8e377e84</w:t>
      </w:r>
    </w:p>
    <w:p>
      <w:r>
        <w:t>L1 und L2 sind byteidentisch und zählen deshalb nicht als zwei unabhängige Nachweise. Die konkreten Versandfehler stehen in L3. Zeilenangaben zählen ab 1, einschliesslich Stacktrace-Zeilen. Alle Uhrzeiten sind unverändert aus den Logs übernommen; diese enthalten keinen Zeitzonenoffset. Für den Abgleich mit BC-Telemetrie ist die Serverzeitzone zu bestätigen.</w:t>
      </w:r>
    </w:p>
    <w:p>
      <w:r>
        <w:br w:type="page"/>
      </w:r>
    </w:p>
    <w:p>
      <w:pPr>
        <w:pStyle w:val="Heading1"/>
      </w:pPr>
      <w:r>
        <w:t>1 Konkrete Versandnachweise</w:t>
      </w:r>
    </w:p>
    <w:p>
      <w:r>
        <w:t>Die folgenden Auszüge stammen direkt aus L3. Lange Zeilen sind nur durch das Seitenlayout umgebrochen; die vollständigen Stacktraces zwischen Fehler und Folgemeldung werden nicht wiedergegeben.</w:t>
      </w:r>
    </w:p>
    <w:p>
      <w:pPr>
        <w:pStyle w:val="Heading2"/>
      </w:pPr>
      <w:r>
        <w:t>Erster Versuch am 10 Oktober 2026</w:t>
      </w:r>
    </w:p>
    <w:p>
      <w:pPr>
        <w:spacing w:after="120"/>
      </w:pPr>
      <w:r>
        <w:rPr>
          <w:rFonts w:ascii="Consolas" w:hAnsi="Consolas"/>
          <w:sz w:val="17"/>
        </w:rPr>
        <w:t>L3 Zeile 1025843</w:t>
        <w:br/>
        <w:t>2026-10-10-15:34:51.877 | ERROR |                  RSSenderWorkerTask-HOST |        | Error occurred while sending system partner message OutSpm(1109).                | com.wamas.wms.core.di.server.sender.rs.RSSenderHelper</w:t>
      </w:r>
    </w:p>
    <w:p>
      <w:pPr>
        <w:spacing w:after="120"/>
      </w:pPr>
      <w:r>
        <w:rPr>
          <w:rFonts w:ascii="Consolas" w:hAnsi="Consolas"/>
          <w:sz w:val="17"/>
        </w:rPr>
        <w:t>L3 Zeile 1025844</w:t>
        <w:br/>
        <w:t>javax.ws.rs.NotFoundException: HTTP 404 {"error":{"code":"Internal_CompanyNotFound","message":"Cannot process the request because the default company cannot be found. You can specify a default company in the service configuration file, or specify one for each tenant, or you can add a query string in the form of \"company=[name]\". You can see the available companies by accessing the default OData web service, Company. For more information, see \"OData Web Services\" in Help.  CorrelationId:  ed6197f1-dc70-4779-a199-4c8333c7005a."}}</w:t>
      </w:r>
    </w:p>
    <w:p>
      <w:pPr>
        <w:spacing w:after="120"/>
      </w:pPr>
      <w:r>
        <w:rPr>
          <w:rFonts w:ascii="Consolas" w:hAnsi="Consolas"/>
          <w:sz w:val="17"/>
        </w:rPr>
        <w:t>L3 Zeile 1025867</w:t>
        <w:br/>
        <w:t>2026-10-10-15:34:51.885 | WARN  |                  RSSenderWorkerTask-HOST |        | Stopped processing other outSpms because of send error on the batch of 1 outSpms | com.wamas.wms.core.di.server.sender.rs.RSSenderWorkerTask</w:t>
      </w:r>
    </w:p>
    <w:p>
      <w:pPr>
        <w:pStyle w:val="Heading2"/>
      </w:pPr>
      <w:r>
        <w:t>Erneuter Versuch am 10 Oktober 2026</w:t>
      </w:r>
    </w:p>
    <w:p>
      <w:pPr>
        <w:spacing w:after="120"/>
      </w:pPr>
      <w:r>
        <w:rPr>
          <w:rFonts w:ascii="Consolas" w:hAnsi="Consolas"/>
          <w:sz w:val="17"/>
        </w:rPr>
        <w:t>L3 Zeile 1025868</w:t>
        <w:br/>
        <w:t>2026-10-10-15:35:21.686 | ERROR |                  RSSenderWorkerTask-HOST |        | Error occurred while sending system partner message OutSpm(1109).                | com.wamas.wms.core.di.server.sender.rs.RSSenderHelper</w:t>
      </w:r>
    </w:p>
    <w:p>
      <w:pPr>
        <w:spacing w:after="120"/>
      </w:pPr>
      <w:r>
        <w:rPr>
          <w:rFonts w:ascii="Consolas" w:hAnsi="Consolas"/>
          <w:sz w:val="17"/>
        </w:rPr>
        <w:t>L3 Zeile 1025869</w:t>
        <w:br/>
        <w:t>javax.ws.rs.NotFoundException: HTTP 404 {"error":{"code":"Internal_CompanyNotFound","message":"Cannot process the request because the default company cannot be found. You can specify a default company in the service configuration file, or specify one for each tenant, or you can add a query string in the form of \"company=[name]\". You can see the available companies by accessing the default OData web service, Company. For more information, see \"OData Web Services\" in Help.  CorrelationId:  60ccba1a-9e62-47c6-acbf-beea3a4090ea."}}</w:t>
      </w:r>
    </w:p>
    <w:p>
      <w:pPr>
        <w:spacing w:after="120"/>
      </w:pPr>
      <w:r>
        <w:rPr>
          <w:rFonts w:ascii="Consolas" w:hAnsi="Consolas"/>
          <w:sz w:val="17"/>
        </w:rPr>
        <w:t>L3 Zeile 1025892</w:t>
        <w:br/>
        <w:t>2026-10-10-15:35:21.694 | WARN  |                  RSSenderWorkerTask-HOST |        | Stopped processing other outSpms because of send error on the batch of 1 outSpms | com.wamas.wms.core.di.server.sender.rs.RSSenderWorkerTask</w:t>
      </w:r>
    </w:p>
    <w:p>
      <w:pPr>
        <w:pStyle w:val="Heading2"/>
      </w:pPr>
      <w:r>
        <w:t>Technischer Zusammenhang</w:t>
      </w:r>
    </w:p>
    <w:p>
      <w:r>
        <w:t>Beide Einträge gehören zum Thread RSSenderWorkerTask-HOST und zum Logger com.wamas.wms.core.di.server.sender.rs.RSSenderHelper. Der Stacktrace enthält insertMessages sowie RSSenderHelperImpl.sendOutSpms (L3, 1025859–1025860 und 1025884–1025885). Das belegt den REST-Sendepfad, aber weder die vollständige HTTP-Request-URL noch den Request-Body.</w:t>
      </w:r>
    </w:p>
    <w:p>
      <w:r>
        <w:t>Die Versuche liegen 29.809 Sekunden auseinander. Das ist mit einer Wiederholung vereinbar; eine feste Retry-Konfiguration ist damit nicht bewiesen. WAMAS stoppt jeweils die Verarbeitung weiterer outSpms wegen eines Sendefehlers im Batch mit einer Nachricht. Ein weiterer gleicher Fehler folgt um 15:35:51.572 (L3, 1025893–1025894; CorrelationId cbd92964-dede-4fd8-948b-5f910f568f9c).</w:t>
      </w:r>
    </w:p>
    <w:p>
      <w:r>
        <w:br w:type="page"/>
      </w:r>
    </w:p>
    <w:p>
      <w:pPr>
        <w:pStyle w:val="Heading1"/>
      </w:pPr>
      <w:r>
        <w:t>2 Frühere HTTP und DNS Fehler</w:t>
      </w:r>
    </w:p>
    <w:p>
      <w:r>
        <w:t>Die folgenden historischen Fehler betreffen frühere Zeitpunkte und andere Nachrichten. Sie sind Prüfansätze für die Integration, kein Beleg dafür, dass diese Ursachen beim Versand von 1109 am 10.10.2026 erneut vorlagen. Angegeben ist jeweils ein konkreter Fund mit unverändertem Fehlertext.</w:t>
      </w:r>
    </w:p>
    <w:p>
      <w:pPr>
        <w:pStyle w:val="Heading2"/>
      </w:pPr>
      <w:r>
        <w:t>HTTP 411 beim Tokenabruf am 7 August</w:t>
      </w:r>
    </w:p>
    <w:p>
      <w:pPr>
        <w:spacing w:after="120"/>
      </w:pPr>
      <w:r>
        <w:rPr>
          <w:rFonts w:ascii="Consolas" w:hAnsi="Consolas"/>
          <w:sz w:val="17"/>
        </w:rPr>
        <w:t>L3 Zeile 91026</w:t>
        <w:br/>
        <w:t>2026-08-07-17:23:11.334 | WARN  |                  RSSenderWorkerTask-HOST |        | Unable to get Token for provided credentials: java.io.IOException: Server returned HTTP response code: 411 for URL: https://login.microsoftonline.com/ab9cc3ad-19f4-488d-b606-bd5b9bb396fc/oauth2/v2.0/token | com.wamas.platform.rest.impl.RSConsumerServiceImpl</w:t>
      </w:r>
    </w:p>
    <w:p>
      <w:pPr>
        <w:spacing w:after="120"/>
      </w:pPr>
      <w:r>
        <w:rPr>
          <w:rFonts w:ascii="Consolas" w:hAnsi="Consolas"/>
          <w:sz w:val="17"/>
        </w:rPr>
        <w:t>L3 Zeile 91027</w:t>
        <w:br/>
        <w:t>2026-08-07-17:23:11.336 | ERROR |                  RSSenderWorkerTask-HOST |        | Error occurred while sending system partner message OutSpm(101).                 | com.wamas.wms.core.di.server.sender.rs.RSSenderHelper</w:t>
      </w:r>
    </w:p>
    <w:p>
      <w:pPr>
        <w:spacing w:after="120"/>
      </w:pPr>
      <w:r>
        <w:rPr>
          <w:rFonts w:ascii="Consolas" w:hAnsi="Consolas"/>
          <w:sz w:val="17"/>
        </w:rPr>
        <w:t>L3 Zeile 91028</w:t>
        <w:br/>
        <w:t>javax.ws.rs.NotAuthorizedException: HTTP 401 Unauthorized</w:t>
      </w:r>
    </w:p>
    <w:p>
      <w:r>
        <w:t>Einordnung: Der 411 betrifft den Token-Endpunkt, nicht eine nachgewiesene BC-Fachverarbeitung. Request-Länge, Übertragungsart und ein möglicher Proxy sind zu prüfen; die konkrete Ursache ist nicht protokolliert. Der unmittelbar folgende Versandfehler betrifft OutSpm(101).</w:t>
      </w:r>
    </w:p>
    <w:p>
      <w:pPr>
        <w:pStyle w:val="Heading2"/>
      </w:pPr>
      <w:r>
        <w:t>HTTP 400 bei Streamverarbeitung am 11 September</w:t>
      </w:r>
    </w:p>
    <w:p>
      <w:r>
        <w:t>11.09.2026 09:29:41.601 · OutSpm(702) · L3, Zeilen 376389–376390</w:t>
      </w:r>
    </w:p>
    <w:p>
      <w:pPr>
        <w:spacing w:after="120"/>
      </w:pPr>
      <w:r>
        <w:rPr>
          <w:rFonts w:ascii="Consolas" w:hAnsi="Consolas"/>
          <w:sz w:val="17"/>
        </w:rPr>
        <w:t>javax.ws.rs.BadRequestException: HTTP 400 {"error":{"code":"BadRequest","message":"Read called with an open stream or textreader. Please close any open streams or text readers before calling Read.  CorrelationId:  7e64da42-31ce-4314-84f3-643d8efd4576."}}</w:t>
      </w:r>
    </w:p>
    <w:p>
      <w:r>
        <w:t>Prüfhypothese: Stream-/TextReader-Verarbeitung im Empfänger untersuchen. Aus der Antwort lässt sich die verursachende Codezeile nicht bestimmen.</w:t>
      </w:r>
    </w:p>
    <w:p>
      <w:pPr>
        <w:pStyle w:val="Heading2"/>
      </w:pPr>
      <w:r>
        <w:t>HTTP 400 wegen JSON Datentyp am 16 September</w:t>
      </w:r>
    </w:p>
    <w:p>
      <w:r>
        <w:t>16.09.2026 17:25:16.347 · OutSpm(1003) · L3, Zeilen 540332–540333</w:t>
      </w:r>
    </w:p>
    <w:p>
      <w:pPr>
        <w:spacing w:after="120"/>
      </w:pPr>
      <w:r>
        <w:rPr>
          <w:rFonts w:ascii="Consolas" w:hAnsi="Consolas"/>
          <w:sz w:val="17"/>
        </w:rPr>
        <w:t>javax.ws.rs.BadRequestException: HTTP 400 {"error":{"code":"BadRequest","message":"An unexpected 'StartArray' node was found when reading from the JSON reader. A 'PrimitiveValue' node was expected.  CorrelationId:  598ba259-9122-42c0-8d0d-c68ff28752d1."}}</w:t>
      </w:r>
    </w:p>
    <w:p>
      <w:r>
        <w:t>Prüfhypothese: Array und primitiver Feldtyp passen an einer Stelle nicht zusammen. Welches Feld betroffen ist, nennt die Meldung nicht.</w:t>
      </w:r>
    </w:p>
    <w:p>
      <w:pPr>
        <w:pStyle w:val="Heading2"/>
      </w:pPr>
      <w:r>
        <w:t>HTTP 400 wegen unbekanntem Feld am 21 September</w:t>
      </w:r>
    </w:p>
    <w:p>
      <w:r>
        <w:t>21.09.2026 15:05:57.194 · OutSpm(1003) · L3, Zeilen 893408–893409</w:t>
      </w:r>
    </w:p>
    <w:p>
      <w:pPr>
        <w:spacing w:after="120"/>
      </w:pPr>
      <w:r>
        <w:rPr>
          <w:rFonts w:ascii="Consolas" w:hAnsi="Consolas"/>
          <w:sz w:val="17"/>
        </w:rPr>
        <w:t>javax.ws.rs.BadRequestException: HTTP 400 {"error":{"code":"BadRequest","message":"The property 'items' does not exist on type 'Microsoft.NAV.wamasInboundMessage'. Make sure to only use property names that are defined by the type.  CorrelationId:  7ade9c1b-163f-4bfb-8c93-84097a328110."}}</w:t>
      </w:r>
    </w:p>
    <w:p>
      <w:r>
        <w:t>Prüfhypothese: Das damalige Empfangsschema akzeptiert items an dieser Stelle nicht. Die aktuelle API-Version und ihr Schema müssen neu geprüft werden; eine spätere Korrektur ist damit weder bestätigt noch ausgeschlossen.</w:t>
      </w:r>
    </w:p>
    <w:p>
      <w:r>
        <w:br w:type="page"/>
      </w:r>
    </w:p>
    <w:p>
      <w:pPr>
        <w:pStyle w:val="Heading1"/>
      </w:pPr>
      <w:r>
        <w:t>3 DNS Befunde und protokollierte Adressen</w:t>
      </w:r>
    </w:p>
    <w:p>
      <w:pPr>
        <w:pStyle w:val="Heading2"/>
      </w:pPr>
      <w:r>
        <w:t>DNS Fehler am 19 September</w:t>
      </w:r>
    </w:p>
    <w:p>
      <w:r>
        <w:t>19.09.2026 04:49:03.040 · OutSpm(1003) · L3, Zeilen 718507–718508. Derselbe Fehler tritt um 19:30:55.321 erneut auf (762604–762605).</w:t>
      </w:r>
    </w:p>
    <w:p>
      <w:pPr>
        <w:spacing w:after="120"/>
      </w:pPr>
      <w:r>
        <w:rPr>
          <w:rFonts w:ascii="Consolas" w:hAnsi="Consolas"/>
          <w:sz w:val="17"/>
        </w:rPr>
        <w:t>javax.ws.rs.ProcessingException: java.net.UnknownHostException: api.businesscentral.dynamics.com</w:t>
      </w:r>
    </w:p>
    <w:p>
      <w:r>
        <w:t>19.09.2026 19:30:55.334 · Tokenabruf · L3, Zeile 762651</w:t>
      </w:r>
    </w:p>
    <w:p>
      <w:pPr>
        <w:spacing w:after="120"/>
      </w:pPr>
      <w:r>
        <w:rPr>
          <w:rFonts w:ascii="Consolas" w:hAnsi="Consolas"/>
          <w:sz w:val="17"/>
        </w:rPr>
        <w:t xml:space="preserve">2026-09-19-19:30:55.334 | WARN  |                  RSSenderWorkerTask-HOST |        | Unable to get Token for provided credentials: java.net.UnknownHostException: login.microsoftonline.com | com.wamas.platform.rest.impl.RSConsumerServiceImpl  </w:t>
      </w:r>
    </w:p>
    <w:p>
      <w:r>
        <w:t>Wiederholung um 19:31:23.290 (L3, 762677); anschliessend jeweils OutSpm(1003) und HTTP 401 Unauthorized (762652–762653 bzw. 762678–762679). Dies belegt damalige Namensauflösungsprobleme. Falsche Zugangsdaten sind daraus nicht ableitbar. DNS und Proxy sind bei Wiederauftreten vom WAMAS-Server aus zu prüfen.</w:t>
      </w:r>
    </w:p>
    <w:p>
      <w:pPr>
        <w:pStyle w:val="Heading2"/>
      </w:pPr>
      <w:r>
        <w:t>Vollständige externe URL im Log</w:t>
      </w:r>
    </w:p>
    <w:p>
      <w:r>
        <w:t>L3, Zeile 91026, enthält beim HTTP-411-Fehler exakt folgenden Token-Endpunkt:</w:t>
      </w:r>
    </w:p>
    <w:p>
      <w:pPr>
        <w:spacing w:after="120"/>
      </w:pPr>
      <w:r>
        <w:rPr>
          <w:rFonts w:ascii="Consolas" w:hAnsi="Consolas"/>
          <w:sz w:val="17"/>
        </w:rPr>
        <w:t>https://login.microsoftonline.com/ab9cc3ad-19f4-488d-b606-bd5b9bb396fc/oauth2/v2.0/token</w:t>
      </w:r>
    </w:p>
    <w:p>
      <w:r>
        <w:t>Das ist eine historische Token-URL. Sie beweist nicht, dass am 10.10.2026 unverändert dieselbe Konfiguration verwendet wurde.</w:t>
      </w:r>
    </w:p>
    <w:p>
      <w:pPr>
        <w:pStyle w:val="Heading2"/>
      </w:pPr>
      <w:r>
        <w:t>BC Zielhost und Grenzen des Nachweises</w:t>
      </w:r>
    </w:p>
    <w:p>
      <w:r>
        <w:t>api.businesscentral.dynamics.com steht in den DNS-Exceptions. Eine vollständige BC-Empfangs-URL mit Tenant, Environment, API-Route und company-Parameter ist in den drei Dateien nicht protokolliert. Insbesondere enthalten die Fehlerblöcke zu 1109 weder die Queryzeichenfolge noch einen Request-Body. Der Text company=[name] stammt aus der Fehlermeldung und ist kein aufgezeichneter Requestparameter.</w:t>
      </w:r>
    </w:p>
    <w:p>
      <w:r>
        <w:t>Interne URLs wie https://srv01acumbadz:30041/HOST sind dagegen als veröffentlichte WAMAS-Dienste verzeichnet (L1 und L2, Zeile 5163, 11.09.2026 09:29:10.043). Sie sind keine BC-Zieladresse.</w:t>
      </w:r>
    </w:p>
    <w:p>
      <w:pPr>
        <w:pStyle w:val="Heading2"/>
      </w:pPr>
      <w:r>
        <w:t>Vor dem Retest verbindlich festhalten</w:t>
      </w:r>
    </w:p>
    <w:p>
      <w:r>
        <w:t>Bitte liefern Sie die vollständige aktuelle Empfangs-URL aus der tatsächlichen Senderkonfiguration und bestätigen Sie Tenant, Umgebung, API-Publisher, API-Gruppe, API-Version, EntitySet sowie Company-ID. Die tatsächliche ausgehende URL muss beim Test zusätzlich ohne Authorization-Header aufgezeichnet werden. Frühere Chatangaben sind dafür kein Ersatz.</w:t>
      </w:r>
    </w:p>
    <w:p>
      <w:r>
        <w:br w:type="page"/>
      </w:r>
    </w:p>
    <w:p>
      <w:pPr>
        <w:pStyle w:val="Heading1"/>
      </w:pPr>
      <w:r>
        <w:t>4 Prüfungen in Business Central und WAMAS</w:t>
      </w:r>
    </w:p>
    <w:p>
      <w:pPr>
        <w:pStyle w:val="Heading2"/>
      </w:pPr>
      <w:r>
        <w:t>Firma und Firmenkontext</w:t>
      </w:r>
    </w:p>
    <w:p>
      <w:r>
        <w:t>BC-Partner: Prüfen Sie, ob AcuMax Med AG in genau dem adressierten Tenant und Environment existiert. Bestätigen Sie den technischen Firmennamen und die Company-ID; Anzeigename und technischer Name können auseinanderfallen. Prüfen Sie den Zugriff mit derselben Anwendungsidentität, die WAMAS nutzt.</w:t>
      </w:r>
    </w:p>
    <w:p>
      <w:r>
        <w:t>Vereinbaren Sie einen expliziten Firmenkontext. Microsoft dokumentiert für APIs entweder ?company=&lt;companyGuid&gt; oder den Pfad companies(&lt;companyGuid&gt;). [M1] Falls stattdessen eine Standardfirma verwendet werden soll, muss deren Auflösung für diesen konkreten Aufruf nachgewiesen werden. Der allgemeine Hinweis auf eine service configuration file im Fehlertext beweist weder eine verfügbare Einstellung im eingesetzten Hostingmodell noch eine notwendige Serveränderung. Eine persönliche Standardfirma im BC-Webclient ist kein Nachweis für die App-Sitzung.</w:t>
      </w:r>
    </w:p>
    <w:p>
      <w:pPr>
        <w:pStyle w:val="Heading2"/>
      </w:pPr>
      <w:r>
        <w:t>API Route und Bereitstellung</w:t>
      </w:r>
    </w:p>
    <w:p>
      <w:r>
        <w:t>BC-Partner: Bestätigen Sie die installierte Erweiterung, die vorgesehene API-Version und den POST-fähigen Empfangsendpunkt. Vergleichen Sie Publisher, Group, Version und EntitySet mit den API-Metadaten. [M1] Ein Company-Fehler bestätigt die fachliche Route und ihre Schreibfähigkeit noch nicht. Ein GET allein ersetzt keinen POST-Test.</w:t>
      </w:r>
    </w:p>
    <w:p>
      <w:pPr>
        <w:pStyle w:val="Heading2"/>
      </w:pPr>
      <w:r>
        <w:t>Authentifizierung und Berechtigungen</w:t>
      </w:r>
    </w:p>
    <w:p>
      <w:r>
        <w:t>BC-/Entra-Verantwortliche: Prüfen Sie für einen Client-Credentials-Aufruf die App-Registrierung, den richtigen Tenant, ein gültiges Credential, die BC-Anwendungsberechtigung API.ReadWrite.All mit Adminzustimmung und die aktivierte Anwendung in BC. Weisen Sie passende, auf die Integration begrenzte Permission Sets und den erforderlichen Firmenzugriff zu. Ein Token allein bestätigt keine Schreibrechte. [M2]</w:t>
      </w:r>
    </w:p>
    <w:p>
      <w:r>
        <w:t>WAMAS-Verantwortlicher: Prüfen Sie Tokenabruf, Ablauf und Erneuerung sowie den Bearer-Header am Fachrequest. Token, Secret und Passwort gehören nicht in das gemeinsame Testprotokoll. Der aktuelle 404 ist kein Nachweis einer vollständigen Berechtigungsprüfung.</w:t>
      </w:r>
    </w:p>
    <w:p>
      <w:pPr>
        <w:pStyle w:val="Heading2"/>
      </w:pPr>
      <w:r>
        <w:t>Company Queryparameter im WAMAS Sender</w:t>
      </w:r>
    </w:p>
    <w:p>
      <w:r>
        <w:t>Vergleichen Sie gespeicherte Ziel-URL und tatsächlich versendete URL. Prüfen Sie, ob der REST-Sender beim Anhängen des Ressourcenpfads die Query übernimmt, ob ? bzw. &amp; korrekt verwendet wird und ob company genau einmal vorhanden ist. Bevorzugen Sie eine vom BC-Partner bestätigte GUID, sofern die konkrete Route diese Form unterstützt. [M1]</w:t>
      </w:r>
    </w:p>
    <w:p>
      <w:r>
        <w:t>Falls der Partner ausdrücklich einen Namen verlangt, ist company=AcuMax%20Med%20AG ein zu prüfendes Beispiel für URL-Kodierung, keine belegte aktuelle Einstellung. Nicht doppelt kodieren; company darf nicht versehentlich Teil des Pfads werden. Ein alleiniger Wechsel einer sichtbaren Eingabemaske genügt nicht als Nachweis.</w:t>
      </w:r>
    </w:p>
    <w:p>
      <w:r>
        <w:br w:type="page"/>
      </w:r>
    </w:p>
    <w:p>
      <w:pPr>
        <w:pStyle w:val="Heading1"/>
      </w:pPr>
      <w:r>
        <w:t>5 POST Payload und Antwortvertrag</w:t>
      </w:r>
    </w:p>
    <w:p>
      <w:pPr>
        <w:pStyle w:val="Heading2"/>
      </w:pPr>
      <w:r>
        <w:t>Echten Request prüfen</w:t>
      </w:r>
    </w:p>
    <w:p>
      <w:r>
        <w:t>Der vollständige Body von Nachricht 1109 ist in den untersuchten Fehlerblöcken nicht enthalten. Auch das HTTP-Verb wird dort nicht als Requestzeile ausgegeben. Für den gewünschten POST-Test muss deshalb der tatsächlich erzeugte WAMAS-Request kontrolliert erfasst werden; ein aus der Nachrichten-ID erfundener Body wäre kein belastbarer Test.</w:t>
      </w:r>
    </w:p>
    <w:p>
      <w:r>
        <w:t>Gemeinsam zu prüfen sind Content-Type, Zeichencodierung, die äussere JSON-Struktur und alle Feldtypen. Die früheren 400-Meldungen geben konkrete Prüfpunkte vor: items, Array gegenüber PrimitiveValue sowie offene Streams/TextReader. Bei einem tatsächlichen Envelope mit items, id, converter, data und processingPath müssen diese Felder inklusive der Frage, ob data ein JSON-String oder ein Objekt ist, mit dem aktuellen Schnittstellenvertrag abgeglichen werden. Diese Struktur ist für 1109 durch die vorliegenden Logzeilen nicht bewiesen.</w:t>
      </w:r>
    </w:p>
    <w:p>
      <w:r>
        <w:t>Falls die BC-Implementierung Parent- und Child-Datensätze benötigt, muss der Partner festlegen, wie sie mit dem vereinbarten Request angelegt und verknüpft werden. Ein Parent-Fehler oder eine notwendige Deep-Insert-Änderung lässt sich aus Internal_CompanyNotFound nicht ableiten.</w:t>
      </w:r>
    </w:p>
    <w:p>
      <w:pPr>
        <w:pStyle w:val="Heading2"/>
      </w:pPr>
      <w:r>
        <w:t>HTTP Antwort und ACK vereinbaren</w:t>
      </w:r>
    </w:p>
    <w:p>
      <w:r>
        <w:t>Bitte legen Sie den erwarteten Erfolgsstatus, Content-Type und Response-Body sowie die Behandlung einzelner fehlerhafter Nachrichten schriftlich fest. Ein HTTP-2xx-Status allein ist keine End-to-End-Abnahme: WAMAS muss die Antwort erfolgreich interpretieren und die Nachricht entsprechend verbuchen.</w:t>
      </w:r>
    </w:p>
    <w:p>
      <w:r>
        <w:t>Ein Antwortbeispiel wie {"items":[]} darf erst nach Bestätigung durch die passende WAMAS-Spezifikation bzw. den Sendervertrag als Sollantwort verwendet werden. Es ist keine aus diesen Logs bewiesene ACK-Vorgabe. Ebenso ist ein leeres 204 oder ein BC-Standardobjekt nicht ungeprüft als kompatibel anzunehmen.</w:t>
      </w:r>
    </w:p>
    <w:p>
      <w:r>
        <w:t>Technische Empfangsbestätigung und fachliche Verarbeitung sind getrennt zu bestätigen. Falls ein zusätzliches fachliches ACK-Telegramm vorgesehen ist, sind dessen Typ, Zuordnung, Rückkanal und Zeitpunkt vor dem Test festzulegen. Ein solches Telegramm ist für die fehlgeschlagenen Versuche nicht nachgewiesen.</w:t>
      </w:r>
    </w:p>
    <w:p>
      <w:pPr>
        <w:pStyle w:val="Heading2"/>
      </w:pPr>
      <w:r>
        <w:t>Wiederholungen sicher verarbeiten</w:t>
      </w:r>
    </w:p>
    <w:p>
      <w:r>
        <w:t>Da derselbe OutSpm mehrfach gesendet wird, ist die Behandlung von Wiederholungen Teil des Tests. Vereinbaren Sie einen eindeutigen Nachrichtenschlüssel und zeigen Sie, dass ein Wiederholungsversuch keine doppelte fachliche Buchung erzeugt. Bei einem Fehler muss der Zustand für WAMAS nachvollziehbar bleiben.</w:t>
      </w:r>
    </w:p>
    <w:p>
      <w:pPr>
        <w:pStyle w:val="Heading2"/>
      </w:pPr>
      <w:r>
        <w:t>Rückmeldung des Integrationspartners</w:t>
      </w:r>
    </w:p>
    <w:p>
      <w:r>
        <w:t>Erbeten werden die bestätigte Ziel-URL und Company-ID, die geprüfte API-/Erweiterungsversion, die erforderlichen App-Berechtigungen, der bestätigte Request-/Response-Vertrag und die Zuordnung der beiden CorrelationIds zur BC-Telemetrie. Bitte trennen Sie nachgewiesene Ursache, umgesetzte Korrektur und noch offene Prüfung.</w:t>
      </w:r>
    </w:p>
    <w:p>
      <w:r>
        <w:br w:type="page"/>
      </w:r>
    </w:p>
    <w:p>
      <w:pPr>
        <w:pStyle w:val="Heading1"/>
      </w:pPr>
      <w:r>
        <w:t>6 Gemeinsamer Retest und Abnahme</w:t>
      </w:r>
    </w:p>
    <w:p>
      <w:r>
        <w:t>Teilnehmer: BC-Integrationspartner und WAMAS-Verantwortlicher; bei Token- oder DNS-Problemen zusätzlich Entra-/Netzwerkverantwortlicher. Der Test erfolgt in einer gemeinsam bestätigten Testumgebung mit einem kontrollierten Testbeleg.</w:t>
      </w:r>
    </w:p>
    <w:p>
      <w:pPr>
        <w:pStyle w:val="Heading2"/>
      </w:pPr>
      <w:r>
        <w:t>1 Ausgangszustand sichern</w:t>
      </w:r>
    </w:p>
    <w:p>
      <w:r>
        <w:t>Aktuelle Senderkonfiguration, API-Version, Firmen-ID und Zustand der Nachricht dokumentieren. Vor Wiederverwendung von 1109 prüfen, ob bereits eine Verarbeitung in BC stattgefunden hat. Serverzeitzone und BC-Zeitbasis abgleichen.</w:t>
      </w:r>
    </w:p>
    <w:p>
      <w:pPr>
        <w:pStyle w:val="Heading2"/>
      </w:pPr>
      <w:r>
        <w:t>2 Firma und Token nachweisen</w:t>
      </w:r>
    </w:p>
    <w:p>
      <w:r>
        <w:t>Mit der WAMAS-Anwendungsidentität ein gültiges Token beziehen und die vorgesehene Firma in der Zielumgebung identifizieren. Ergebnis und Identität ohne Credential oder Token festhalten.</w:t>
      </w:r>
    </w:p>
    <w:p>
      <w:pPr>
        <w:pStyle w:val="Heading2"/>
      </w:pPr>
      <w:r>
        <w:t>3 Kontrollierten POST ausführen</w:t>
      </w:r>
    </w:p>
    <w:p>
      <w:r>
        <w:t>Den echten, freigegebenen WAMAS-Testbody mit bestätigter Firmenzuordnung an die aktuelle Route senden. Request-URL, Methode, nicht geheime Header, Body-Prüfsumme, Zeitstempel, HTTP-Status, vollständige Antwort und CorrelationId erfassen.</w:t>
      </w:r>
    </w:p>
    <w:p>
      <w:pPr>
        <w:pStyle w:val="Heading2"/>
      </w:pPr>
      <w:r>
        <w:t>4 Aus WAMAS wiederholen</w:t>
      </w:r>
    </w:p>
    <w:p>
      <w:r>
        <w:t>Denselben fachlichen Test über den echten WAMAS-Sender auslösen. Ausgehende URL mit der geprüften URL vergleichen. Empfang, fachliches Ergebnis in AcuMax Med AG und WAMAS-Nachrichtenstatus gemeinsam kontrollieren.</w:t>
      </w:r>
    </w:p>
    <w:p>
      <w:pPr>
        <w:pStyle w:val="Heading2"/>
      </w:pPr>
      <w:r>
        <w:t>5 Fehler und Wiederholung prüfen</w:t>
      </w:r>
    </w:p>
    <w:p>
      <w:r>
        <w:t>Eine kontrollierte Wiederholung sowie einen vereinbarten ungültigen Testbody prüfen. Keine Doppelverarbeitung; Fehler eindeutig zuordenbar; kein falsches Erfolgs-ACK. Nach erfolgreichem Versand mindestens zwei konfigurierte Retry-Intervalle beobachten und das verwendete Intervall protokollieren.</w:t>
      </w:r>
    </w:p>
    <w:p>
      <w:pPr>
        <w:pStyle w:val="Heading2"/>
      </w:pPr>
      <w:r>
        <w:t>Abnahmekriterien</w:t>
      </w:r>
    </w:p>
    <w:p>
      <w:pPr>
        <w:pStyle w:val="ListBullet"/>
      </w:pPr>
      <w:r>
        <w:t>Die tatsächliche WAMAS-URL stimmt mit der bestätigten BC-Route und dem richtigen Firmenkontext überein; Internal_CompanyNotFound tritt im Retest nicht mehr auf.</w:t>
      </w:r>
    </w:p>
    <w:p>
      <w:pPr>
        <w:pStyle w:val="ListBullet"/>
      </w:pPr>
      <w:r>
        <w:t>Der echte POST wird mit dem vereinbarten Status und Antwortformat angenommen. Der Datensatz bzw. das fachliche Ergebnis ist eindeutig in AcuMax Med AG nachweisbar.</w:t>
      </w:r>
    </w:p>
    <w:p>
      <w:pPr>
        <w:pStyle w:val="ListBullet"/>
      </w:pPr>
      <w:r>
        <w:t>WAMAS erkennt die Antwort als erfolgreich; Nachricht und gegebenenfalls fachliches ACK sind eindeutig zugeordnet. Kein weiterer fehlerbedingter Versand derselben erfolgreich bestätigten Nachricht.</w:t>
      </w:r>
    </w:p>
    <w:p>
      <w:pPr>
        <w:pStyle w:val="ListBullet"/>
      </w:pPr>
      <w:r>
        <w:t>Wiederholungen erzeugen keine doppelte Buchung. Der negative Test bleibt als Fehler sichtbar und liefert kein fälschliches Erfolgs-ACK.</w:t>
      </w:r>
    </w:p>
    <w:p>
      <w:pPr>
        <w:pStyle w:val="ListBullet"/>
      </w:pPr>
      <w:r>
        <w:t>Beide Partner bestätigen Ergebnis, Zeitpunkt, Testnachricht, Firmen-ID, BC-Belegreferenz sowie Belegstellen in WAMAS-Log und BC-Telemetrie.</w:t>
      </w:r>
    </w:p>
    <w:p>
      <w:r>
        <w:br w:type="page"/>
      </w:r>
    </w:p>
    <w:p>
      <w:pPr>
        <w:pStyle w:val="Heading1"/>
      </w:pPr>
      <w:r>
        <w:t>7 Technische Referenzen</w:t>
      </w:r>
    </w:p>
    <w:p>
      <w:r>
        <w:t>Die Microsoft-Referenzen stützen die Prüfempfehlungen. Sie belegen keine konkrete Einstellung der hier eingesetzten Integration. Abruf am 10.10.2026.</w:t>
      </w:r>
    </w:p>
    <w:p>
      <w:pPr>
        <w:pStyle w:val="Heading2"/>
      </w:pPr>
      <w:r>
        <w:t>M1 API Endpunktstruktur</w:t>
      </w:r>
    </w:p>
    <w:p>
      <w:r>
        <w:t>Microsoft Learn · API endpoint structure</w:t>
      </w:r>
    </w:p>
    <w:p>
      <w:r>
        <w:t>https://learn.microsoft.com/en-us/dynamics365/business-central/dev-itpro/webservices/api-endpoint-structure</w:t>
      </w:r>
    </w:p>
    <w:p>
      <w:r>
        <w:t>Relevant: Aufbau benutzerdefinierter API-Routen und expliziter Firmenkontext über company-GUID oder companies-Pfad.</w:t>
      </w:r>
    </w:p>
    <w:p>
      <w:pPr>
        <w:pStyle w:val="Heading2"/>
      </w:pPr>
      <w:r>
        <w:t>M2 Authentifizierung zwischen Anwendungen</w:t>
      </w:r>
    </w:p>
    <w:p>
      <w:r>
        <w:t>Microsoft Learn · Using service-to-service authentication</w:t>
      </w:r>
    </w:p>
    <w:p>
      <w:r>
        <w:t>https://learn.microsoft.com/en-us/dynamics365/business-central/dev-itpro/administration/automation-apis-using-s2s-authentication</w:t>
      </w:r>
    </w:p>
    <w:p>
      <w:r>
        <w:t>Relevant: App-Registrierung in Entra, BC-Zugriff für die Anwendung und zugewiesene Berechtigungen.</w:t>
      </w:r>
    </w:p>
    <w:p>
      <w:pPr>
        <w:pStyle w:val="Heading2"/>
      </w:pPr>
      <w:r>
        <w:t>Belegübersicht für die gemeinsame Fehlersuche</w:t>
      </w:r>
    </w:p>
    <w:tbl>
      <w:tblPr>
        <w:tblW w:type="auto" w:w="0"/>
        <w:tblLayout w:type="fixed"/>
        <w:tblLook w:firstColumn="1" w:firstRow="1" w:lastColumn="0" w:lastRow="0" w:noHBand="0" w:noVBand="1" w:val="04A0"/>
      </w:tblPr>
      <w:tblGrid>
        <w:gridCol w:w="4819"/>
        <w:gridCol w:w="4819"/>
      </w:tblGrid>
      <w:tr>
        <w:tc>
          <w:tcPr>
            <w:tcW w:type="dxa" w:w="4819"/>
            <w:tcBorders>
              <w:top w:val="single" w:sz="4" w:color="D9D9D9"/>
              <w:left w:val="single" w:sz="4" w:color="D9D9D9"/>
              <w:bottom w:val="single" w:sz="4" w:color="D9D9D9"/>
              <w:right w:val="single" w:sz="4" w:color="D9D9D9"/>
            </w:tcBorders>
            <w:shd w:fill="E8EDF2"/>
          </w:tcPr>
          <w:p>
            <w:pPr>
              <w:spacing w:after="100" w:before="100"/>
            </w:pPr>
            <w:r>
              <w:rPr>
                <w:b/>
                <w:sz w:val="18"/>
              </w:rPr>
              <w:t>Prüfgegenstand</w:t>
            </w:r>
          </w:p>
        </w:tc>
        <w:tc>
          <w:tcPr>
            <w:tcW w:type="dxa" w:w="4819"/>
            <w:tcBorders>
              <w:top w:val="single" w:sz="4" w:color="D9D9D9"/>
              <w:left w:val="single" w:sz="4" w:color="D9D9D9"/>
              <w:bottom w:val="single" w:sz="4" w:color="D9D9D9"/>
              <w:right w:val="single" w:sz="4" w:color="D9D9D9"/>
            </w:tcBorders>
            <w:shd w:fill="E8EDF2"/>
          </w:tcPr>
          <w:p>
            <w:pPr>
              <w:spacing w:after="100" w:before="100"/>
            </w:pPr>
            <w:r>
              <w:rPr>
                <w:b/>
                <w:sz w:val="18"/>
              </w:rPr>
              <w:t>Beleg in L3</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1109 erster Fehler und Antwort</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1025843–1025844</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1109 Abbruch weiterer Verarbeitung</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1025867</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1109 zweiter Fehler und Antwort</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1025868–1025869</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1109 erneuter Abbruch</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1025892</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Token HTTP 411 und folgende 401</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91026–91028</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HTTP 400 Streamverarbeitung</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376389–376390</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HTTP 400 StartArray</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540332–540333</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HTTP 400 Feld items</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893408–893409</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DNS BC Zielhost</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718507–718508; 762604–762605</w:t>
            </w:r>
          </w:p>
        </w:tc>
      </w:tr>
      <w:tr>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DNS Tokenhost und folgende 401</w:t>
            </w:r>
          </w:p>
        </w:tc>
        <w:tc>
          <w:tcPr>
            <w:tcW w:type="dxa" w:w="4819"/>
            <w:tcBorders>
              <w:top w:val="single" w:sz="4" w:color="D9D9D9"/>
              <w:left w:val="single" w:sz="4" w:color="D9D9D9"/>
              <w:bottom w:val="single" w:sz="4" w:color="D9D9D9"/>
              <w:right w:val="single" w:sz="4" w:color="D9D9D9"/>
            </w:tcBorders>
            <w:shd w:fill="FFFFFF"/>
          </w:tcPr>
          <w:p>
            <w:pPr>
              <w:spacing w:after="100" w:before="100"/>
            </w:pPr>
            <w:r>
              <w:rPr>
                <w:b w:val="0"/>
                <w:sz w:val="18"/>
              </w:rPr>
              <w:t>762651–762653; 762677–762679</w:t>
            </w:r>
          </w:p>
        </w:tc>
      </w:tr>
    </w:tbl>
    <w:p>
      <w:r>
        <w:t>Bitte verwenden Sie zur Telemetriesuche insbesondere die CorrelationIds ed6197f1-dc70-4779-a199-4c8333c7005a und 60ccba1a-9e62-47c6-acbf-beea3a4090ea. Die Zeitstempel der Exceptions ergeben sich jeweils aus dem unmittelbar vorangehenden ERROR-Eintrag.</w:t>
      </w:r>
    </w:p>
    <w:sectPr w:rsidR="00FC693F" w:rsidRPr="0006063C" w:rsidSect="00034616">
      <w:footerReference w:type="default" r:id="rId9"/>
      <w:pgSz w:w="11906" w:h="16838"/>
      <w:pgMar w:top="964" w:right="1134" w:bottom="9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AcuMax Med AG | Technische Übergabe | 10.10.2026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4"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200"/>
      <w:contextualSpacing/>
    </w:pPr>
    <w:rPr>
      <w:rFonts w:asciiTheme="majorHAnsi" w:eastAsiaTheme="majorEastAsia" w:hAnsiTheme="majorHAnsi" w:cstheme="majorBidi" w:ascii="Calibri" w:hAnsi="Calibri"/>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after="140"/>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WAMAS Versand an Business Central</dc:title>
  <dc:subject>Lognachweis und Prüfauftrag zu OutSpm 1109</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