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WAMAS und BC Versandprüfung</w:t>
      </w:r>
    </w:p>
    <w:p>
      <w:pPr>
        <w:pStyle w:val="Subtitle"/>
      </w:pPr>
      <w:r>
        <w:t>Versand vom 10.10.2026 | Vergleich mit dem Postman Test</w:t>
      </w:r>
    </w:p>
    <w:p>
      <w:pPr>
        <w:pStyle w:val="Heading2"/>
      </w:pPr>
      <w:r>
        <w:t>Nachweise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7654"/>
      </w:tblGrid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Quelle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Ergebnis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WAMAS Log</w:t>
              <w:br/>
              <w:t>10.10.2026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OutSpm(1109), 15:34:51.877 und 15:35:21.686</w:t>
              <w:br/>
              <w:t>Error occurred while sending system partner message OutSpm(1109).</w:t>
              <w:br/>
              <w:t>HTTP 404 — Internal_CompanyNotFound</w:t>
              <w:br/>
              <w:t>Cannot process the request because the default company cannot be found.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Postman Screenshot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POST mit Testnachricht id=1002: HTTP 201 Created.</w:t>
              <w:br/>
              <w:t>Antwort: entryNo=5; status="Message received"; source="REST".</w:t>
              <w:br/>
              <w:t>Request enthält items, converter="JsonConverter" und data als JSON-String.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Wesentlicher Unterschied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Postman gibt die Firma ausdrücklich über companies(9fc70257-de96-eb11-8ce5-000d3a4c16d8) im URL-Pfad an. Die vollständige WAMAS-Ziel-URL ist im Versandlog nicht sichtbar.</w:t>
            </w:r>
          </w:p>
        </w:tc>
      </w:tr>
    </w:tbl>
    <w:p>
      <w:pPr>
        <w:pStyle w:val="Heading2"/>
      </w:pPr>
      <w:r>
        <w:t>Erfolgreiche Adresse aus dem Postman Screenshot</w:t>
      </w:r>
    </w:p>
    <w:p>
      <w:pPr>
        <w:spacing w:after="120"/>
      </w:pPr>
      <w:r>
        <w:rPr>
          <w:rFonts w:ascii="Consolas" w:hAnsi="Consolas"/>
          <w:sz w:val="17"/>
        </w:rPr>
        <w:t>https://api.businesscentral.dynamics.com/v2.0/ab9cc3ad-19f4-488d-b606-bd5b9bb396fc/Test/api/acumax/wamas/v2.0/companies(9fc70257-de96-eb11-8ce5-000d3a4c16d8)/wamasInboundMessages?$expand=items</w:t>
      </w:r>
    </w:p>
    <w:p>
      <w:pPr>
        <w:pStyle w:val="Heading2"/>
      </w:pPr>
      <w:r>
        <w:t>Konkrete Aufgaben für BC Partner und WAMAS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7654"/>
      </w:tblGrid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Zuständig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Prüfen und bei Abweichung korrigieren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BC Partner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Bestätigen, dass die Company-ID oben zur Firma AcuMax Med AG gehört. Die getestete Route und API-Version für die WAMAS-Anwendung mit den nötigen Schreibrechten bereitstellen.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WAMAS mit BC Partner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Tatsächlich gesendete URL mit der Postman-Adresse vergleichen. Gleichen Tenant, Umgebung Test, API-Route und Firmenkontext verwenden. Bei Verwendung des companies-Pfads keinen zusätzlichen company-Queryparameter verlangen.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BC Partner</w:t>
              <w:br/>
              <w:t>Anmeldung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Postman-Anwendungsidentität mit WAMAS abgleichen. Der Screenshot zeigt einen angenommenen Postman-Aufruf, aber weder dessen Tokenabruf noch die Identität. Die WAMAS-Anmeldung ist damit nicht nachgewiesen.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Beide Partner</w:t>
              <w:br/>
              <w:t>Retest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Echte WAMAS-Nachricht senden. Empfang in der richtigen Firma, Verarbeitung und Erfolgsstatus in WAMAS prüfen. Die Postman-Antwort muss auch vom WAMAS-Sender als gültige Antwort/ACK akzeptiert werden.</w:t>
            </w:r>
          </w:p>
        </w:tc>
      </w:tr>
    </w:tbl>
    <w:p>
      <w:r>
        <w:t>Bewertung: BC kann den gezeigten Testrequest empfangen. Für 1109 scheitert die Firmenauflösung. Eine abweichende Firmenangabe im WAMAS-Aufruf ist eine konkrete Prüfhypothese, noch kein bewiesener Konfigurationsfehler. Eine pauschale Änderung der BC-Standardfirma ist durch diese Belege nicht begründet.</w:t>
      </w:r>
    </w:p>
    <w:p>
      <w:r>
        <w:rPr>
          <w:sz w:val="16"/>
        </w:rPr>
        <w:t>Belege: ServerApplication_WAMAS_AllInOne_DI_SRV01ACUMBADZ (1)(1).log; Zeilen 1025843–1025844 und 1025868–1025869. Zusätzlich: bereitgestellter Postman-Screenshot, Testdatum nicht sichtbar; Nachricht 1002, nicht 1109.</w:t>
      </w:r>
    </w:p>
    <w:p>
      <w:r>
        <w:rPr>
          <w:sz w:val="16"/>
        </w:rPr>
        <w:t>CorrelationIds für BC: ed6197f1-dc70-4779-a199-4c8333c7005a / 60ccba1a-9e62-47c6-acbf-beea3a4090ea.</w:t>
      </w:r>
    </w:p>
    <w:sectPr w:rsidR="00FC693F" w:rsidRPr="0006063C" w:rsidSect="00034616">
      <w:footerReference w:type="default" r:id="rId9"/>
      <w:pgSz w:w="11906" w:h="16838"/>
      <w:pgMar w:top="964" w:right="113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 xml:space="preserve">AcuMax Med AG | Technische Übergabe | 10.10.2026 |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4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4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 w:before="200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200" w:after="140"/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Versand an Business Central</dc:title>
  <dc:subject>Lognachweis und Prüfauftrag zu OutSpm 1109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