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Kurzanleitung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Artikel pflegen am Touch-Client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 suchen, ansehen, ändern, spontan anlegen und einem Boxtyp zuordnen – direkt am LOGIMAT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1"/>
        <w:tabs>
          <w:tab w:pos="9524" w:val="right" w:leader="dot"/>
        </w:tabs>
      </w:pPr>
      <w:r>
        <w:t>2 Übersicht der Touch-Dialoge</w:t>
        <w:tab/>
        <w:t>4</w:t>
      </w:r>
    </w:p>
    <w:p>
      <w:pPr>
        <w:pStyle w:val="TOC1"/>
        <w:tabs>
          <w:tab w:pos="9524" w:val="right" w:leader="dot"/>
        </w:tabs>
      </w:pPr>
      <w:r>
        <w:t>3 Artikel suchen und ansehen (LM007)</w:t>
        <w:tab/>
        <w:t>5</w:t>
      </w:r>
    </w:p>
    <w:p>
      <w:pPr>
        <w:pStyle w:val="TOC1"/>
        <w:tabs>
          <w:tab w:pos="9524" w:val="right" w:leader="dot"/>
        </w:tabs>
      </w:pPr>
      <w:r>
        <w:t>4 Artikel ändern (LM011)</w:t>
        <w:tab/>
        <w:t>6</w:t>
      </w:r>
    </w:p>
    <w:p>
      <w:pPr>
        <w:pStyle w:val="TOC1"/>
        <w:tabs>
          <w:tab w:pos="9524" w:val="right" w:leader="dot"/>
        </w:tabs>
      </w:pPr>
      <w:r>
        <w:t>5 Artikel spontan anlegen (LM041)</w:t>
        <w:tab/>
        <w:t>7</w:t>
      </w:r>
    </w:p>
    <w:p>
      <w:pPr>
        <w:pStyle w:val="TOC1"/>
        <w:tabs>
          <w:tab w:pos="9524" w:val="right" w:leader="dot"/>
        </w:tabs>
      </w:pPr>
      <w:r>
        <w:t>6 Artikel einem Boxtyp zuordnen (LM012)</w:t>
        <w:tab/>
        <w:t>8</w:t>
      </w:r>
    </w:p>
    <w:p>
      <w:pPr>
        <w:pStyle w:val="TOC1"/>
        <w:tabs>
          <w:tab w:pos="9524" w:val="right" w:leader="dot"/>
        </w:tabs>
      </w:pPr>
      <w:r>
        <w:t>7 Stolperfallen</w:t>
        <w:tab/>
        <w:t>9</w:t>
      </w:r>
    </w:p>
    <w:p>
      <w:pPr>
        <w:pStyle w:val="TOC1"/>
        <w:tabs>
          <w:tab w:pos="9524" w:val="right" w:leader="dot"/>
        </w:tabs>
      </w:pPr>
      <w:r>
        <w:t>8 Praxisbeispiel</w:t>
        <w:tab/>
        <w:t>10</w:t>
      </w:r>
    </w:p>
    <w:p>
      <w:pPr>
        <w:pStyle w:val="TOC1"/>
        <w:tabs>
          <w:tab w:pos="9524" w:val="right" w:leader="dot"/>
        </w:tabs>
      </w:pPr>
      <w:r>
        <w:t>9 Quellenverzeichnis</w:t>
        <w:tab/>
        <w:t>11</w:t>
      </w:r>
      <w:r>
        <w:fldChar w:fldCharType="end"/>
      </w:r>
    </w:p>
    <w:p>
      <w:pPr>
        <w:pStyle w:val="Heading1"/>
      </w:pPr>
      <w:r>
        <w:t>1 Über dieses Dokument</w:t>
      </w:r>
    </w:p>
    <w:p>
      <w:r>
        <w:t xml:space="preserve">Diese Kurzanleitung zeigt, wie Artikeldaten </w:t>
      </w:r>
      <w:r>
        <w:rPr>
          <w:b/>
        </w:rPr>
        <w:t>am Touch-Client</w:t>
      </w:r>
      <w:r>
        <w:t xml:space="preserve"> des LOGIMAT gesucht, angesehen und ergänzt werden. Die grosse Artikelpflege (viele Artikel, Einheiten, Warengruppe) erfolgt im Desktop-Client bzw. per Excel-Import (siehe </w:t>
      </w:r>
      <w:r>
        <w:rPr>
          <w:b/>
        </w:rPr>
        <w:t>Administratoranleitung</w:t>
      </w:r>
      <w:r>
        <w:t xml:space="preserve"> und </w:t>
      </w:r>
      <w:r>
        <w:rPr>
          <w:b/>
        </w:rPr>
        <w:t>Artikel importieren</w:t>
      </w:r>
      <w:r>
        <w:t>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Wer darf Artikel anlegen?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der Hauri AG kommen die Artikel aus der Excel-Liste (Import). Neue Artikel am Touch-Client nur </w:t>
            </w:r>
            <w:r>
              <w:rPr>
                <w:b/>
                <w:sz w:val="19"/>
              </w:rPr>
              <w:t>nach Absprache mit Marcel</w:t>
            </w:r>
            <w:r>
              <w:rPr>
                <w:sz w:val="19"/>
              </w:rPr>
              <w:t xml:space="preserve"> anlegen, damit keine doppelten oder falsch geschriebenen Nummern entstehen. Artikelnummer = </w:t>
            </w:r>
            <w:r>
              <w:rPr>
                <w:b/>
                <w:sz w:val="19"/>
              </w:rPr>
              <w:t>Hersteller-Nr.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</w:t>
            </w:r>
          </w:p>
          <w:p>
            <w:pPr>
              <w:spacing w:after="40"/>
            </w:pPr>
            <w:r>
              <w:rPr>
                <w:sz w:val="19"/>
              </w:rPr>
              <w:t>Die Touch-Dialoge LM007, LM011 und LM041 sind im Handbuch beschrieben, aber auf dem SSI-Testsystem noch nicht mit Bildschirmfotos belegt. Masken und Feldnamen bei der Schulung am Hauri-System gemeinsam prüfen; Bildschirmfotos dort aufnehmen.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Artikel pflegen am Touch-Client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Bediener und Key-User der Hauri AG (Alex Mittag, 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(deDE), User Manual 2.8 (enUS), Know-how LOGIMAT-Bedienung (live verifiziert 17.10.2026)</w:t>
            </w:r>
          </w:p>
        </w:tc>
      </w:tr>
    </w:tbl>
    <w:p>
      <w:pPr>
        <w:spacing w:after="40"/>
      </w:pPr>
    </w:p>
    <w:p>
      <w:pPr>
        <w:pStyle w:val="Heading1"/>
      </w:pPr>
      <w:r>
        <w:t>2 Übersicht der Touch-Dialoge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11"/>
        <w:gridCol w:w="3377"/>
        <w:gridCol w:w="3836"/>
      </w:tblGrid>
      <w:tr>
        <w:trPr>
          <w:tblHeader w:val="true"/>
          <w:cantSplit w:val="true"/>
        </w:trPr>
        <w:tc>
          <w:tcPr>
            <w:tcW w:type="dxa" w:w="23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3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Aufruf</w:t>
            </w:r>
          </w:p>
        </w:tc>
        <w:tc>
          <w:tcPr>
            <w:tcW w:type="dxa" w:w="38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</w:tr>
      <w:tr>
        <w:trPr>
          <w:cantSplit w:val="true"/>
        </w:trPr>
        <w:tc>
          <w:tcPr>
            <w:tcW w:type="dxa" w:w="231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(LM007)</w:t>
            </w:r>
          </w:p>
        </w:tc>
        <w:tc>
          <w:tcPr>
            <w:tcW w:type="dxa" w:w="337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Menüleiste </w:t>
            </w:r>
            <w:r>
              <w:rPr>
                <w:b/>
                <w:sz w:val="17"/>
              </w:rPr>
              <w:t>Tools anzeigen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Übersicht Artikel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(max. 50 Treffer), Artikeletikett drucken</w:t>
            </w:r>
          </w:p>
        </w:tc>
      </w:tr>
      <w:tr>
        <w:trPr>
          <w:cantSplit w:val="true"/>
        </w:trPr>
        <w:tc>
          <w:tcPr>
            <w:tcW w:type="dxa" w:w="231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 pflegen</w:t>
            </w:r>
            <w:r>
              <w:rPr>
                <w:sz w:val="17"/>
              </w:rPr>
              <w:t xml:space="preserve"> (LM011)</w:t>
            </w:r>
          </w:p>
        </w:tc>
        <w:tc>
          <w:tcPr>
            <w:tcW w:type="dxa" w:w="3377"/>
          </w:tcPr>
          <w:p>
            <w:pPr>
              <w:spacing w:after="0" w:line="252" w:lineRule="auto"/>
            </w:pPr>
            <w:r>
              <w:rPr>
                <w:sz w:val="17"/>
              </w:rPr>
              <w:t>in LM007 Artikel wählen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Artikeldaten ansehen und ändern, Reiter </w:t>
            </w:r>
            <w:r>
              <w:rPr>
                <w:b/>
                <w:sz w:val="17"/>
              </w:rPr>
              <w:t>Verpackungsversion</w:t>
            </w:r>
            <w:r>
              <w:rPr>
                <w:sz w:val="17"/>
              </w:rPr>
              <w:t xml:space="preserve"> und </w:t>
            </w:r>
            <w:r>
              <w:rPr>
                <w:b/>
                <w:sz w:val="17"/>
              </w:rPr>
              <w:t>Artikelzuordnung</w:t>
            </w:r>
          </w:p>
        </w:tc>
      </w:tr>
      <w:tr>
        <w:trPr>
          <w:cantSplit w:val="true"/>
        </w:trPr>
        <w:tc>
          <w:tcPr>
            <w:tcW w:type="dxa" w:w="231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Neuen Artikel anlegen</w:t>
            </w:r>
            <w:r>
              <w:rPr>
                <w:sz w:val="17"/>
              </w:rPr>
              <w:t xml:space="preserve"> (LM041)</w:t>
            </w:r>
          </w:p>
        </w:tc>
        <w:tc>
          <w:tcPr>
            <w:tcW w:type="dxa" w:w="337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Icon </w:t>
            </w:r>
            <w:r>
              <w:rPr>
                <w:b/>
                <w:sz w:val="17"/>
              </w:rPr>
              <w:t>Artikel anlegen</w:t>
            </w:r>
            <w:r>
              <w:rPr>
                <w:sz w:val="17"/>
              </w:rPr>
              <w:t xml:space="preserve"> in der Artikelsuche (z. B. in LM002)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Schnellanlage eines fehlenden Artikels</w:t>
            </w:r>
          </w:p>
        </w:tc>
      </w:tr>
      <w:tr>
        <w:trPr>
          <w:cantSplit w:val="true"/>
        </w:trPr>
        <w:tc>
          <w:tcPr>
            <w:tcW w:type="dxa" w:w="231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(LM012)</w:t>
            </w:r>
          </w:p>
        </w:tc>
        <w:tc>
          <w:tcPr>
            <w:tcW w:type="dxa" w:w="3377"/>
          </w:tcPr>
          <w:p>
            <w:pPr>
              <w:spacing w:after="0" w:line="252" w:lineRule="auto"/>
            </w:pPr>
            <w:r>
              <w:rPr>
                <w:sz w:val="17"/>
              </w:rPr>
              <w:t>aus LM011 (Verpackungsversion) oder automatisch beim Einlagern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Boxtyp, Höchstmenge</w:t>
            </w:r>
          </w:p>
        </w:tc>
      </w:tr>
      <w:tr>
        <w:trPr>
          <w:cantSplit w:val="true"/>
        </w:trPr>
        <w:tc>
          <w:tcPr>
            <w:tcW w:type="dxa" w:w="2311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 aufheben</w:t>
            </w:r>
            <w:r>
              <w:rPr>
                <w:sz w:val="17"/>
              </w:rPr>
              <w:t xml:space="preserve"> (LM043)</w:t>
            </w:r>
          </w:p>
        </w:tc>
        <w:tc>
          <w:tcPr>
            <w:tcW w:type="dxa" w:w="3377"/>
          </w:tcPr>
          <w:p>
            <w:pPr>
              <w:spacing w:after="0" w:line="252" w:lineRule="auto"/>
            </w:pPr>
            <w:r>
              <w:rPr>
                <w:sz w:val="17"/>
              </w:rPr>
              <w:t>Icon in LM002</w:t>
            </w:r>
          </w:p>
        </w:tc>
        <w:tc>
          <w:tcPr>
            <w:tcW w:type="dxa" w:w="3836"/>
          </w:tcPr>
          <w:p>
            <w:pPr>
              <w:spacing w:after="0" w:line="252" w:lineRule="auto"/>
            </w:pPr>
            <w:r>
              <w:rPr>
                <w:sz w:val="17"/>
              </w:rPr>
              <w:t>Artikel von einer Box lösen</w:t>
            </w:r>
          </w:p>
        </w:tc>
      </w:tr>
    </w:tbl>
    <w:p>
      <w:pPr>
        <w:pStyle w:val="BeschriftungSSI"/>
      </w:pPr>
      <w:r>
        <w:t>Tab. 1: Touch-Dialoge für Artikel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1.3, 3.2; SCH-B Kap. 4</w:t>
      </w:r>
    </w:p>
    <w:p>
      <w:pPr>
        <w:pStyle w:val="Heading1"/>
      </w:pPr>
      <w:r>
        <w:t>3 Artikel suchen und ansehen (LM007)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Touch-Client anmelden (siehe </w:t>
      </w:r>
      <w:r>
        <w:rPr>
          <w:b/>
        </w:rPr>
        <w:t>Benutzeranleitung</w:t>
      </w:r>
      <w:r>
        <w:t>, Kapitel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Menüleiste </w:t>
      </w:r>
      <w:r>
        <w:rPr>
          <w:b/>
        </w:rPr>
        <w:t>Tools anzeigen</w:t>
      </w:r>
      <w:r>
        <w:t xml:space="preserve"> antippen → </w:t>
      </w:r>
      <w:r>
        <w:rPr>
          <w:b/>
        </w:rPr>
        <w:t>Übersicht Artikel</w:t>
      </w:r>
      <w:r>
        <w:t xml:space="preserve"> (LM007).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Artikelnummer (Hersteller-Nr.) oder einen Teil davon eingeben.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 oder </w:t>
      </w:r>
      <w:r>
        <w:rPr>
          <w:rFonts w:ascii="Consolas" w:hAnsi="Consolas" w:cs="Consolas" w:eastAsia="Consolas"/>
          <w:sz w:val="18"/>
        </w:rPr>
        <w:t>%</w:t>
      </w:r>
      <w:r>
        <w:t xml:space="preserve"> sind erlaubt, z. B. </w:t>
      </w:r>
      <w:r>
        <w:rPr>
          <w:rFonts w:ascii="Consolas" w:hAnsi="Consolas" w:cs="Consolas" w:eastAsia="Consolas"/>
          <w:sz w:val="18"/>
        </w:rPr>
        <w:t>301.*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Suchen</w:t>
      </w:r>
      <w:r>
        <w:t xml:space="preserve"> antippen. Es werden höchstens 50 Treffer angezeigt; bei mehr Treffern die Suche genauer machen.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Artikel antippen, um ihn in </w:t>
      </w:r>
      <w:r>
        <w:rPr>
          <w:b/>
        </w:rPr>
        <w:t>Artikel pflegen</w:t>
      </w:r>
      <w:r>
        <w:t xml:space="preserve"> (LM011) zu öffnen.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007_artikel_touch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Artikel (LM007) am Touch-Client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Bestand ansehen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Den </w:t>
            </w:r>
            <w:r>
              <w:rPr>
                <w:b/>
                <w:sz w:val="19"/>
              </w:rPr>
              <w:t>Bestand</w:t>
            </w:r>
            <w:r>
              <w:rPr>
                <w:sz w:val="19"/>
              </w:rPr>
              <w:t xml:space="preserve"> eines Artikels zeigt am schnellsten </w:t>
            </w:r>
            <w:r>
              <w:rPr>
                <w:b/>
                <w:sz w:val="19"/>
              </w:rPr>
              <w:t>Übersicht Tablare</w:t>
            </w:r>
            <w:r>
              <w:rPr>
                <w:sz w:val="19"/>
              </w:rPr>
              <w:t xml:space="preserve"> (LM040) → Artikelsuche, oder am Desktop </w:t>
            </w:r>
            <w:r>
              <w:rPr>
                <w:b/>
                <w:sz w:val="19"/>
              </w:rPr>
              <w:t>Übersicht Bestandsobjekte</w:t>
            </w:r>
            <w:r>
              <w:rPr>
                <w:sz w:val="19"/>
              </w:rPr>
              <w:t xml:space="preserve"> (SM022). Siehe Benutzeranleitung Kapitel 7.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73121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14_lm040_kontroll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31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Bestand eines Artikels über die Artikelsuche in LM040 prüfen (SSI-Testsystem)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SCH-B Kap. 4 (LM007, 50 Treffer); KH-L Kap. 3.2 (Tools anzeigen → LM007); Dokumente drucken (Artikeletikett LM007)</w:t>
      </w:r>
    </w:p>
    <w:p>
      <w:pPr>
        <w:pStyle w:val="Heading1"/>
      </w:pPr>
      <w:r>
        <w:t>4 Artikel ändern (LM011)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Artikel in LM007 öffnen → </w:t>
      </w:r>
      <w:r>
        <w:rPr>
          <w:b/>
        </w:rPr>
        <w:t>Artikel pflegen</w:t>
      </w:r>
      <w:r>
        <w:t xml:space="preserve"> (LM011).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Felder ändern, z. B. Bezeichnung, Gewicht, Abmessungen. Feld mit </w:t>
      </w:r>
      <w:r>
        <w:rPr>
          <w:b/>
        </w:rPr>
        <w:t>Tab</w:t>
      </w:r>
      <w:r>
        <w:t xml:space="preserve"> bzw. Antippen eines anderen Felds verlassen.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 xml:space="preserve"> antippen.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56"/>
        <w:gridCol w:w="5896"/>
        <w:gridCol w:w="1072"/>
      </w:tblGrid>
      <w:tr>
        <w:trPr>
          <w:tblHeader w:val="true"/>
          <w:cantSplit w:val="true"/>
        </w:trPr>
        <w:tc>
          <w:tcPr>
            <w:tcW w:type="dxa" w:w="25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Reiter</w:t>
            </w:r>
          </w:p>
        </w:tc>
        <w:tc>
          <w:tcPr>
            <w:tcW w:type="dxa" w:w="58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0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25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Verpackungsversion</w:t>
            </w:r>
          </w:p>
        </w:tc>
        <w:tc>
          <w:tcPr>
            <w:tcW w:type="dxa" w:w="589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Mengeneinheit des Artikels; Icon </w:t>
            </w:r>
            <w:r>
              <w:rPr>
                <w:b/>
                <w:sz w:val="17"/>
              </w:rPr>
              <w:t>Boxtypen zuordnen</w:t>
            </w:r>
            <w:r>
              <w:rPr>
                <w:sz w:val="17"/>
              </w:rPr>
              <w:t xml:space="preserve"> → LM012</w:t>
            </w:r>
          </w:p>
        </w:tc>
        <w:tc>
          <w:tcPr>
            <w:tcW w:type="dxa" w:w="1072"/>
          </w:tcPr>
          <w:p>
            <w:pPr>
              <w:spacing w:after="0" w:line="252" w:lineRule="auto"/>
            </w:pPr>
            <w:r>
              <w:rPr>
                <w:sz w:val="17"/>
              </w:rPr>
              <w:t>BH28 5.1.2</w:t>
            </w:r>
          </w:p>
        </w:tc>
      </w:tr>
      <w:tr>
        <w:trPr>
          <w:cantSplit w:val="true"/>
        </w:trPr>
        <w:tc>
          <w:tcPr>
            <w:tcW w:type="dxa" w:w="25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Artikelzuordnung</w:t>
            </w:r>
            <w:r>
              <w:rPr>
                <w:sz w:val="17"/>
              </w:rPr>
              <w:t xml:space="preserve"> (LM104)</w:t>
            </w:r>
          </w:p>
        </w:tc>
        <w:tc>
          <w:tcPr>
            <w:tcW w:type="dxa" w:w="5896"/>
          </w:tcPr>
          <w:p>
            <w:pPr>
              <w:spacing w:after="0" w:line="252" w:lineRule="auto"/>
            </w:pPr>
            <w:r>
              <w:rPr>
                <w:sz w:val="17"/>
              </w:rPr>
              <w:t>Zuordnungsmodus beim Leeren einer Box: FIXED / FLOAT / STANDARD</w:t>
            </w:r>
          </w:p>
        </w:tc>
        <w:tc>
          <w:tcPr>
            <w:tcW w:type="dxa" w:w="1072"/>
          </w:tcPr>
          <w:p>
            <w:pPr>
              <w:spacing w:after="0" w:line="252" w:lineRule="auto"/>
            </w:pPr>
            <w:r>
              <w:rPr>
                <w:sz w:val="17"/>
              </w:rPr>
              <w:t>BH28 5.1.4</w:t>
            </w:r>
          </w:p>
        </w:tc>
      </w:tr>
      <w:tr>
        <w:trPr>
          <w:cantSplit w:val="true"/>
        </w:trPr>
        <w:tc>
          <w:tcPr>
            <w:tcW w:type="dxa" w:w="2556"/>
          </w:tcPr>
          <w:p>
            <w:pPr>
              <w:spacing w:after="0" w:line="252" w:lineRule="auto"/>
            </w:pPr>
            <w:r>
              <w:rPr>
                <w:sz w:val="17"/>
              </w:rPr>
              <w:t>weitere Reiter</w:t>
            </w:r>
          </w:p>
        </w:tc>
        <w:tc>
          <w:tcPr>
            <w:tcW w:type="dxa" w:w="589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[vor Ort prüfen]</w:t>
            </w:r>
          </w:p>
        </w:tc>
        <w:tc>
          <w:tcPr>
            <w:tcW w:type="dxa" w:w="1072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2: Reiter in LM011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011_artikel_pflege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Artikel pflegen (LM011) am Touch-Client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ändern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Artikelnummer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Variante</w:t>
            </w:r>
            <w:r>
              <w:rPr>
                <w:sz w:val="19"/>
              </w:rPr>
              <w:t xml:space="preserve"> sind der Schlüssel des Artikels. Nicht ändern. Bei einem Tippfehler in der Artikelnummer: Marcel informieren (Artikel im Desktop-Client prüfen).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3.2–3.3; MEA Kap. 5.3</w:t>
      </w:r>
    </w:p>
    <w:p>
      <w:pPr>
        <w:pStyle w:val="Heading1"/>
      </w:pPr>
      <w:r>
        <w:t>5 Artikel spontan anlegen (LM041)</w:t>
      </w:r>
    </w:p>
    <w:p>
      <w:r>
        <w:t>Nur nach Absprache, z. B. wenn ein neuer Artikel geliefert wird, der noch nicht in WAMAS ist.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Tablar (LM002) die Box wählen und in der Artikelsuche das Icon </w:t>
      </w:r>
      <w:r>
        <w:rPr>
          <w:b/>
        </w:rPr>
        <w:t>Artikel anlegen</w:t>
      </w:r>
      <w:r>
        <w:t xml:space="preserve"> antippen. </w:t>
      </w:r>
      <w:r>
        <w:rPr>
          <w:b/>
        </w:rPr>
        <w:t>Neuen Artikel anlegen</w:t>
      </w:r>
      <w:r>
        <w:t xml:space="preserve"> (LM041)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Artikelnummer</w:t>
      </w:r>
      <w:r>
        <w:t xml:space="preserve"> (= Hersteller-Nr., genau wie auf der Verpackung bzw. Lieferschein) und </w:t>
      </w:r>
      <w:r>
        <w:rPr>
          <w:b/>
        </w:rPr>
        <w:t>Basismengeneinheit</w:t>
      </w:r>
      <w:r>
        <w:t xml:space="preserve"> (bei der Hauri AG in der Regel </w:t>
      </w:r>
      <w:r>
        <w:rPr>
          <w:rFonts w:ascii="Consolas" w:hAnsi="Consolas" w:cs="Consolas" w:eastAsia="Consolas"/>
          <w:sz w:val="18"/>
        </w:rPr>
        <w:t>PCS</w:t>
      </w:r>
      <w:r>
        <w:t>)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Falls bekannt: </w:t>
      </w:r>
      <w:r>
        <w:rPr>
          <w:b/>
        </w:rPr>
        <w:t>Bruttogewicht</w:t>
      </w:r>
      <w:r>
        <w:t xml:space="preserve">, </w:t>
      </w:r>
      <w:r>
        <w:rPr>
          <w:b/>
        </w:rPr>
        <w:t>Länge</w:t>
      </w:r>
      <w:r>
        <w:t xml:space="preserve">, </w:t>
      </w:r>
      <w:r>
        <w:rPr>
          <w:b/>
        </w:rPr>
        <w:t>Breite</w:t>
      </w:r>
      <w:r>
        <w:t xml:space="preserve">, </w:t>
      </w:r>
      <w:r>
        <w:rPr>
          <w:b/>
        </w:rPr>
        <w:t>Höhe</w:t>
      </w:r>
      <w:r>
        <w:t xml:space="preserve">. </w:t>
      </w:r>
      <w:r>
        <w:rPr>
          <w:b/>
        </w:rPr>
        <w:t>Grosser Artikel</w:t>
      </w:r>
      <w:r>
        <w:t xml:space="preserve"> nur für Teile ohne Box.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Über </w:t>
      </w:r>
      <w:r>
        <w:rPr>
          <w:b/>
        </w:rPr>
        <w:t>Mehr</w:t>
      </w:r>
      <w:r>
        <w:t xml:space="preserve"> weitere Daten in </w:t>
      </w:r>
      <w:r>
        <w:rPr>
          <w:b/>
        </w:rPr>
        <w:t>Artikel pflegen</w:t>
      </w:r>
      <w:r>
        <w:t xml:space="preserve"> (LM011) ergänzen oder direkt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Danach den Artikel der Box zuordnen und einlagern (Benutzeranleitung Kapitel 5).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lm041_neuer_artikel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Neuen Artikel anlegen (LM041) – Screenshot folgt (vor Ort aufnehmen)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Bezeichnung und Warengruppe</w:t>
            </w:r>
          </w:p>
          <w:p>
            <w:pPr>
              <w:spacing w:after="40"/>
            </w:pPr>
            <w:r>
              <w:rPr>
                <w:sz w:val="19"/>
              </w:rPr>
              <w:t>Ob LM041 ein Feld für Bezeichnung und Warengruppe (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>) hat, ist nicht belegt. Nach der Anlage den Artikel im Desktop-Client (MD001) prüfen und die Bezeichnung ergänzen.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MEA Kap. 5.3 (BH27 5.6.1, S. 74); KH-L Kap. 1.3 (BH28 S. 68–69)</w:t>
      </w:r>
    </w:p>
    <w:p>
      <w:pPr>
        <w:pStyle w:val="Heading1"/>
      </w:pPr>
      <w:r>
        <w:t>6 Artikel einem Boxtyp zuordnen (LM012)</w:t>
      </w:r>
    </w:p>
    <w:p>
      <w:r>
        <w:t xml:space="preserve">Ein Artikel kann nur in eine Box eingelagert werden, die ihm zugeordnet ist. Die Zuordnung zu einem </w:t>
      </w:r>
      <w:r>
        <w:rPr>
          <w:b/>
        </w:rPr>
        <w:t>Boxtyp</w:t>
      </w:r>
      <w:r>
        <w:t xml:space="preserve"> legt dabei </w:t>
      </w:r>
      <w:r>
        <w:rPr>
          <w:b/>
        </w:rPr>
        <w:t>keine</w:t>
      </w:r>
      <w:r>
        <w:t xml:space="preserve"> Box an – Boxen entstehen nur im Tablarlayouteditor (siehe </w:t>
      </w:r>
      <w:r>
        <w:rPr>
          <w:b/>
        </w:rPr>
        <w:t>Boxen kreieren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LM011 → Reiter </w:t>
      </w:r>
      <w:r>
        <w:rPr>
          <w:b/>
        </w:rPr>
        <w:t>Verpackungsversion</w:t>
      </w:r>
      <w:r>
        <w:t xml:space="preserve"> → Verpackungsversion wählen → Icon </w:t>
      </w:r>
      <w:r>
        <w:rPr>
          <w:b/>
        </w:rPr>
        <w:t>Boxtypen zuordnen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</w:t>
      </w:r>
      <w:r>
        <w:rPr>
          <w:b/>
        </w:rPr>
        <w:t>Boxtypen zuordnen</w:t>
      </w:r>
      <w:r>
        <w:t xml:space="preserve"> (LM012) eine Boxtyp-Zeile markieren, </w:t>
      </w:r>
      <w:r>
        <w:rPr>
          <w:b/>
        </w:rPr>
        <w:t>Zugeordnet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Max. Artikel in Box</w:t>
      </w:r>
      <w:r>
        <w:t xml:space="preserve"> eingeben (wie viele Stück passen in die Box) oder </w:t>
      </w:r>
      <w:r>
        <w:rPr>
          <w:b/>
        </w:rPr>
        <w:t>Unbegrenzt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Speichern</w:t>
      </w:r>
      <w:r>
        <w:t>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69"/>
        <w:gridCol w:w="3518"/>
        <w:gridCol w:w="2736"/>
      </w:tblGrid>
      <w:tr>
        <w:trPr>
          <w:tblHeader w:val="true"/>
          <w:cantSplit w:val="true"/>
        </w:trPr>
        <w:tc>
          <w:tcPr>
            <w:tcW w:type="dxa" w:w="32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</w:t>
            </w:r>
          </w:p>
        </w:tc>
        <w:tc>
          <w:tcPr>
            <w:tcW w:type="dxa" w:w="35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27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tun?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„Box muss ausgewählt werden.“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Boxtyp-Zeile markiert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Zeile antippen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Boxtyp zeigt „(Leer: 0)“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keine freie Box dieses Typs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im Tablarlayout anlegen</w:t>
            </w:r>
          </w:p>
        </w:tc>
      </w:tr>
      <w:tr>
        <w:trPr>
          <w:cantSplit w:val="true"/>
        </w:trPr>
        <w:tc>
          <w:tcPr>
            <w:tcW w:type="dxa" w:w="3270"/>
          </w:tcPr>
          <w:p>
            <w:pPr>
              <w:spacing w:after="0" w:line="252" w:lineRule="auto"/>
            </w:pPr>
            <w:r>
              <w:rPr>
                <w:sz w:val="17"/>
              </w:rPr>
              <w:t>„Es wurde kein Tablar gefunden.“</w:t>
            </w:r>
          </w:p>
        </w:tc>
        <w:tc>
          <w:tcPr>
            <w:tcW w:type="dxa" w:w="3518"/>
          </w:tcPr>
          <w:p>
            <w:pPr>
              <w:spacing w:after="0" w:line="252" w:lineRule="auto"/>
            </w:pPr>
            <w:r>
              <w:rPr>
                <w:sz w:val="17"/>
              </w:rPr>
              <w:t>kein Tablar mit freier passender Box</w:t>
            </w:r>
          </w:p>
        </w:tc>
        <w:tc>
          <w:tcPr>
            <w:tcW w:type="dxa" w:w="2736"/>
          </w:tcPr>
          <w:p>
            <w:pPr>
              <w:spacing w:after="0" w:line="252" w:lineRule="auto"/>
            </w:pPr>
            <w:r>
              <w:rPr>
                <w:sz w:val="17"/>
              </w:rPr>
              <w:t>Box anlegen (Boxen kreieren)</w:t>
            </w:r>
          </w:p>
        </w:tc>
      </w:tr>
    </w:tbl>
    <w:p>
      <w:pPr>
        <w:pStyle w:val="BeschriftungSSI"/>
      </w:pPr>
      <w:r>
        <w:t>Tab. 3: Meldungen in LM012 (live auf dem SSI-Testsystem)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KH-L Kap. 2.4, 3.2, 9 (LIVE TLOG 06:55)</w:t>
      </w:r>
    </w:p>
    <w:p>
      <w:pPr>
        <w:pStyle w:val="Heading1"/>
      </w:pPr>
      <w:r>
        <w:t>7 Stolperfallen</w:t>
      </w:r>
    </w:p>
    <w:p>
      <w:pPr>
        <w:pStyle w:val="ListBullet"/>
      </w:pPr>
      <w:r>
        <w:t xml:space="preserve">Artikelnummer mit Leerzeichen oder anderer Schreibweise angelegt (z. B. </w:t>
      </w:r>
      <w:r>
        <w:rPr>
          <w:rFonts w:ascii="Consolas" w:hAnsi="Consolas" w:cs="Consolas" w:eastAsia="Consolas"/>
          <w:sz w:val="18"/>
        </w:rPr>
        <w:t>301.2.1</w:t>
      </w:r>
      <w:r>
        <w:t xml:space="preserve"> statt </w:t>
      </w:r>
      <w:r>
        <w:rPr>
          <w:rFonts w:ascii="Consolas" w:hAnsi="Consolas" w:cs="Consolas" w:eastAsia="Consolas"/>
          <w:sz w:val="18"/>
        </w:rPr>
        <w:t>301.2.01</w:t>
      </w:r>
      <w:r>
        <w:t>) → zweiter Artikel, Bestand verteilt sich.</w:t>
      </w:r>
    </w:p>
    <w:p>
      <w:pPr>
        <w:pStyle w:val="ListBullet"/>
      </w:pPr>
      <w:r>
        <w:t xml:space="preserve">Einheit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, </w:t>
      </w:r>
      <w:r>
        <w:rPr>
          <w:rFonts w:ascii="Consolas" w:hAnsi="Consolas" w:cs="Consolas" w:eastAsia="Consolas"/>
          <w:sz w:val="18"/>
        </w:rPr>
        <w:t>GAR</w:t>
      </w:r>
      <w:r>
        <w:t xml:space="preserve"> gewählt, obwohl sie noch nicht freigegeben ist → nur </w:t>
      </w:r>
      <w:r>
        <w:rPr>
          <w:rFonts w:ascii="Consolas" w:hAnsi="Consolas" w:cs="Consolas" w:eastAsia="Consolas"/>
          <w:sz w:val="18"/>
        </w:rPr>
        <w:t>PCS</w:t>
      </w:r>
      <w:r>
        <w:t xml:space="preserve"> verwenden, bis Marcel die Einheiten bestätigt.</w:t>
      </w:r>
    </w:p>
    <w:p>
      <w:pPr>
        <w:pStyle w:val="ListBullet"/>
      </w:pPr>
      <w:r>
        <w:t>LM012 gespeichert und erwartet, dass eine Box entsteht → nein, Box im Tablarlayouteditor anlegen.</w:t>
      </w:r>
    </w:p>
    <w:p>
      <w:pPr>
        <w:pStyle w:val="ListBullet"/>
      </w:pPr>
      <w:r>
        <w:t xml:space="preserve">Artikel am Touch-Client angelegt, der in der nächsten Excel-Importdatei ebenfalls steht → Import aktualisiert den Artikel; Bezeichnung kann sich ändern </w:t>
      </w:r>
      <w:r>
        <w:rPr>
          <w:b/>
        </w:rPr>
        <w:t>[vor Ort prüfen]</w:t>
      </w:r>
      <w:r>
        <w:t>.</w:t>
      </w:r>
    </w:p>
    <w:p>
      <w:pPr>
        <w:pStyle w:val="Heading1"/>
      </w:pPr>
      <w:r>
        <w:t>8 Praxisbeispiel</w:t>
      </w:r>
    </w:p>
    <w:p>
      <w:r>
        <w:rPr>
          <w:b/>
        </w:rPr>
        <w:t>Artikel 101.2.01 suchen und Höchstmenge setzen:</w:t>
      </w:r>
      <w:r>
        <w:t xml:space="preserve"> Tools anzeigen → LM007 → </w:t>
      </w:r>
      <w:r>
        <w:rPr>
          <w:rFonts w:ascii="Consolas" w:hAnsi="Consolas" w:cs="Consolas" w:eastAsia="Consolas"/>
          <w:sz w:val="18"/>
        </w:rPr>
        <w:t>101.2.01</w:t>
      </w:r>
      <w:r>
        <w:t xml:space="preserve"> → Suchen → Artikel antippen → LM011 Reiter Verpackungsversion → Boxtypen zuordnen → Boxtyp markieren, Zugeordnet, Max. Artikel in Box </w:t>
      </w:r>
      <w:r>
        <w:rPr>
          <w:rFonts w:ascii="Consolas" w:hAnsi="Consolas" w:cs="Consolas" w:eastAsia="Consolas"/>
          <w:sz w:val="18"/>
        </w:rPr>
        <w:t>50</w:t>
      </w:r>
      <w:r>
        <w:t xml:space="preserve"> → Speichern.</w:t>
      </w:r>
    </w:p>
    <w:p>
      <w:pPr>
        <w:pStyle w:val="Heading1"/>
      </w:pPr>
      <w:r>
        <w:t>9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087"/>
        <w:gridCol w:w="8438"/>
      </w:tblGrid>
      <w:tr>
        <w:trPr>
          <w:tblHeader w:val="true"/>
          <w:cantSplit w:val="true"/>
        </w:trPr>
        <w:tc>
          <w:tcPr>
            <w:tcW w:type="dxa" w:w="10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</w:tr>
      <w:tr>
        <w:trPr>
          <w:cantSplit w:val="true"/>
        </w:trPr>
        <w:tc>
          <w:tcPr>
            <w:tcW w:type="dxa" w:w="1087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43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1087"/>
          </w:tcPr>
          <w:p>
            <w:pPr>
              <w:spacing w:after="0" w:line="252" w:lineRule="auto"/>
            </w:pPr>
            <w:r>
              <w:rPr>
                <w:sz w:val="17"/>
              </w:rPr>
              <w:t>SCH-B</w:t>
            </w:r>
          </w:p>
        </w:tc>
        <w:tc>
          <w:tcPr>
            <w:tcW w:type="dxa" w:w="843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Benutzer v1.0</w:t>
            </w:r>
          </w:p>
        </w:tc>
      </w:tr>
      <w:tr>
        <w:trPr>
          <w:cantSplit w:val="true"/>
        </w:trPr>
        <w:tc>
          <w:tcPr>
            <w:tcW w:type="dxa" w:w="1087"/>
          </w:tcPr>
          <w:p>
            <w:pPr>
              <w:spacing w:after="0" w:line="252" w:lineRule="auto"/>
            </w:pPr>
            <w:r>
              <w:rPr>
                <w:sz w:val="17"/>
              </w:rPr>
              <w:t>MEA</w:t>
            </w:r>
          </w:p>
        </w:tc>
        <w:tc>
          <w:tcPr>
            <w:tcW w:type="dxa" w:w="8437"/>
          </w:tcPr>
          <w:p>
            <w:pPr>
              <w:spacing w:after="0" w:line="252" w:lineRule="auto"/>
            </w:pPr>
            <w:r>
              <w:rPr>
                <w:sz w:val="17"/>
              </w:rPr>
              <w:t>Anleitung Manuell Ein- und Auslagern (</w:t>
            </w:r>
            <w:r>
              <w:rPr>
                <w:rFonts w:ascii="Consolas" w:hAnsi="Consolas" w:cs="Consolas" w:eastAsia="Consolas"/>
                <w:sz w:val="15"/>
              </w:rPr>
              <w:t>anleitungen/Manuell_Ein_Auslagern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087"/>
          </w:tcPr>
          <w:p>
            <w:pPr>
              <w:spacing w:after="0" w:line="252" w:lineRule="auto"/>
            </w:pPr>
            <w:r>
              <w:rPr>
                <w:sz w:val="17"/>
              </w:rPr>
              <w:t>BH27 / BH28</w:t>
            </w:r>
          </w:p>
        </w:tc>
        <w:tc>
          <w:tcPr>
            <w:tcW w:type="dxa" w:w="8437"/>
          </w:tcPr>
          <w:p>
            <w:pPr>
              <w:spacing w:after="0" w:line="252" w:lineRule="auto"/>
            </w:pPr>
            <w:r>
              <w:rPr>
                <w:sz w:val="17"/>
              </w:rPr>
              <w:t>Benutzerhandbuch 2.7 (deDE) / User Manual 2.8 (enUS)</w:t>
            </w:r>
          </w:p>
        </w:tc>
      </w:tr>
    </w:tbl>
    <w:p>
      <w:pPr>
        <w:pStyle w:val="BeschriftungSSI"/>
      </w:pPr>
      <w:r>
        <w:t>Tab. 4: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Artikel pflegen Touch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Kurzanleitung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Artikel pflegen am Touch-Client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Artikel pflegen am Touch-Client</dc:title>
  <dc:subject>Artikel suchen, ansehen, ändern, spontan anlegen und einem Boxtyp zuordnen – direkt am LOGIMAT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