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Übersicht / Roadmap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Dokumentationslücken und Roadmap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 (Ausblick 2.8)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Welche prozessrelevanten Themen von WAMAS Lift &amp; Store noch kein How-to haben – mit Relevanz, Dialogen und Reihenfolge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Marek, SSI SCHÄFER</w:t>
            </w:r>
          </w:p>
        </w:tc>
      </w:tr>
    </w:tbl>
    <w:p>
      <w:pPr>
        <w:spacing w:before="8617"/>
      </w:pPr>
      <w:r>
        <w:rPr>
          <w:sz w:val="18"/>
        </w:rPr>
        <w:t>V 1.0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Ausgangslage: vorhandene How-tos</w:t>
        <w:tab/>
        <w:t>5</w:t>
      </w:r>
    </w:p>
    <w:p>
      <w:pPr>
        <w:pStyle w:val="TOC1"/>
        <w:tabs>
          <w:tab w:pos="9524" w:val="right" w:leader="dot"/>
        </w:tabs>
      </w:pPr>
      <w:r>
        <w:t>3 Lückenliste</w:t>
        <w:tab/>
        <w:t>6</w:t>
      </w:r>
    </w:p>
    <w:p>
      <w:pPr>
        <w:pStyle w:val="TOC1"/>
        <w:tabs>
          <w:tab w:pos="9524" w:val="right" w:leader="dot"/>
        </w:tabs>
      </w:pPr>
      <w:r>
        <w:t>4 Roadmap</w:t>
        <w:tab/>
        <w:t>8</w:t>
      </w:r>
    </w:p>
    <w:p>
      <w:pPr>
        <w:pStyle w:val="TOC2"/>
        <w:tabs>
          <w:tab w:pos="9524" w:val="right" w:leader="dot"/>
        </w:tabs>
      </w:pPr>
      <w:r>
        <w:t>4.1 Priorisierte Reihenfolge</w:t>
        <w:tab/>
        <w:t>8</w:t>
      </w:r>
    </w:p>
    <w:p>
      <w:pPr>
        <w:pStyle w:val="TOC2"/>
        <w:tabs>
          <w:tab w:pos="9524" w:val="right" w:leader="dot"/>
        </w:tabs>
      </w:pPr>
      <w:r>
        <w:t>4.2 Bündelung</w:t>
        <w:tab/>
        <w:t>8</w:t>
      </w:r>
    </w:p>
    <w:p>
      <w:pPr>
        <w:pStyle w:val="TOC1"/>
        <w:tabs>
          <w:tab w:pos="9524" w:val="right" w:leader="dot"/>
        </w:tabs>
      </w:pPr>
      <w:r>
        <w:t>5 Stolperfallen bei der Erstellung</w:t>
        <w:tab/>
        <w:t>9</w:t>
      </w:r>
    </w:p>
    <w:p>
      <w:pPr>
        <w:pStyle w:val="TOC1"/>
        <w:tabs>
          <w:tab w:pos="9524" w:val="right" w:leader="dot"/>
        </w:tabs>
      </w:pPr>
      <w:r>
        <w:t>6 Praxisbeispiel</w:t>
        <w:tab/>
        <w:t>10</w:t>
      </w:r>
    </w:p>
    <w:p>
      <w:pPr>
        <w:pStyle w:val="TOC1"/>
        <w:tabs>
          <w:tab w:pos="9524" w:val="right" w:leader="dot"/>
        </w:tabs>
      </w:pPr>
      <w:r>
        <w:t>7 Offene Fragen</w:t>
        <w:tab/>
        <w:t>11</w:t>
      </w:r>
    </w:p>
    <w:p>
      <w:pPr>
        <w:pStyle w:val="TOC1"/>
        <w:tabs>
          <w:tab w:pos="9524" w:val="right" w:leader="dot"/>
        </w:tabs>
      </w:pPr>
      <w:r>
        <w:t>8 Quellenverzeichnis</w:t>
        <w:tab/>
        <w:t>12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gleicht die vorhandenen Handbücher und Schulungsunterlagen mit den bisher erstellten How-tos ab. Es listet die </w:t>
      </w:r>
      <w:r>
        <w:rPr>
          <w:b/>
        </w:rPr>
        <w:t>prozessrelevanten Themen ohne eigenes How-to</w:t>
      </w:r>
      <w:r>
        <w:t>, bewertet ihre Relevanz und schlägt eine Reihenfolge für die nächsten Anleitungen vor.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Kapitel 2 zeigt, was bereits abgedeckt ist. Kapitel 3 enthält die Lückenliste, Kapitel 4 die priorisierte Roadmap.</w:t>
      </w:r>
    </w:p>
    <w:p>
      <w:pPr>
        <w:pStyle w:val="ListBullet"/>
      </w:pPr>
      <w:r>
        <w:rPr>
          <w:b/>
        </w:rPr>
        <w:t>Relevanz</w:t>
      </w:r>
      <w:r>
        <w:t xml:space="preserve"> bewertet den Nutzen für Projekte und Betrieb: </w:t>
      </w:r>
      <w:r>
        <w:rPr>
          <w:b/>
        </w:rPr>
        <w:t>hoch</w:t>
      </w:r>
      <w:r>
        <w:t xml:space="preserve"> = in fast jedem Projekt und im Tagesbetrieb nötig; </w:t>
      </w:r>
      <w:r>
        <w:rPr>
          <w:b/>
        </w:rPr>
        <w:t>mittel</w:t>
      </w:r>
      <w:r>
        <w:t xml:space="preserve"> = projektabhängig oder für Betrieb/IT; </w:t>
      </w:r>
      <w:r>
        <w:rPr>
          <w:b/>
        </w:rPr>
        <w:t>niedrig</w:t>
      </w:r>
      <w:r>
        <w:t xml:space="preserve"> = Spezialfall oder gut im Handbuch beschrieben.</w:t>
      </w:r>
    </w:p>
    <w:p>
      <w:pPr>
        <w:pStyle w:val="ListBullet"/>
      </w:pPr>
      <w:r>
        <w:t xml:space="preserve">Die Bewertung ist eine </w:t>
      </w:r>
      <w:r>
        <w:rPr>
          <w:b/>
        </w:rPr>
        <w:t>Empfehlung</w:t>
      </w:r>
      <w:r>
        <w:t xml:space="preserve"> auf Basis der Dokumentlage, keine Herstellervorgabe.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Dokumentationslücken und Roadmap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 (Ausblick 2.8)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WAMAS-Berater, Projektleitung, Key-User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Administrator-, Benutzer-, Installations- und Upgrade-Handbuch 2.7, Interface Manuals ERP/WCS 2.7/2.8, REST-Spezifikation, Handbücher 2.8, Schulungsunterlagen, Knowlledge-Ordner, bestehende How-tos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072"/>
        <w:gridCol w:w="3072"/>
        <w:gridCol w:w="3380"/>
      </w:tblGrid>
      <w:tr>
        <w:trPr>
          <w:tblHeader w:val="true"/>
        </w:trPr>
        <w:tc>
          <w:tcPr>
            <w:tcW w:type="dxa" w:w="30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30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33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3072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3072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3380"/>
          </w:tcPr>
          <w:p>
            <w:pPr>
              <w:spacing w:after="0" w:line="252" w:lineRule="auto"/>
            </w:pPr>
            <w:r>
              <w:rPr>
                <w:sz w:val="17"/>
              </w:rPr>
              <w:t>Erstausgabe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Ausgangslage: vorhandene How-tos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07"/>
        <w:gridCol w:w="4053"/>
        <w:gridCol w:w="2364"/>
      </w:tblGrid>
      <w:tr>
        <w:trPr>
          <w:tblHeader w:val="true"/>
        </w:trPr>
        <w:tc>
          <w:tcPr>
            <w:tcW w:type="dxa" w:w="31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How-to</w:t>
            </w:r>
          </w:p>
        </w:tc>
        <w:tc>
          <w:tcPr>
            <w:tcW w:type="dxa" w:w="40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Kernthemen</w:t>
            </w:r>
          </w:p>
        </w:tc>
        <w:tc>
          <w:tcPr>
            <w:tcW w:type="dxa" w:w="23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Berührt am Rand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Externe Referenzen v1.2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Externe Referenzen, Felder und Schnittstellen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Klient, Lieferant, Partner + Mandanten v1.1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MD017, MD018, WLSCLIENT001, Mandantenfähigkeit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Benutzer/Rechte nur kurz (Kap. 7.3)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Dokumente drucken v1.0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Drucker, RM-Dialoge, Etiketten, Belege, Fehlersuche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Seriennummern auf Etiketten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Lagerprozesse v1.0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Lagerplätze, Mobil Einlagern/Kommissionieren, Zielplätze, Wagen, externe LE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Ausblick Nachschub 2.8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Lager-Strategien v1.0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Einlager-/Auslagerstrategien, Homogenität, FIFO/LIFO/MHD, ABIA, Zonen, Freigabe/Aktivierung, Konsolidierung, ABC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LE, Kubaturen, Zuordnungen und Zielplätze v1.0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LE, Kubatur, Artikel-Box-Zuordnung, Zielplätze, End-to-End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v1.0 (neu)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Aufbau, Ablauf, Anlegen, Generieren, Abbauen, PTL, Ziel voll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3107"/>
          </w:tcPr>
          <w:p>
            <w:pPr>
              <w:spacing w:after="0" w:line="252" w:lineRule="auto"/>
            </w:pPr>
            <w:r>
              <w:rPr>
                <w:sz w:val="17"/>
              </w:rPr>
              <w:t>Workshop-Fragenkatalog v0.1</w:t>
            </w:r>
          </w:p>
        </w:tc>
        <w:tc>
          <w:tcPr>
            <w:tcW w:type="dxa" w:w="4053"/>
          </w:tcPr>
          <w:p>
            <w:pPr>
              <w:spacing w:after="0" w:line="252" w:lineRule="auto"/>
            </w:pPr>
            <w:r>
              <w:rPr>
                <w:sz w:val="17"/>
              </w:rPr>
              <w:t>Fragen je Prozessblock (u. a. Inventur, Wareneingang, Schnittstellen, Betrieb)</w:t>
            </w:r>
          </w:p>
        </w:tc>
        <w:tc>
          <w:tcPr>
            <w:tcW w:type="dxa" w:w="2364"/>
          </w:tcPr>
          <w:p>
            <w:pPr>
              <w:spacing w:after="0" w:line="252" w:lineRule="auto"/>
            </w:pPr>
            <w:r>
              <w:rPr>
                <w:sz w:val="17"/>
              </w:rPr>
              <w:t>nur Fragen, keine Anleitungen</w:t>
            </w:r>
          </w:p>
        </w:tc>
      </w:tr>
    </w:tbl>
    <w:p>
      <w:pPr>
        <w:pStyle w:val="BeschriftungSSI"/>
      </w:pPr>
      <w:r>
        <w:t>Tab. 2: Abgedeckte Themen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C:\Dev\Anleitungen (Stand 15.10.2026); MAN\02 Knowlledge</w:t>
      </w:r>
    </w:p>
    <w:p>
      <w:pPr>
        <w:pStyle w:val="Heading1"/>
      </w:pPr>
      <w:r>
        <w:t>3 Lückenliste</w:t>
      </w:r>
    </w:p>
    <w:p>
      <w:r>
        <w:t>Tab. 3 nennt je Thema eine Kurzbeschreibung und die Relevanz, Tab. 4 die wichtigsten Dialoge und Quellen laut Handbuch. Die Nummer entspricht der Priorität in Kapitel 4.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80"/>
        <w:gridCol w:w="3194"/>
        <w:gridCol w:w="3484"/>
        <w:gridCol w:w="2265"/>
      </w:tblGrid>
      <w:tr>
        <w:trPr>
          <w:tblHeader w:val="true"/>
        </w:trPr>
        <w:tc>
          <w:tcPr>
            <w:tcW w:type="dxa" w:w="5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1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34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fehlt</w:t>
            </w:r>
          </w:p>
        </w:tc>
        <w:tc>
          <w:tcPr>
            <w:tcW w:type="dxa" w:w="226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Relevanz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Inventur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Inventurbedarfe anlegen und abarbeiten (Touch, Desktop, Mobil), spontane Inventur, Schwellenwertinventur, Differenzen und Buchungsschlüssel, ERP-Schnittstelle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Wareneingang und Einlagerung</w:t>
            </w:r>
            <w:r>
              <w:rPr>
                <w:sz w:val="17"/>
              </w:rPr>
              <w:t xml:space="preserve"> (Einlagerbedarf, Avis)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Einlagerbedarf anlegen/vorbereiten, Einlagerung am Touch-Client und Mobil, avisierte LE, Quittierung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Kommissionierung und Auftragsadministration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Ablauf vom Bedarf bis Abschluss als ein Prozess: Fehlmengen, Stornieren, Unterbrechen, Übernahme, Überspringen, Splitten, Menge anpassen, organisatorisch abschließen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Schnittstellen-Fehlerbehandlung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Fehlerhafte ein-/ausgehende Nachrichten finden, korrigieren, erneut verarbeiten; JMS-Wiederholungen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Systempartner und Quittierungen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Systempartner ERP/WCS anlegen, Quittierungsmodi (Einlagerung, Kommissionierung, Versand-LE, Plan-LE), Konverter/Verarbeitungspfad, Worker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Benutzer, Rollen und Rechte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Logins, Rollen, Applikations-Zugriffs-Profile, Bereichsprofile, Passwort, Sperren, Sitzungen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Charge, MHD und Seriennummern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Erfassung beim Ein-/Auslagern, Seriennummern-ABIA und Seriennummernkreise, Nummernkreise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mittel–hoch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Betrieb und Monitoring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LOGIMAT überwachen, Systemmeldungen, SPS-Fehler, Prozesse/Worker/Jobs, Logfiles, Support-Informationen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Backup, Update und Upgrade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(Handy Backup, Oracle, MS SQL, BDeploy-Instanz), Update zwischen Minor-, Upgrade zwischen Major-Versionen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Bestandsabgleich, -import und -korrektur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Bestandsabfrage/-meldung an ERP, Bestandskorrekturen mit Buchungsschlüssel, Datenmigration/Bestandsimport bei Go-live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Nachschub (2.8) und Bestandsschwellenwerte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Nachschubkonfiguration mit Ziel-Einschränkung, Schwellenwerte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Put-to-Light-Hardware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Device Controller, Line Controller, Gadgets, Worker; 2.8 KBS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 (teilweise im How-to Zielplätze)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Tablarverwaltung und Tablarvorlagen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Tablare anlegen, ändern, Boxlayout, Vorlagen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Installation, Lizenz, Konfigurationsimport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Inbetriebnahme, Lizenzimport, Konfig-Import, Geräte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niedrig–mittel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Excel-Import und Mapping-Profile (2.8)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Artikel und Bedarfe per Excel, Interface Mapping Profiles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niedrig–mittel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REST-Schnittstelle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Aufruf, Authentifizierung, Einsatzfälle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niedrig–mittel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17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Waagen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Waagen einrichten und beim Pick nutzen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niedrig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18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Internationalisierung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Sprachen, Übersetzungen, Einheiten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niedrig</w:t>
            </w:r>
          </w:p>
        </w:tc>
      </w:tr>
      <w:tr>
        <w:tc>
          <w:tcPr>
            <w:tcW w:type="dxa" w:w="581"/>
          </w:tcPr>
          <w:p>
            <w:pPr>
              <w:spacing w:after="0" w:line="252" w:lineRule="auto"/>
            </w:pPr>
            <w:r>
              <w:rPr>
                <w:sz w:val="17"/>
              </w:rPr>
              <w:t>19</w:t>
            </w:r>
          </w:p>
        </w:tc>
        <w:tc>
          <w:tcPr>
            <w:tcW w:type="dxa" w:w="3194"/>
          </w:tcPr>
          <w:p>
            <w:pPr>
              <w:spacing w:after="0" w:line="252" w:lineRule="auto"/>
            </w:pPr>
            <w:r>
              <w:rPr>
                <w:sz w:val="17"/>
              </w:rPr>
              <w:t>Bedienungsgrundlagen Touch/Desktop</w:t>
            </w:r>
          </w:p>
        </w:tc>
        <w:tc>
          <w:tcPr>
            <w:tcW w:type="dxa" w:w="3485"/>
          </w:tcPr>
          <w:p>
            <w:pPr>
              <w:spacing w:after="0" w:line="252" w:lineRule="auto"/>
            </w:pPr>
            <w:r>
              <w:rPr>
                <w:sz w:val="17"/>
              </w:rPr>
              <w:t>Navigation, Tabs ein-/ausblenden, Barcodeeingabe</w:t>
            </w:r>
          </w:p>
        </w:tc>
        <w:tc>
          <w:tcPr>
            <w:tcW w:type="dxa" w:w="2265"/>
          </w:tcPr>
          <w:p>
            <w:pPr>
              <w:spacing w:after="0" w:line="252" w:lineRule="auto"/>
            </w:pPr>
            <w:r>
              <w:rPr>
                <w:sz w:val="17"/>
              </w:rPr>
              <w:t>niedrig</w:t>
            </w:r>
          </w:p>
        </w:tc>
      </w:tr>
    </w:tbl>
    <w:p>
      <w:pPr>
        <w:pStyle w:val="BeschriftungSSI"/>
      </w:pPr>
      <w:r>
        <w:t>Tab. 3: Lücken mit Relevanz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32"/>
        <w:gridCol w:w="4396"/>
        <w:gridCol w:w="4396"/>
      </w:tblGrid>
      <w:tr>
        <w:trPr>
          <w:tblHeader w:val="true"/>
        </w:trPr>
        <w:tc>
          <w:tcPr>
            <w:tcW w:type="dxa" w:w="7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Hauptdialoge / Satzarten</w:t>
            </w:r>
          </w:p>
        </w:tc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LM090, LM091, LM092, LM002, MLI001–MLI005, MD063; Inventurbedarf/-quittierung (SH ERP Kap. 8)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BH 2.7, 6.1.7, 6.2.3, 6.2.4.3; AH 2.7 Buchungsschlüssel; QG_INVENTUR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LM080, LM081, LM082, LM086, LM111, MLS001–MLS008; Einlagerbedarf (SH ERP Kap. 6)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BH 2.7, 6.2.1, 6.3.1; SH ERP 2.7, Kap. 6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LM071–LM074, LM079, LM087, LM112, LM040, LM002, LM010, LM023, LM024, LM026–LM028, LM077, LM085, SM010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BH 2.7, 6.2.2, 6.2.4, 6.4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DI002, DI003, DI004, DI014, SE036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2.7, Kap. Fehlerhafte Nachrichten; IH 2.7, JMS message processing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MD021, WH147, MD096, MD093, SE038, SE015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2.7, Kap. 3.5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UM002, UM003, UM004, UM017, SE029, SE030, UM007, UM011, UM013, UM014, UM001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2.7, Kap. Benutzerverwaltung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MD002, MD080, MD027–MD029, MD091, LM002 (MHD/Charge)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2.7, Kap. ABIA, Nummernkreise; BH 2.7, 6.2.4.2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LM052, LM113, LM130, LM066, LM033, SE020, SE038, SE024–SE026, SE028, SE031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2.7; BH 2.7, 6.9, 6.10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BDeploy; Upgrade-Handbuch Kap. 3.1/3.2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IH 2.7, Kap. 7; Upgrade-Handbuch 2.7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LM101, MD063, SM043; Stock report/adjustment/import (SH ERP Kap. 9–11)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SH ERP 2.7, Kap. 9–11; BH 2.7, 6.1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LM175 (2.8), LM119, LM122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2.8, 3.1.11; AH 2.7 Bestandsschwellenwert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MF002, MF007, MF103–MF105, SE015; 2.8 LM301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IH 2.7, 6.6; AH 2.8, 3.9.2.3.3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LM021, LM034, LM158, LM014–LM016, LM042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BH 2.7, 5.2, 6.5, 6.6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LM061, SE072, LM051, LM055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IH 2.7; AH 2.7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LM161, LM163, MD001, DI002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2.8, 3.5.5–3.5.6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REST WAMAS.LS 2.7, WLM-REST V2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REST-Dokumente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17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SE076, SE077, LM147, LM138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2.7; BH 2.7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18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MD014, MD007–MD013, UM006, MD016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AH 2.7</w:t>
            </w:r>
          </w:p>
        </w:tc>
      </w:tr>
      <w:tr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19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BH 2.7, Kap. 4; Tabs_Touch (Schulung)</w:t>
            </w:r>
          </w:p>
        </w:tc>
      </w:tr>
    </w:tbl>
    <w:p>
      <w:pPr>
        <w:pStyle w:val="BeschriftungSSI"/>
      </w:pPr>
      <w:r>
        <w:t>Tab. 4: Hauptdialoge und Quellen je Lücke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Abgleich der Inhaltsverzeichnisse und Dialoglisten aus AH/BH 2.7, AH/BH 2.8, IH 2.7, Upgrade-Handbuch 2.7, SH ERP/WCS 2.7/2.8, REST-Dokumente; Schulungsordner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Teilweise abgedeckt</w:t>
            </w:r>
          </w:p>
          <w:p>
            <w:pPr>
              <w:spacing w:after="40"/>
            </w:pPr>
            <w:r>
              <w:rPr>
                <w:sz w:val="19"/>
              </w:rPr>
              <w:t xml:space="preserve">MHD/FIFO und ABIA sind als </w:t>
            </w:r>
            <w:r>
              <w:rPr>
                <w:b/>
                <w:sz w:val="19"/>
              </w:rPr>
              <w:t>Strategie</w:t>
            </w:r>
            <w:r>
              <w:rPr>
                <w:sz w:val="19"/>
              </w:rPr>
              <w:t xml:space="preserve"> im How-to „Lager-Strategien“ beschrieben; die Lücke 7 betrifft die </w:t>
            </w:r>
            <w:r>
              <w:rPr>
                <w:b/>
                <w:sz w:val="19"/>
              </w:rPr>
              <w:t>Erfassung</w:t>
            </w:r>
            <w:r>
              <w:rPr>
                <w:sz w:val="19"/>
              </w:rPr>
              <w:t xml:space="preserve"> und Nummernkreise. Put to Light ist fachlich im How-to „Zielplätze“ beschrieben; die Lücke 12 betrifft die Hardware-Konfiguration.</w:t>
            </w:r>
          </w:p>
        </w:tc>
      </w:tr>
    </w:tbl>
    <w:p>
      <w:pPr>
        <w:spacing w:after="40"/>
      </w:pPr>
    </w:p>
    <w:p>
      <w:pPr>
        <w:pStyle w:val="Heading1"/>
      </w:pPr>
      <w:r>
        <w:t>4 Roadmap</w:t>
      </w:r>
    </w:p>
    <w:p>
      <w:pPr>
        <w:pStyle w:val="Heading2"/>
      </w:pPr>
      <w:r>
        <w:t>4.1 Priorisierte Reihenfolge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Inventur</w:t>
      </w:r>
      <w:r>
        <w:t xml:space="preserve"> – jedes Projekt braucht sie spätestens zum Jahresabschluss; Kurzanleitung QG_INVENTUR ist als Startpunkt vorhanden.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Wareneingang und Einlagerung</w:t>
      </w:r>
      <w:r>
        <w:t xml:space="preserve"> – erster Prozess im Go-live; schließt an „LE/Kubaturen“ und „Lager-Strategien“ an.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Kommissionierung und Auftragsadministration</w:t>
      </w:r>
      <w:r>
        <w:t xml:space="preserve"> – Kernprozess; Sonderfälle (Fehlmenge, Split, organisatorisch abschließen) sorgen im Betrieb für die meisten Rückfragen.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Schnittstellen-Fehlerbehandlung</w:t>
      </w:r>
      <w:r>
        <w:t xml:space="preserve"> – sofort nach Go-live nötig; kurz und schnell zu erstellen.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Systempartner und Quittierungen</w:t>
      </w:r>
      <w:r>
        <w:t xml:space="preserve"> – gemeinsam mit Nr. 4 bündeln; heute über mehrere How-tos verstreut.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Benutzer, Rollen und Rechte</w:t>
      </w:r>
      <w:r>
        <w:t xml:space="preserve"> – vor Go-live für Key-User nötig.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Charge, MHD und Seriennummern</w:t>
      </w:r>
      <w:r>
        <w:t xml:space="preserve"> – für Pharma, Elektronik und Ersatzteile kritisch.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Betrieb und Monitoring</w:t>
      </w:r>
      <w:r>
        <w:t xml:space="preserve"> – Betriebshandbuch für Kunde und Hotline.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rPr>
          <w:b/>
        </w:rPr>
        <w:t>Backup, Update und Upgrade</w:t>
      </w:r>
      <w:r>
        <w:t xml:space="preserve"> – IT-Zielgruppe; Quellen in Englisch vorhanden.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rPr>
          <w:b/>
        </w:rPr>
        <w:t>Bestandsabgleich, -import und -korrektur</w:t>
      </w:r>
      <w:r>
        <w:t xml:space="preserve"> – wichtig für Datenmigration beim Go-live.</w:t>
      </w:r>
    </w:p>
    <w:p>
      <w:r>
        <w:t>Danach Nr. 11–19 nach Projektbedarf.</w:t>
      </w:r>
    </w:p>
    <w:p>
      <w:pPr>
        <w:pStyle w:val="Heading2"/>
      </w:pPr>
      <w:r>
        <w:t>4.2 Bündelung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56"/>
        <w:gridCol w:w="1656"/>
        <w:gridCol w:w="6212"/>
      </w:tblGrid>
      <w:tr>
        <w:trPr>
          <w:tblHeader w:val="true"/>
        </w:trPr>
        <w:tc>
          <w:tcPr>
            <w:tcW w:type="dxa" w:w="16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Paket</w:t>
            </w:r>
          </w:p>
        </w:tc>
        <w:tc>
          <w:tcPr>
            <w:tcW w:type="dxa" w:w="16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Themen</w:t>
            </w:r>
          </w:p>
        </w:tc>
        <w:tc>
          <w:tcPr>
            <w:tcW w:type="dxa" w:w="62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Begründung</w:t>
            </w:r>
          </w:p>
        </w:tc>
      </w:tr>
      <w:tr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A Kernprozesse</w:t>
            </w:r>
          </w:p>
        </w:tc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1, 2, 3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gleiche Dialogfamilie (LM0xx, MLx), gleiche Zielgruppe Key-User</w:t>
            </w:r>
          </w:p>
        </w:tc>
      </w:tr>
      <w:tr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B Schnittstellen</w:t>
            </w:r>
          </w:p>
        </w:tc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4, 5, 10, 15, 16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ERP-/WCS-Sicht, gleiche Dialoge DI/MD</w:t>
            </w:r>
          </w:p>
        </w:tc>
      </w:tr>
      <w:tr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C Administration</w:t>
            </w:r>
          </w:p>
        </w:tc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6, 7, 18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Stammdaten und Rechte</w:t>
            </w:r>
          </w:p>
        </w:tc>
      </w:tr>
      <w:tr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D IT und Betrieb</w:t>
            </w:r>
          </w:p>
        </w:tc>
        <w:tc>
          <w:tcPr>
            <w:tcW w:type="dxa" w:w="1656"/>
          </w:tcPr>
          <w:p>
            <w:pPr>
              <w:spacing w:after="0" w:line="252" w:lineRule="auto"/>
            </w:pPr>
            <w:r>
              <w:rPr>
                <w:sz w:val="17"/>
              </w:rPr>
              <w:t>8, 9, 14, 12, 17</w:t>
            </w:r>
          </w:p>
        </w:tc>
        <w:tc>
          <w:tcPr>
            <w:tcW w:type="dxa" w:w="6212"/>
          </w:tcPr>
          <w:p>
            <w:pPr>
              <w:spacing w:after="0" w:line="252" w:lineRule="auto"/>
            </w:pPr>
            <w:r>
              <w:rPr>
                <w:sz w:val="17"/>
              </w:rPr>
              <w:t>Installations- und Betriebshandbuch</w:t>
            </w:r>
          </w:p>
        </w:tc>
      </w:tr>
    </w:tbl>
    <w:p>
      <w:pPr>
        <w:pStyle w:val="BeschriftungSSI"/>
      </w:pPr>
      <w:r>
        <w:t>Tab. 5: Pakete</w:t>
      </w:r>
    </w:p>
    <w:p>
      <w:pPr>
        <w:pStyle w:val="Heading1"/>
      </w:pPr>
      <w:r>
        <w:t>5 Stolperfallen bei der Erstellung</w:t>
      </w:r>
    </w:p>
    <w:p>
      <w:pPr>
        <w:pStyle w:val="ListBullet"/>
      </w:pPr>
      <w:r>
        <w:rPr>
          <w:b/>
        </w:rPr>
        <w:t>Sprachstand:</w:t>
      </w:r>
      <w:r>
        <w:t xml:space="preserve"> Installation, Upgrade, Interface Manuals und 2.8 gibt es nur auf Englisch; Begriffe vor dem Schreiben mit dem deutschen AH/BH 2.7 abgleichen.</w:t>
      </w:r>
    </w:p>
    <w:p>
      <w:pPr>
        <w:pStyle w:val="ListBullet"/>
      </w:pPr>
      <w:r>
        <w:rPr>
          <w:b/>
        </w:rPr>
        <w:t>Versionen:</w:t>
      </w:r>
      <w:r>
        <w:t xml:space="preserve"> Telegrammbeispiele „2.7.0“ enthalten Satzart-Versionen, die erst im Handbuch 2.8 stehen (z. B. </w:t>
      </w:r>
      <w:r>
        <w:rPr>
          <w:rFonts w:ascii="Consolas" w:hAnsi="Consolas" w:cs="Consolas" w:eastAsia="Consolas"/>
          <w:sz w:val="18"/>
        </w:rPr>
        <w:t>WLSP2LACK002</w:t>
      </w:r>
      <w:r>
        <w:t>). Satzarten immer am Live-System prüfen.</w:t>
      </w:r>
    </w:p>
    <w:p>
      <w:pPr>
        <w:pStyle w:val="ListBullet"/>
      </w:pPr>
      <w:r>
        <w:rPr>
          <w:b/>
        </w:rPr>
        <w:t>Vertrauliche Dateien:</w:t>
      </w:r>
      <w:r>
        <w:t xml:space="preserve"> Der Knowlledge-Ordner enthält Passwortdateien und der Installation Guide Zugangsdaten; diese gehören nicht in How-tos.</w:t>
      </w:r>
    </w:p>
    <w:p>
      <w:pPr>
        <w:pStyle w:val="ListBullet"/>
      </w:pPr>
      <w:r>
        <w:rPr>
          <w:b/>
        </w:rPr>
        <w:t>Doppelungen:</w:t>
      </w:r>
      <w:r>
        <w:t xml:space="preserve"> Themen wie Freigabe/Aktivierung, Konsolidierung und Etiketten sind schon in mehreren How-tos beschrieben; neue Anleitungen sollen darauf verweisen.</w:t>
      </w:r>
    </w:p>
    <w:p>
      <w:pPr>
        <w:pStyle w:val="Heading1"/>
      </w:pPr>
      <w:r>
        <w:t>6 Praxisbeispiel</w:t>
      </w:r>
    </w:p>
    <w:p>
      <w:r>
        <w:t>Beispiel (konstruiert, bitte prüfen): Ein Projekt geht in acht Wochen live. Paket A wird zuerst erstellt (Inventur, Wareneingang, Kommissionierung), parallel Nr. 4 „Schnittstellen-Fehlerbehandlung“ als Kurzanleitung für die Hypercare-Phase. Nr. 6 „Benutzer und Rechte“ folgt vor der Key-User-Schulung. Die Fragen aus dem Workshop-Fragenkatalog zu Inventur und Wareneingang liefern die projektspezifischen Werte, die in die Anleitungen als Beispiele einfließen.</w:t>
      </w:r>
    </w:p>
    <w:p>
      <w:pPr>
        <w:pStyle w:val="Heading1"/>
      </w:pPr>
      <w:r>
        <w:t>7 Offene Fragen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Offene Fragen</w:t>
            </w:r>
          </w:p>
          <w:p>
            <w:pPr>
              <w:spacing w:after="40"/>
            </w:pPr>
            <w:r>
              <w:rPr>
                <w:sz w:val="19"/>
              </w:rPr>
              <w:t>1. Gibt es für 2.7 interne SSI-Dokumente (z. B. Betriebshandbuch, Hotline-Leitfaden), die Lücke 8 und 9 bereits abdecken?</w:t>
            </w:r>
          </w:p>
          <w:p>
            <w:pPr>
              <w:spacing w:after="40"/>
            </w:pPr>
            <w:r>
              <w:rPr>
                <w:sz w:val="19"/>
              </w:rPr>
              <w:t>2. Soll für 2.8 ein eigener Satz How-tos entstehen oder sollen die 2.7-How-tos um 2.8-Kapitel ergänzt werden?</w:t>
            </w:r>
          </w:p>
          <w:p>
            <w:pPr>
              <w:spacing w:after="40"/>
            </w:pPr>
            <w:r>
              <w:rPr>
                <w:sz w:val="19"/>
              </w:rPr>
              <w:t>3. Welche Kundenprojekte nutzen Charge/MHD/Seriennummern (Lücke 7) und Put to Light (Lücke 12) tatsächlich?</w:t>
            </w:r>
          </w:p>
        </w:tc>
      </w:tr>
    </w:tbl>
    <w:p>
      <w:pPr>
        <w:spacing w:after="40"/>
      </w:pPr>
    </w:p>
    <w:p>
      <w:pPr>
        <w:pStyle w:val="Heading1"/>
      </w:pPr>
      <w:r>
        <w:t>8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350"/>
        <w:gridCol w:w="3175"/>
      </w:tblGrid>
      <w:tr>
        <w:trPr>
          <w:tblHeader w:val="true"/>
        </w:trPr>
        <w:tc>
          <w:tcPr>
            <w:tcW w:type="dxa" w:w="63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(Kürzel)</w:t>
            </w:r>
          </w:p>
        </w:tc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 2.7</w:t>
            </w:r>
            <w:r>
              <w:rPr>
                <w:sz w:val="17"/>
              </w:rPr>
              <w:t>: WAMAS.LS_2.7_man.administrator_V01.0_deDE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Kapitel- und Dialogliste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 2.7</w:t>
            </w:r>
            <w:r>
              <w:rPr>
                <w:sz w:val="17"/>
              </w:rPr>
              <w:t>: WAMAS.LS_2.7_man.user_V01.0_deDE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Kapitel- und Dialogliste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IH 2.7</w:t>
            </w:r>
            <w:r>
              <w:rPr>
                <w:sz w:val="17"/>
              </w:rPr>
              <w:t>: WAMAS.LS_2.7_man.installation_V01.1_enUS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Installation, P2L, JMS, Backup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Upgrade-Handbuch: WAMAS.LS_2.7_man.upgrade_V01.0_enUS; Systemvoraussetzungen: WAMAS.LS_2.7_req.system_V01.0_enUS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Update/Upgrade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 ERP / WCS 2.7 / 2.8</w:t>
            </w:r>
            <w:r>
              <w:rPr>
                <w:sz w:val="17"/>
              </w:rPr>
              <w:t>: Interface Manuals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Satzarten je Prozess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REST WAMAS.LS 2.7, WLM-REST Specification V2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REST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 / BH 2.8</w:t>
            </w:r>
            <w:r>
              <w:rPr>
                <w:sz w:val="17"/>
              </w:rPr>
              <w:t xml:space="preserve"> (enUS)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Neuerungen 2.8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Schulungsordner (Consultant Training 2024, CustomerTraining 2.3, Endkundenschulung, QG_INVENTUR, Tabs_Touch)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Ergänzende Hinweise</w:t>
            </w:r>
          </w:p>
        </w:tc>
      </w:tr>
      <w:tr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Bestehende How-tos (Kap. 2)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Abdeckung</w:t>
            </w:r>
          </w:p>
        </w:tc>
      </w:tr>
    </w:tbl>
    <w:p>
      <w:pPr>
        <w:pStyle w:val="BeschriftungSSI"/>
      </w:pPr>
      <w:r>
        <w:t>Tab. 6: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 (Ausblick 2.8)</w:t>
          </w:r>
        </w:p>
        <w:p>
          <w:pPr>
            <w:spacing w:after="0" w:line="240" w:lineRule="auto"/>
          </w:pPr>
          <w:r>
            <w:rPr>
              <w:sz w:val="13"/>
            </w:rPr>
            <w:t>Übersicht / Roadmap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Übersicht / Roadmap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Dokumentationslücken und Roadmap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Dokumentationslücken und Roadmap</dc:title>
  <dc:subject>Welche prozessrelevanten Themen von WAMAS Lift &amp; Store noch kein How-to haben – mit Relevanz, Dialogen und Reihenfolge</dc:subject>
  <dc:creator>Marek,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