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</w:pPr>
      <w:r>
        <w:drawing>
          <wp:anchor distT="0" distB="0" distL="0" distR="0" simplePos="0" relativeHeight="251658341" behindDoc="1" locked="0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60000" cy="10692000"/>
            <wp:effectExtent l="0" t="0" r="0" b="0"/>
            <wp:wrapNone/>
            <wp:docPr id="101" name="Bild 101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logimat_titelfoto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560000" cy="10692000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2" behindDoc="0" locked="0" layoutInCell="1" allowOverlap="1">
            <wp:simplePos x="0" y="0"/>
            <wp:positionH relativeFrom="page">
              <wp:posOffset>2736000</wp:posOffset>
            </wp:positionH>
            <wp:positionV relativeFrom="page">
              <wp:posOffset>9846000</wp:posOffset>
            </wp:positionV>
            <wp:extent cx="1655999" cy="246394"/>
            <wp:effectExtent l="0" t="0" r="0" b="0"/>
            <wp:wrapNone/>
            <wp:docPr id="102" name="Bild 102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wamas_logo.png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55999" cy="246394"/>
                    </a:xfrm>
                    <a:prstGeom prst="rect"/>
                  </pic:spPr>
                </pic:pic>
              </a:graphicData>
            </a:graphic>
          </wp:anchor>
        </w:drawing>
      </w:r>
      <w:r>
        <w:drawing>
          <wp:anchor distT="0" distB="0" distL="0" distR="0" simplePos="0" relativeHeight="251658343" behindDoc="0" locked="0" layoutInCell="1" allowOverlap="1">
            <wp:simplePos x="0" y="0"/>
            <wp:positionH relativeFrom="page">
              <wp:posOffset>4680000</wp:posOffset>
            </wp:positionH>
            <wp:positionV relativeFrom="page">
              <wp:posOffset>9576000</wp:posOffset>
            </wp:positionV>
            <wp:extent cx="2376000" cy="508527"/>
            <wp:effectExtent l="0" t="0" r="0" b="0"/>
            <wp:wrapNone/>
            <wp:docPr id="103" name="Bild 103"/>
            <wp:cNvGraphicFramePr/>
            <a:graphic xmlns:a="http://schemas.openxmlformats.org/drawingml/2006/main" xmlns:pic="http://schemas.openxmlformats.org/drawingml/2006/picture">
              <a:graphicData uri="http://schemas.openxmlformats.org/drawingml/2006/picture">
                <pic:pic>
                  <pic:nvPicPr>
                    <pic:cNvPr id="0" name="ssi_logo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376000" cy="508527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spacing w:after="0"/>
      </w:pPr>
    </w:p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EEE19"/>
            <w:tcMar>
              <w:top w:w="300" w:type="dxa"/>
              <w:bottom w:w="3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360"/>
            </w:pPr>
            <w:r>
              <w:rPr>
                <w:b w:val="0"/>
                <w:sz w:val="40"/>
              </w:rPr>
              <w:t>How-to-Handbuch (intern)</w:t>
            </w:r>
          </w:p>
          <w:p>
            <w:pPr>
              <w:spacing w:after="120"/>
            </w:pPr>
            <w:r>
              <w:rPr>
                <w:b/>
                <w:sz w:val="48"/>
              </w:rPr>
              <w:t>Netzwerk-Kommunikation und Ports</w:t>
            </w:r>
          </w:p>
          <w:p>
            <w:pPr>
              <w:spacing w:after="360"/>
            </w:pPr>
            <w:r>
              <w:rPr>
                <w:b w:val="0"/>
                <w:sz w:val="32"/>
              </w:rPr>
              <w:t>WAMAS Lift &amp; Store 2.7/2.8</w:t>
            </w:r>
          </w:p>
          <w:p>
            <w:pPr>
              <w:spacing w:after="0"/>
            </w:pPr>
            <w:r>
              <w:rPr>
                <w:b w:val="0"/>
                <w:sz w:val="22"/>
              </w:rPr>
              <w:t>Standard  ·  Deutsch (de-DE)</w:t>
            </w:r>
          </w:p>
        </w:tc>
      </w:tr>
    </w:tbl>
    <w:tbl>
      <w:tblPr>
        <w:tblLook w:firstColumn="1" w:firstRow="1" w:lastColumn="0" w:lastRow="0" w:noHBand="0" w:noVBand="1" w:val="04A0"/>
        <w:tblW w:w="7938" w:type="dxa"/>
        <w:tblLayout w:type="fixed"/>
      </w:tblPr>
      <w:tblGrid>
        <w:gridCol w:w="7938"/>
      </w:tblGrid>
      <w:tr>
        <w:tc>
          <w:tcPr>
            <w:tcW w:type="dxa" w:w="7937"/>
            <w:shd w:val="clear" w:color="auto" w:fill="FFFFFF"/>
            <w:tcMar>
              <w:top w:w="200" w:type="dxa"/>
              <w:bottom w:w="400" w:type="dxa"/>
              <w:start w:w="300" w:type="dxa"/>
              <w:end w:w="300" w:type="dxa"/>
              <w:left w:w="300" w:type="dxa"/>
              <w:right w:w="300" w:type="dxa"/>
            </w:tcMar>
          </w:tcPr>
          <w:p>
            <w:pPr>
              <w:spacing w:after="80"/>
            </w:pPr>
            <w:r>
              <w:rPr>
                <w:b w:val="0"/>
                <w:sz w:val="21"/>
              </w:rPr>
              <w:t>Komponenten, Ports, Protokolle und Firewall-Freigaben – WAMAS Lift &amp; Store 2.7/2.8</w:t>
            </w:r>
          </w:p>
          <w:p>
            <w:pPr>
              <w:spacing w:after="0"/>
            </w:pPr>
            <w:r>
              <w:rPr>
                <w:b w:val="0"/>
                <w:color w:val="555555"/>
                <w:sz w:val="18"/>
              </w:rPr>
              <w:t>SSI SCHÄFER – Marek</w:t>
            </w:r>
          </w:p>
        </w:tc>
      </w:tr>
    </w:tbl>
    <w:p>
      <w:pPr>
        <w:spacing w:before="8617"/>
      </w:pPr>
      <w:r>
        <w:rPr>
          <w:sz w:val="18"/>
        </w:rPr>
        <w:t>V 1.0  ·  16.10.2026</w:t>
        <w:br w:type="page"/>
      </w:r>
    </w:p>
    <w:p>
      <w:r>
        <w:rPr>
          <w:b/>
          <w:sz w:val="28"/>
        </w:rPr>
        <w:t>Inhaltsverzeichnis</w:t>
      </w:r>
    </w:p>
    <w:p/>
    <w:p>
      <w:pPr>
        <w:pStyle w:val="TOC1"/>
        <w:tabs>
          <w:tab w:pos="9524" w:val="right" w:leader="dot"/>
        </w:tabs>
      </w:pPr>
      <w:r>
        <w:fldChar w:fldCharType="begin"/>
      </w:r>
      <w:r>
        <w:instrText xml:space="preserve"> TOC \o "1-2" \h \z \u </w:instrText>
      </w:r>
      <w:r>
        <w:fldChar w:fldCharType="separate"/>
      </w:r>
      <w:r>
        <w:t>1 Über dieses Dokument</w:t>
        <w:tab/>
        <w:t>4</w:t>
      </w:r>
    </w:p>
    <w:p>
      <w:pPr>
        <w:pStyle w:val="TOC2"/>
        <w:tabs>
          <w:tab w:pos="9524" w:val="right" w:leader="dot"/>
        </w:tabs>
      </w:pPr>
      <w:r>
        <w:t>1.1 Zweck und Geltungsbereich</w:t>
        <w:tab/>
        <w:t>4</w:t>
      </w:r>
    </w:p>
    <w:p>
      <w:pPr>
        <w:pStyle w:val="TOC2"/>
        <w:tabs>
          <w:tab w:pos="9524" w:val="right" w:leader="dot"/>
        </w:tabs>
      </w:pPr>
      <w:r>
        <w:t>1.2 Quellenlage und Lesehilfe</w:t>
        <w:tab/>
        <w:t>4</w:t>
      </w:r>
    </w:p>
    <w:p>
      <w:pPr>
        <w:pStyle w:val="TOC2"/>
        <w:tabs>
          <w:tab w:pos="9524" w:val="right" w:leader="dot"/>
        </w:tabs>
      </w:pPr>
      <w:r>
        <w:t>1.3 Dokumentinformationen</w:t>
        <w:tab/>
        <w:t>4</w:t>
      </w:r>
    </w:p>
    <w:p>
      <w:pPr>
        <w:pStyle w:val="TOC1"/>
        <w:tabs>
          <w:tab w:pos="9524" w:val="right" w:leader="dot"/>
        </w:tabs>
      </w:pPr>
      <w:r>
        <w:t>2 Systemübersicht: Komponenten und Netzzonen</w:t>
        <w:tab/>
        <w:t>5</w:t>
      </w:r>
    </w:p>
    <w:p>
      <w:pPr>
        <w:pStyle w:val="TOC1"/>
        <w:tabs>
          <w:tab w:pos="9524" w:val="right" w:leader="dot"/>
        </w:tabs>
      </w:pPr>
      <w:r>
        <w:t>3 Netzwerk-Anforderungen: Bandbreite und Latenz</w:t>
        <w:tab/>
        <w:t>6</w:t>
      </w:r>
    </w:p>
    <w:p>
      <w:pPr>
        <w:pStyle w:val="TOC1"/>
        <w:tabs>
          <w:tab w:pos="9524" w:val="right" w:leader="dot"/>
        </w:tabs>
      </w:pPr>
      <w:r>
        <w:t>4 Server-Ports (WAMAS-Plattform)</w:t>
        <w:tab/>
        <w:t>7</w:t>
      </w:r>
    </w:p>
    <w:p>
      <w:pPr>
        <w:pStyle w:val="TOC1"/>
        <w:tabs>
          <w:tab w:pos="9524" w:val="right" w:leader="dot"/>
        </w:tabs>
      </w:pPr>
      <w:r>
        <w:t>5 Datenbank</w:t>
        <w:tab/>
        <w:t>9</w:t>
      </w:r>
    </w:p>
    <w:p>
      <w:pPr>
        <w:pStyle w:val="TOC1"/>
        <w:tabs>
          <w:tab w:pos="9524" w:val="right" w:leader="dot"/>
        </w:tabs>
      </w:pPr>
      <w:r>
        <w:t>6 Clients</w:t>
        <w:tab/>
        <w:t>10</w:t>
      </w:r>
    </w:p>
    <w:p>
      <w:pPr>
        <w:pStyle w:val="TOC1"/>
        <w:tabs>
          <w:tab w:pos="9524" w:val="right" w:leader="dot"/>
        </w:tabs>
      </w:pPr>
      <w:r>
        <w:t>7 LOGIMAT-Lift und SPS</w:t>
        <w:tab/>
        <w:t>11</w:t>
      </w:r>
    </w:p>
    <w:p>
      <w:pPr>
        <w:pStyle w:val="TOC1"/>
        <w:tabs>
          <w:tab w:pos="9524" w:val="right" w:leader="dot"/>
        </w:tabs>
      </w:pPr>
      <w:r>
        <w:t>8 ERP-/Host-Schnittstelle</w:t>
        <w:tab/>
        <w:t>12</w:t>
      </w:r>
    </w:p>
    <w:p>
      <w:pPr>
        <w:pStyle w:val="TOC1"/>
        <w:tabs>
          <w:tab w:pos="9524" w:val="right" w:leader="dot"/>
        </w:tabs>
      </w:pPr>
      <w:r>
        <w:t>9 Drucker</w:t>
        <w:tab/>
        <w:t>13</w:t>
      </w:r>
    </w:p>
    <w:p>
      <w:pPr>
        <w:pStyle w:val="TOC1"/>
        <w:tabs>
          <w:tab w:pos="9524" w:val="right" w:leader="dot"/>
        </w:tabs>
      </w:pPr>
      <w:r>
        <w:t>10 Scanner und mobile Terminals</w:t>
        <w:tab/>
        <w:t>14</w:t>
      </w:r>
    </w:p>
    <w:p>
      <w:pPr>
        <w:pStyle w:val="TOC1"/>
        <w:tabs>
          <w:tab w:pos="9524" w:val="right" w:leader="dot"/>
        </w:tabs>
      </w:pPr>
      <w:r>
        <w:t>11 Authentifizierung</w:t>
        <w:tab/>
        <w:t>15</w:t>
      </w:r>
    </w:p>
    <w:p>
      <w:pPr>
        <w:pStyle w:val="TOC1"/>
        <w:tabs>
          <w:tab w:pos="9524" w:val="right" w:leader="dot"/>
        </w:tabs>
      </w:pPr>
      <w:r>
        <w:t>12 Lizenzierung</w:t>
        <w:tab/>
        <w:t>16</w:t>
      </w:r>
    </w:p>
    <w:p>
      <w:pPr>
        <w:pStyle w:val="TOC1"/>
        <w:tabs>
          <w:tab w:pos="9524" w:val="right" w:leader="dot"/>
        </w:tabs>
      </w:pPr>
      <w:r>
        <w:t>13 E-Mail/SMTP</w:t>
        <w:tab/>
        <w:t>17</w:t>
      </w:r>
    </w:p>
    <w:p>
      <w:pPr>
        <w:pStyle w:val="TOC1"/>
        <w:tabs>
          <w:tab w:pos="9524" w:val="right" w:leader="dot"/>
        </w:tabs>
      </w:pPr>
      <w:r>
        <w:t>14 Fernwartung</w:t>
        <w:tab/>
        <w:t>18</w:t>
      </w:r>
    </w:p>
    <w:p>
      <w:pPr>
        <w:pStyle w:val="TOC1"/>
        <w:tabs>
          <w:tab w:pos="9524" w:val="right" w:leader="dot"/>
        </w:tabs>
      </w:pPr>
      <w:r>
        <w:t>15 Put-to-Light / LogiPointer</w:t>
        <w:tab/>
        <w:t>19</w:t>
      </w:r>
    </w:p>
    <w:p>
      <w:pPr>
        <w:pStyle w:val="TOC1"/>
        <w:tabs>
          <w:tab w:pos="9524" w:val="right" w:leader="dot"/>
        </w:tabs>
      </w:pPr>
      <w:r>
        <w:t>16 Firewall-Checkliste</w:t>
        <w:tab/>
        <w:t>20</w:t>
      </w:r>
    </w:p>
    <w:p>
      <w:pPr>
        <w:pStyle w:val="TOC1"/>
        <w:tabs>
          <w:tab w:pos="9524" w:val="right" w:leader="dot"/>
        </w:tabs>
      </w:pPr>
      <w:r>
        <w:t>17 Stolperfallen</w:t>
        <w:tab/>
        <w:t>21</w:t>
      </w:r>
    </w:p>
    <w:p>
      <w:pPr>
        <w:pStyle w:val="TOC1"/>
        <w:tabs>
          <w:tab w:pos="9524" w:val="right" w:leader="dot"/>
        </w:tabs>
      </w:pPr>
      <w:r>
        <w:t>18 Praxisbeispiel 1: Firewall-Freigabe für Neukunden mit ERP über REST</w:t>
        <w:tab/>
      </w:r>
    </w:p>
    <w:p>
      <w:pPr>
        <w:pStyle w:val="TOC1"/>
        <w:tabs>
          <w:tab w:pos="9524" w:val="right" w:leader="dot"/>
        </w:tabs>
      </w:pPr>
      <w:r>
        <w:t>19 Praxisbeispiel 2: Touch-Client verbindet sich nicht</w:t>
        <w:tab/>
        <w:t>23</w:t>
      </w:r>
    </w:p>
    <w:p>
      <w:pPr>
        <w:pStyle w:val="TOC1"/>
        <w:tabs>
          <w:tab w:pos="9524" w:val="right" w:leader="dot"/>
        </w:tabs>
      </w:pPr>
      <w:r>
        <w:t>20 Dokumentationslücken</w:t>
        <w:tab/>
        <w:t>24</w:t>
      </w:r>
    </w:p>
    <w:p>
      <w:pPr>
        <w:pStyle w:val="TOC1"/>
        <w:tabs>
          <w:tab w:pos="9524" w:val="right" w:leader="dot"/>
        </w:tabs>
      </w:pPr>
      <w:r>
        <w:t>21 Quellenverzeichnis</w:t>
        <w:tab/>
        <w:t>25</w:t>
      </w:r>
      <w:r>
        <w:fldChar w:fldCharType="end"/>
      </w:r>
    </w:p>
    <w:p>
      <w:pPr>
        <w:pStyle w:val="Heading1"/>
      </w:pPr>
      <w:r>
        <w:t>1 Über dieses Dokument</w:t>
      </w:r>
    </w:p>
    <w:p>
      <w:pPr>
        <w:pStyle w:val="Heading2"/>
      </w:pPr>
      <w:r>
        <w:t>1.1 Zweck und Geltungsbereich</w:t>
      </w:r>
    </w:p>
    <w:p>
      <w:r>
        <w:t xml:space="preserve">Dieses Handbuch beschreibt, welche Komponenten von </w:t>
      </w:r>
      <w:r>
        <w:rPr>
          <w:b/>
        </w:rPr>
        <w:t>WAMAS Lift &amp; Store</w:t>
      </w:r>
      <w:r>
        <w:t xml:space="preserve"> (WLS) 2.7 und 2.8 miteinander kommunizieren, welche TCP-Ports und Protokolle dafür nötig sind und wie Firewall-Freigaben beim Kunden geplant werden. Es richtet sich an SSI-Mitarbeiter in Inbetriebnahme, Consulting und Support. Für die Kunden-IT gibt es eine gekürzte Fassung: </w:t>
      </w:r>
      <w:r>
        <w:rPr>
          <w:b/>
        </w:rPr>
        <w:t>WAMAS_LS_2.7-2.8_IT-Anforderungen_Netzwerk_Ports_deDE_v1.0</w:t>
      </w:r>
      <w:r>
        <w:t>.</w:t>
      </w:r>
    </w:p>
    <w:p>
      <w:pPr>
        <w:pStyle w:val="Heading2"/>
      </w:pPr>
      <w:r>
        <w:t>1.2 Quellenlage und Lesehilfe</w:t>
      </w:r>
    </w:p>
    <w:p>
      <w:pPr>
        <w:pStyle w:val="ListBullet"/>
      </w:pPr>
      <w:r>
        <w:t>Jeder Port ist mit Quelle (Dokument, Kapitel, Seite) belegt. Abkürzungen siehe Kapitel 21.</w:t>
      </w:r>
    </w:p>
    <w:p>
      <w:pPr>
        <w:pStyle w:val="ListBullet"/>
      </w:pPr>
      <w:r>
        <w:t xml:space="preserve">Priorität: Systemvoraussetzungen 2.8 [SR28] vor Systemvoraussetzungen 2.7 [SR27] und Installationshandbuch 2.7 [IG27]. Angaben nur aus der allgemeinen WAMAS-5-Portliste [WP5] oder aus 2.4 sind als </w:t>
      </w:r>
      <w:r>
        <w:rPr>
          <w:b/>
        </w:rPr>
        <w:t>im System prüfen</w:t>
      </w:r>
      <w:r>
        <w:t xml:space="preserve"> markiert.</w:t>
      </w:r>
    </w:p>
    <w:p>
      <w:pPr>
        <w:pStyle w:val="ListBullet"/>
      </w:pPr>
      <w:r>
        <w:t>Ein Installationshandbuch 2.8, deutsche Systemvoraussetzungen 2.7 und die Router-Anleitung (Weidmüller) lagen nicht vor.</w:t>
      </w:r>
    </w:p>
    <w:p>
      <w:pPr>
        <w:pStyle w:val="ListBullet"/>
      </w:pPr>
      <w:r>
        <w:t>Nicht belegte Punkte stehen in einem grauen Lückenkasten und gesammelt in Kapitel 20.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FF9C4"/>
            <w:tcBorders>
              <w:top w:val="nil"/>
              <w:left w:val="single" w:sz="24" w:color="E89A00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sz w:val="19"/>
              </w:rPr>
              <w:t>Keine Zugangsdaten in Dokumenten</w:t>
            </w:r>
          </w:p>
          <w:p>
            <w:pPr>
              <w:spacing w:after="40"/>
            </w:pPr>
            <w:r>
              <w:rPr>
                <w:sz w:val="19"/>
              </w:rPr>
              <w:t>Passwörter, Router-Logins und interne IP-Adressen gehören ausschließlich in Passion, nicht in dieses Dokument und nicht in Wissensdokumente.</w:t>
            </w:r>
          </w:p>
        </w:tc>
      </w:tr>
    </w:tbl>
    <w:p>
      <w:pPr>
        <w:spacing w:after="40"/>
      </w:pPr>
    </w:p>
    <w:p>
      <w:pPr>
        <w:pStyle w:val="Heading2"/>
      </w:pPr>
      <w:r>
        <w:t>1.3 Dokumentinformationen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268"/>
        <w:gridCol w:w="7257"/>
      </w:tblGrid>
      <w:tr>
        <w:trPr>
          <w:tblHeader w:val="true"/>
        </w:trPr>
        <w:tc>
          <w:tcPr>
            <w:tcW w:type="dxa" w:w="226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Merkmal</w:t>
            </w:r>
          </w:p>
        </w:tc>
        <w:tc>
          <w:tcPr>
            <w:tcW w:type="dxa" w:w="725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Angabe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Titel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Netzwerk-Kommunikation und Ports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Produkt / Release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2.7/2.8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Dokumentversion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Stand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Autor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SSI SCHÄFER – Marek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Zielgruppe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Inbetriebnahme, Consulting, Support (SSI-intern)</w:t>
            </w:r>
          </w:p>
        </w:tc>
      </w:tr>
      <w:tr>
        <w:tc>
          <w:tcPr>
            <w:tcW w:type="dxa" w:w="2268"/>
          </w:tcPr>
          <w:p>
            <w:pPr>
              <w:spacing w:after="0" w:line="252" w:lineRule="auto"/>
            </w:pPr>
            <w:r>
              <w:rPr>
                <w:b/>
                <w:sz w:val="17"/>
              </w:rPr>
              <w:t>Grundlage</w:t>
            </w:r>
          </w:p>
        </w:tc>
        <w:tc>
          <w:tcPr>
            <w:tcW w:type="dxa" w:w="7257"/>
          </w:tcPr>
          <w:p>
            <w:pPr>
              <w:spacing w:after="0" w:line="252" w:lineRule="auto"/>
            </w:pPr>
            <w:r>
              <w:rPr>
                <w:sz w:val="17"/>
              </w:rPr>
              <w:t>Systemvoraussetzungen 2.7/2.8, Installationshandbuch 2.7, Schnittstellenhandbuch ERP 2.8, Administratorhandbuch 2.7/2.8, WAMAS-5-Portliste</w:t>
            </w:r>
          </w:p>
        </w:tc>
      </w:tr>
    </w:tbl>
    <w:p>
      <w:pPr>
        <w:spacing w:after="40"/>
      </w:pP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871"/>
        <w:gridCol w:w="1871"/>
        <w:gridCol w:w="5783"/>
      </w:tblGrid>
      <w:tr>
        <w:trPr>
          <w:tblHeader w:val="true"/>
        </w:trPr>
        <w:tc>
          <w:tcPr>
            <w:tcW w:type="dxa" w:w="18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Version</w:t>
            </w:r>
          </w:p>
        </w:tc>
        <w:tc>
          <w:tcPr>
            <w:tcW w:type="dxa" w:w="187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Datum</w:t>
            </w:r>
          </w:p>
        </w:tc>
        <w:tc>
          <w:tcPr>
            <w:tcW w:type="dxa" w:w="578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Änderung</w:t>
            </w:r>
          </w:p>
        </w:tc>
      </w:tr>
      <w:tr>
        <w:tc>
          <w:tcPr>
            <w:tcW w:type="dxa" w:w="1871"/>
          </w:tcPr>
          <w:p>
            <w:pPr>
              <w:spacing w:after="0" w:line="252" w:lineRule="auto"/>
            </w:pPr>
            <w:r>
              <w:rPr>
                <w:sz w:val="17"/>
              </w:rPr>
              <w:t>1.0</w:t>
            </w:r>
          </w:p>
        </w:tc>
        <w:tc>
          <w:tcPr>
            <w:tcW w:type="dxa" w:w="1871"/>
          </w:tcPr>
          <w:p>
            <w:pPr>
              <w:spacing w:after="0" w:line="252" w:lineRule="auto"/>
            </w:pPr>
            <w:r>
              <w:rPr>
                <w:sz w:val="17"/>
              </w:rPr>
              <w:t>16.10.2026</w:t>
            </w:r>
          </w:p>
        </w:tc>
        <w:tc>
          <w:tcPr>
            <w:tcW w:type="dxa" w:w="5783"/>
          </w:tcPr>
          <w:p>
            <w:pPr>
              <w:spacing w:after="0" w:line="252" w:lineRule="auto"/>
            </w:pPr>
            <w:r>
              <w:rPr>
                <w:sz w:val="17"/>
              </w:rPr>
              <w:t>Erstausgabe auf Basis Entwurf v0.1</w:t>
            </w:r>
          </w:p>
        </w:tc>
      </w:tr>
    </w:tbl>
    <w:p>
      <w:pPr>
        <w:pStyle w:val="BeschriftungSSI"/>
      </w:pPr>
      <w:r>
        <w:t>Tab. 1: Änderungshistorie</w:t>
      </w:r>
    </w:p>
    <w:p>
      <w:pPr>
        <w:pStyle w:val="Heading1"/>
      </w:pPr>
      <w:r>
        <w:t>2 Systemübersicht: Komponenten und Netzzonen</w:t>
      </w:r>
    </w:p>
    <w:p>
      <w:r>
        <w:t>WLS ist eine Server-Anwendung (WAMAS-5-Plattform, über BDeploy installiert) mit zentraler Datenbank. Clients, Lift-Steuerungen und ERP verbinden sich mit dem WAMAS-Server.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381"/>
        <w:gridCol w:w="7144"/>
      </w:tblGrid>
      <w:tr>
        <w:trPr>
          <w:tblHeader w:val="true"/>
        </w:trPr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Zone</w:t>
            </w:r>
          </w:p>
        </w:tc>
        <w:tc>
          <w:tcPr>
            <w:tcW w:type="dxa" w:w="714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Komponenten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Büronetz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Desktop-/Admin-Client, Web-Browser (Web Client, Reports), LDAP/Active Directory, Drucker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Server-Zone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WAMAS-L&amp;S-Server, Datenbankserver (MSSQL oder Oracle)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Lager-/OT-Netz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Touch-Client/IPC am LOGIMAT, mobile Terminals/Scanner, LogiMat-Router, LOGIMAT-SPS (SLL), LogiPointer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ERP/Host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ERP-System des Kunden (Datei, REST, Socket, Tabelle)</w:t>
            </w:r>
          </w:p>
        </w:tc>
      </w:tr>
      <w:tr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Internet/Fernwartung</w:t>
            </w:r>
          </w:p>
        </w:tc>
        <w:tc>
          <w:tcPr>
            <w:tcW w:type="dxa" w:w="7143"/>
          </w:tcPr>
          <w:p>
            <w:pPr>
              <w:spacing w:after="0" w:line="252" w:lineRule="auto"/>
            </w:pPr>
            <w:r>
              <w:rPr>
                <w:sz w:val="17"/>
              </w:rPr>
              <w:t>SSI-Support (RDP, SSH, Fernwartungs-Tool)</w:t>
            </w:r>
          </w:p>
        </w:tc>
      </w:tr>
    </w:tbl>
    <w:p>
      <w:pPr>
        <w:pStyle w:val="BeschriftungSSI"/>
      </w:pPr>
      <w:r>
        <w:t>Tab. 2: Netzzonen und Komponenten</w:t>
      </w:r>
    </w:p>
    <w:p>
      <w:pPr>
        <w:keepNext/>
      </w:pPr>
      <w:r>
        <w:drawing>
          <wp:inline xmlns:a="http://schemas.openxmlformats.org/drawingml/2006/main" xmlns:pic="http://schemas.openxmlformats.org/drawingml/2006/picture">
            <wp:extent cx="5940000" cy="3604458"/>
            <wp:docPr id="104" name="Picture 104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diagramm_intern.pn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940000" cy="3604458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BeschriftungSSI"/>
      </w:pPr>
      <w:r>
        <w:t>Abb. 1: Kommunikationswege von WAMAS Lift &amp; Store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11, S. 16–19; [IG27] Kap. 3.1, S. 6–9; [ERP28] Kap. 2.1.1</w:t>
      </w:r>
    </w:p>
    <w:p>
      <w:pPr>
        <w:pStyle w:val="Heading1"/>
      </w:pPr>
      <w:r>
        <w:t>3 Netzwerk-Anforderungen: Bandbreite und Latenz</w:t>
      </w:r>
    </w:p>
    <w:p>
      <w:r>
        <w:t>Mindestwerte laut [SR28]; sie variieren je nach Projektgröße, Layout und Prozessen.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2584"/>
        <w:gridCol w:w="1107"/>
        <w:gridCol w:w="1402"/>
        <w:gridCol w:w="4430"/>
      </w:tblGrid>
      <w:tr>
        <w:trPr>
          <w:tblHeader w:val="true"/>
        </w:trPr>
        <w:tc>
          <w:tcPr>
            <w:tcW w:type="dxa" w:w="2584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Von</w:t>
            </w:r>
          </w:p>
        </w:tc>
        <w:tc>
          <w:tcPr>
            <w:tcW w:type="dxa" w:w="110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Nach</w:t>
            </w:r>
          </w:p>
        </w:tc>
        <w:tc>
          <w:tcPr>
            <w:tcW w:type="dxa" w:w="140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Bandbreite – Latenz</w:t>
            </w:r>
          </w:p>
        </w:tc>
        <w:tc>
          <w:tcPr>
            <w:tcW w:type="dxa" w:w="443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Bemerkung</w:t>
            </w: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Desktop Client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100 Mbit/s – 10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  <w:r>
              <w:rPr>
                <w:sz w:val="17"/>
              </w:rPr>
              <w:t>20 Mbit/s – 15 ms mit Einschränkungen (längere Dialog-Öffnungszeiten)</w:t>
            </w: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Terminal Server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1 Gbit/s – &lt; 1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Desktop-Terminal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Terminal 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4 Mbit/s – 20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Web Client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4 Mbit/s – 20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Automatisierte Geräte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100 Mbit/s – 5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WCS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10 Mbit/s – &lt; 10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Externe Systeme, Datenschnittstelle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4 Mbit/s – 100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  <w:r>
              <w:rPr>
                <w:sz w:val="17"/>
              </w:rPr>
              <w:t>z. B. ERP</w:t>
            </w: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Externe Systeme, APIs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10 Mbit/s – &lt; 10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Mobile Terminals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20 Mbit/s – 10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</w:p>
        </w:tc>
      </w:tr>
      <w:tr>
        <w:tc>
          <w:tcPr>
            <w:tcW w:type="dxa" w:w="2584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1107"/>
          </w:tcPr>
          <w:p>
            <w:pPr>
              <w:spacing w:after="0" w:line="252" w:lineRule="auto"/>
            </w:pPr>
            <w:r>
              <w:rPr>
                <w:sz w:val="17"/>
              </w:rPr>
              <w:t>DBMS-Server</w:t>
            </w:r>
          </w:p>
        </w:tc>
        <w:tc>
          <w:tcPr>
            <w:tcW w:type="dxa" w:w="1403"/>
          </w:tcPr>
          <w:p>
            <w:pPr>
              <w:spacing w:after="0" w:line="252" w:lineRule="auto"/>
            </w:pPr>
            <w:r>
              <w:rPr>
                <w:sz w:val="17"/>
              </w:rPr>
              <w:t>1 Gbit/s – &lt; 1 ms</w:t>
            </w:r>
          </w:p>
        </w:tc>
        <w:tc>
          <w:tcPr>
            <w:tcW w:type="dxa" w:w="4430"/>
          </w:tcPr>
          <w:p>
            <w:pPr>
              <w:spacing w:after="0" w:line="252" w:lineRule="auto"/>
            </w:pPr>
            <w:r>
              <w:rPr>
                <w:sz w:val="17"/>
              </w:rPr>
              <w:t>ggf. mehr bei großen Lagern</w:t>
            </w:r>
          </w:p>
        </w:tc>
      </w:tr>
    </w:tbl>
    <w:p>
      <w:pPr>
        <w:pStyle w:val="BeschriftungSSI"/>
      </w:pPr>
      <w:r>
        <w:t>Tab. 3: Netzwerk-Anforderungen</w:t>
      </w:r>
    </w:p>
    <w:p>
      <w:r>
        <w:t>Gehostete oder Cloud-Installationen werden individuell bewertet.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11, S. 16</w:t>
      </w:r>
    </w:p>
    <w:p>
      <w:pPr>
        <w:pStyle w:val="Heading1"/>
      </w:pPr>
      <w:r>
        <w:t>4 Server-Ports (WAMAS-Plattform)</w:t>
      </w:r>
    </w:p>
    <w:p>
      <w:r>
        <w:t xml:space="preserve">Alle Ports sind laut Quelle </w:t>
      </w:r>
      <w:r>
        <w:rPr>
          <w:b/>
        </w:rPr>
        <w:t>TCP/IP-Ports</w:t>
      </w:r>
      <w:r>
        <w:t xml:space="preserve"> am WAMAS-Server (eingehend). Spalten D/T/W/M/P = Desktop, Touch, Web, Mobile, SPS laut Quelltabelle. Laut [WP5] sind alle Portnummern einzeln konfigurierbar; die Tabelle zeigt Standardwerte.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67"/>
        <w:gridCol w:w="3572"/>
        <w:gridCol w:w="818"/>
        <w:gridCol w:w="967"/>
        <w:gridCol w:w="818"/>
        <w:gridCol w:w="2381"/>
      </w:tblGrid>
      <w:tr>
        <w:trPr>
          <w:tblHeader w:val="true"/>
        </w:trPr>
        <w:tc>
          <w:tcPr>
            <w:tcW w:type="dxa" w:w="9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</w:t>
            </w:r>
          </w:p>
        </w:tc>
        <w:tc>
          <w:tcPr>
            <w:tcW w:type="dxa" w:w="35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Zweck</w:t>
            </w:r>
          </w:p>
        </w:tc>
        <w:tc>
          <w:tcPr>
            <w:tcW w:type="dxa" w:w="8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Von</w:t>
            </w:r>
          </w:p>
        </w:tc>
        <w:tc>
          <w:tcPr>
            <w:tcW w:type="dxa" w:w="96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2.7</w:t>
            </w:r>
          </w:p>
        </w:tc>
        <w:tc>
          <w:tcPr>
            <w:tcW w:type="dxa" w:w="8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2.8</w:t>
            </w:r>
          </w:p>
        </w:tc>
        <w:tc>
          <w:tcPr>
            <w:tcW w:type="dxa" w:w="238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22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SSH-Zugang zum Server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W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 (nur IG27)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[IG27] 3.1 S. 6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7701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BDeploy (HTTPS-API)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W, M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11.1 S. 17; [IG27] S. 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8080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Web Client (2.7 laut SR27: für Mobile)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W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17; [SR27]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8081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2.7: Web Client Admin; 2.8: Jasper Report Server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W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[SR27] S. 17; [SR28]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8082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Web Client Touch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W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[SR27]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8088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Mobile Thin Client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M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8161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ActiveMQ Web-UI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W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8300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Service Mesh RPC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17; [IG27] S. 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8301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Service Mesh LAN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17; [IG27] S. 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8302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Service Mesh WLAN (IG27: LAN)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17; [IG27] S. 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8445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Quarkus-Launcher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8446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Keycloak Management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8453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Keycloak HTTPS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8501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Service Mesh HTTPS-API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17; [IG27] S. 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8503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Service Mesh gRPC TLS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17; [IG27] S. 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8600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Service Mesh DNS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17; [IG27] S. 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8890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Mobile Deployment (nur Entwicklung)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M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[IG27] S. 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9443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Certificate Management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[IG27] S. 8, S. 44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11000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App-Proxy Entrypoint 'traefik'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[IG27] S. 8, S. 44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11005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App-Proxy Launcher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[IG27] S. 8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11010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App-Proxy Entrypoint 'wamas'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[IG27] S. 8, S. 44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18001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Jasper Tomcat Shutdown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W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18002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Jasper Tomcat Connector / JasperServer Reports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W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[SR27] S. 17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18003–18006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Jasper SSL / AJP / JMX / Quarkus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W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30010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ECF Service Discovery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[IG27] S. 8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30011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2.7: REST Discovery; 2.8: Settings REST Services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[IG27] S. 8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30012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Security Provider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18; [IG27] S. 8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30013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Log Server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M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19; [IG27] S. 8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30014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Log Server File Service (HTTP)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[SR27] S. 17; [IG27] S. 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30020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Message Server ECF Provider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[SR27] S. 18; [IG27] S. 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30021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Message Server REST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19; [IG27] S. 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30022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Message Broker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[SR27] S. 18; [IG27] S. 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30023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Message Broker JMXMP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19; [IG27] S. 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30040 / 30041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AllInOne ECF / REST Provider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19; [IG27] S. 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30042 / 30043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Mobile Service Registry / Mobile RPC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M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19; [IG27] S. 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30044 / 30046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Small Device Web UI / Work Station Web UI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W, M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31011 / 31012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Message / Settings Server JMX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(M)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19</w:t>
            </w:r>
          </w:p>
        </w:tc>
      </w:tr>
      <w:tr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61616</w:t>
            </w:r>
          </w:p>
        </w:tc>
        <w:tc>
          <w:tcPr>
            <w:tcW w:type="dxa" w:w="3572"/>
          </w:tcPr>
          <w:p>
            <w:pPr>
              <w:spacing w:after="0" w:line="252" w:lineRule="auto"/>
            </w:pPr>
            <w:r>
              <w:rPr>
                <w:sz w:val="17"/>
              </w:rPr>
              <w:t>ActiveMQ Broker (JMS/MQTT)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D, T, M</w:t>
            </w:r>
          </w:p>
        </w:tc>
        <w:tc>
          <w:tcPr>
            <w:tcW w:type="dxa" w:w="967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381"/>
          </w:tcPr>
          <w:p>
            <w:pPr>
              <w:spacing w:after="0" w:line="252" w:lineRule="auto"/>
            </w:pPr>
            <w:r>
              <w:rPr>
                <w:sz w:val="17"/>
              </w:rPr>
              <w:t>[SR28] S. 19</w:t>
            </w:r>
          </w:p>
        </w:tc>
      </w:tr>
    </w:tbl>
    <w:p>
      <w:pPr>
        <w:pStyle w:val="BeschriftungSSI"/>
      </w:pPr>
      <w:r>
        <w:t>Tab. 4: Portliste WAMAS-Server mit Release-Unterschieden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Protokoll TCP/UDP beim Service Mesh</w:t>
            </w:r>
          </w:p>
          <w:p>
            <w:pPr>
              <w:spacing w:after="40"/>
            </w:pPr>
            <w:r>
              <w:rPr>
                <w:sz w:val="19"/>
              </w:rPr>
              <w:t>Die Quellen nennen nur „TCP/IP port". Ob 8301, 8302 und 8600 zusätzlich UDP benötigen, ist nicht dokumentiert. Bei Verbindungsproblemen im Mesh beim Produktmanagement nachfragen.</w:t>
            </w:r>
          </w:p>
        </w:tc>
      </w:tr>
    </w:tbl>
    <w:p>
      <w:pPr>
        <w:spacing w:after="40"/>
      </w:pP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Widersprüche zwischen 2.7 und 2.8</w:t>
            </w:r>
          </w:p>
          <w:p>
            <w:pPr>
              <w:spacing w:after="40"/>
            </w:pPr>
            <w:r>
              <w:rPr>
                <w:sz w:val="19"/>
              </w:rPr>
              <w:t>8080/8081/8082, 30014, 30020, 30022 und SSH 22 unterscheiden sich zwischen [SR27], [IG27] und [SR28]. Im konkreten System die Ports in BDeploy (Instanz-Konfiguration) prüfen.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11.1, Tab. 3, S. 16–19; [SR27] Kap. 11.1, S. 16–18; [IG27] Kap. 3.1, S. 6–9</w:t>
      </w:r>
    </w:p>
    <w:p>
      <w:pPr>
        <w:pStyle w:val="Heading1"/>
      </w:pPr>
      <w:r>
        <w:t>5 Datenbank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52"/>
        <w:gridCol w:w="3550"/>
        <w:gridCol w:w="952"/>
        <w:gridCol w:w="952"/>
        <w:gridCol w:w="952"/>
        <w:gridCol w:w="2164"/>
      </w:tblGrid>
      <w:tr>
        <w:trPr>
          <w:tblHeader w:val="true"/>
        </w:trPr>
        <w:tc>
          <w:tcPr>
            <w:tcW w:type="dxa" w:w="9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</w:t>
            </w:r>
          </w:p>
        </w:tc>
        <w:tc>
          <w:tcPr>
            <w:tcW w:type="dxa" w:w="3550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DBMS</w:t>
            </w:r>
          </w:p>
        </w:tc>
        <w:tc>
          <w:tcPr>
            <w:tcW w:type="dxa" w:w="9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Von</w:t>
            </w:r>
          </w:p>
        </w:tc>
        <w:tc>
          <w:tcPr>
            <w:tcW w:type="dxa" w:w="9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2.7</w:t>
            </w:r>
          </w:p>
        </w:tc>
        <w:tc>
          <w:tcPr>
            <w:tcW w:type="dxa" w:w="95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2.8</w:t>
            </w:r>
          </w:p>
        </w:tc>
        <w:tc>
          <w:tcPr>
            <w:tcW w:type="dxa" w:w="216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</w:tr>
      <w:tr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1433</w:t>
            </w:r>
          </w:p>
        </w:tc>
        <w:tc>
          <w:tcPr>
            <w:tcW w:type="dxa" w:w="3550"/>
          </w:tcPr>
          <w:p>
            <w:pPr>
              <w:spacing w:after="0" w:line="252" w:lineRule="auto"/>
            </w:pPr>
            <w:r>
              <w:rPr>
                <w:sz w:val="17"/>
              </w:rPr>
              <w:t>Microsoft SQL Server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65"/>
          </w:tcPr>
          <w:p>
            <w:pPr>
              <w:spacing w:after="0" w:line="252" w:lineRule="auto"/>
            </w:pPr>
            <w:r>
              <w:rPr>
                <w:sz w:val="17"/>
              </w:rPr>
              <w:t>[SR28] S. 16; [IG27] S. 6</w:t>
            </w:r>
          </w:p>
        </w:tc>
      </w:tr>
      <w:tr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1521</w:t>
            </w:r>
          </w:p>
        </w:tc>
        <w:tc>
          <w:tcPr>
            <w:tcW w:type="dxa" w:w="3550"/>
          </w:tcPr>
          <w:p>
            <w:pPr>
              <w:spacing w:after="0" w:line="252" w:lineRule="auto"/>
            </w:pPr>
            <w:r>
              <w:rPr>
                <w:sz w:val="17"/>
              </w:rPr>
              <w:t>Oracle TNS Listener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65"/>
          </w:tcPr>
          <w:p>
            <w:pPr>
              <w:spacing w:after="0" w:line="252" w:lineRule="auto"/>
            </w:pPr>
            <w:r>
              <w:rPr>
                <w:sz w:val="17"/>
              </w:rPr>
              <w:t>[SR28] S. 16; [IG27] S. 6</w:t>
            </w:r>
          </w:p>
        </w:tc>
      </w:tr>
      <w:tr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1532</w:t>
            </w:r>
          </w:p>
        </w:tc>
        <w:tc>
          <w:tcPr>
            <w:tcW w:type="dxa" w:w="3550"/>
          </w:tcPr>
          <w:p>
            <w:pPr>
              <w:spacing w:after="0" w:line="252" w:lineRule="auto"/>
            </w:pPr>
            <w:r>
              <w:rPr>
                <w:sz w:val="17"/>
              </w:rPr>
              <w:t>Oracle TNS Listener (TCPS, verschlüsselt)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D, T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–</w:t>
            </w:r>
          </w:p>
        </w:tc>
        <w:tc>
          <w:tcPr>
            <w:tcW w:type="dxa" w:w="952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  <w:tc>
          <w:tcPr>
            <w:tcW w:type="dxa" w:w="2165"/>
          </w:tcPr>
          <w:p>
            <w:pPr>
              <w:spacing w:after="0" w:line="252" w:lineRule="auto"/>
            </w:pPr>
            <w:r>
              <w:rPr>
                <w:sz w:val="17"/>
              </w:rPr>
              <w:t>[SR28] S. 17</w:t>
            </w:r>
          </w:p>
        </w:tc>
      </w:tr>
    </w:tbl>
    <w:p>
      <w:pPr>
        <w:pStyle w:val="BeschriftungSSI"/>
      </w:pPr>
      <w:r>
        <w:t>Tab. 5: Datenbank-Ports</w:t>
      </w:r>
    </w:p>
    <w:p>
      <w:pPr>
        <w:pStyle w:val="ListBullet"/>
      </w:pPr>
      <w:r>
        <w:t xml:space="preserve">Laut [IG27] Kap. 4 muss beim SQL Server das Protokoll </w:t>
      </w:r>
      <w:r>
        <w:rPr>
          <w:b/>
        </w:rPr>
        <w:t>TCP/IP</w:t>
      </w:r>
      <w:r>
        <w:t xml:space="preserve"> aktiviert sein; der SQL Server lauscht dann auf Port 1433.</w:t>
      </w:r>
    </w:p>
    <w:p>
      <w:pPr>
        <w:pStyle w:val="ListBullet"/>
      </w:pPr>
      <w:r>
        <w:t>Desktop- und Touch-Client sind laut Tabelle als DB-Nutzer gekennzeichnet → Freigabe vom Client-Netz zum DB-Server prüfen.</w:t>
      </w:r>
    </w:p>
    <w:p>
      <w:pPr>
        <w:pStyle w:val="ListBullet"/>
      </w:pPr>
      <w:r>
        <w:t>Bandbreite Server ↔ DB: 1 Gbit/s, &lt; 1 ms (Kap. 3).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3 und 11.1; [IG27] Kap. 3.1 und 4</w:t>
      </w:r>
    </w:p>
    <w:p>
      <w:pPr>
        <w:pStyle w:val="Heading1"/>
      </w:pPr>
      <w:r>
        <w:t>6 Clients</w:t>
      </w:r>
    </w:p>
    <w:p>
      <w:pPr>
        <w:pStyle w:val="ListBullet"/>
      </w:pPr>
      <w:r>
        <w:rPr>
          <w:b/>
        </w:rPr>
        <w:t>Desktop-/Admin-Client:</w:t>
      </w:r>
      <w:r>
        <w:t xml:space="preserve"> BDeploy 7701, Plattformdienste 300xx, Service Mesh, App-Proxy, Keycloak (2.8), DB.</w:t>
      </w:r>
    </w:p>
    <w:p>
      <w:pPr>
        <w:pStyle w:val="ListBullet"/>
      </w:pPr>
      <w:r>
        <w:rPr>
          <w:b/>
        </w:rPr>
        <w:t>Touch-Client:</w:t>
      </w:r>
      <w:r>
        <w:t xml:space="preserve"> wie Desktop-Client (Spalte „Touch" in Tab. 4).</w:t>
      </w:r>
    </w:p>
    <w:p>
      <w:pPr>
        <w:pStyle w:val="ListBullet"/>
      </w:pPr>
      <w:r>
        <w:rPr>
          <w:b/>
        </w:rPr>
        <w:t>Web Client (Browser):</w:t>
      </w:r>
      <w:r>
        <w:t xml:space="preserve"> 8080/8081 (2.7 zusätzlich 8082), Reports 18002, 2.8 Web-UIs 30044/30046.</w:t>
      </w:r>
    </w:p>
    <w:p>
      <w:pPr>
        <w:pStyle w:val="ListBullet"/>
      </w:pPr>
      <w:r>
        <w:rPr>
          <w:b/>
        </w:rPr>
        <w:t>Mobile Client:</w:t>
      </w:r>
      <w:r>
        <w:t xml:space="preserve"> 8088 (Thin Client), 30042/30043, 30013, 61616 (2.8), 7701.</w:t>
      </w:r>
    </w:p>
    <w:p>
      <w:pPr>
        <w:pStyle w:val="ListBullet"/>
      </w:pPr>
      <w:r>
        <w:rPr>
          <w:b/>
        </w:rPr>
        <w:t>Terminal Server:</w:t>
      </w:r>
      <w:r>
        <w:t xml:space="preserve"> 1 Gbit/s, &lt; 1 ms zum WAMAS-Server ([SR28] Kap. 11).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6, 10.2, 11.1</w:t>
      </w:r>
    </w:p>
    <w:p>
      <w:pPr>
        <w:pStyle w:val="Heading1"/>
      </w:pPr>
      <w:r>
        <w:t>7 LOGIMAT-Lift und SPS</w:t>
      </w:r>
    </w:p>
    <w:p>
      <w:pPr>
        <w:pStyle w:val="ListBullet"/>
      </w:pPr>
      <w:r>
        <w:t xml:space="preserve">WLS kommuniziert mit der LOGIMAT-Steuerung (SLL) über </w:t>
      </w:r>
      <w:r>
        <w:rPr>
          <w:b/>
        </w:rPr>
        <w:t>NGKP</w:t>
      </w:r>
      <w:r>
        <w:t xml:space="preserve"> auf TCP-Ports </w:t>
      </w:r>
      <w:r>
        <w:rPr>
          <w:b/>
        </w:rPr>
        <w:t>2000–3000</w:t>
      </w:r>
      <w:r>
        <w:t>.</w:t>
      </w:r>
    </w:p>
    <w:p>
      <w:pPr>
        <w:pStyle w:val="ListBullet"/>
      </w:pPr>
      <w:r>
        <w:t xml:space="preserve">Laut [WP5] (allgemeine WAMAS-5-Portliste) werden zusätzlich </w:t>
      </w:r>
      <w:r>
        <w:rPr>
          <w:b/>
        </w:rPr>
        <w:t>2011–2020</w:t>
      </w:r>
      <w:r>
        <w:t xml:space="preserve"> für die SPS genutzt, „wenn WAMAS und SPS in unterschiedlichen Netzen" liegen – </w:t>
      </w:r>
      <w:r>
        <w:rPr>
          <w:b/>
        </w:rPr>
        <w:t>im System prüfen</w:t>
      </w:r>
      <w:r>
        <w:t>.</w:t>
      </w:r>
    </w:p>
    <w:p>
      <w:pPr>
        <w:pStyle w:val="ListBullet"/>
      </w:pPr>
      <w:r>
        <w:t>Die LOGIMAT-Komponenten liegen in einem LogiMat-internen Netz hinter einem Router mit Firewall (Weidmüller). Das interne Interface ist vorkonfiguriert und darf nicht verändert werden; das externe Interface, Port-Weiterleitung, Paketfilter und DNS werden an das Kundennetz angepasst.</w:t>
      </w:r>
    </w:p>
    <w:p>
      <w:pPr>
        <w:pStyle w:val="ListBullet"/>
      </w:pPr>
      <w:r>
        <w:rPr>
          <w:b/>
        </w:rPr>
        <w:t>Mischbetrieb mit LogiMat HLL (Shark):</w:t>
      </w:r>
      <w:r>
        <w:t xml:space="preserve"> Im Dialog </w:t>
      </w:r>
      <w:r>
        <w:rPr>
          <w:b/>
        </w:rPr>
        <w:t>LM057 UST zu Shark Kommunikationsparameter pflegen</w:t>
      </w:r>
      <w:r>
        <w:t xml:space="preserve"> werden </w:t>
      </w:r>
      <w:r>
        <w:rPr>
          <w:rFonts w:ascii="Consolas" w:hAnsi="Consolas" w:cs="Consolas" w:eastAsia="Consolas"/>
          <w:sz w:val="18"/>
        </w:rPr>
        <w:t>Shark-Server Hostname</w:t>
      </w:r>
      <w:r>
        <w:t xml:space="preserve"> und </w:t>
      </w:r>
      <w:r>
        <w:rPr>
          <w:rFonts w:ascii="Consolas" w:hAnsi="Consolas" w:cs="Consolas" w:eastAsia="Consolas"/>
          <w:sz w:val="18"/>
        </w:rPr>
        <w:t>Shark-Server-Port</w:t>
      </w:r>
      <w:r>
        <w:t xml:space="preserve"> gepflegt. Der Port ist projektspezifisch.</w:t>
      </w:r>
    </w:p>
    <w:p>
      <w:pPr>
        <w:pStyle w:val="ListBullet"/>
      </w:pPr>
      <w:r>
        <w:t>Timeouts der NGKP-Verbindung: siehe Dokument „Important_WAMASLogiMat_AdjustNGKPTimeoutTimes_Manual" (Ordner 04 Install, nicht ausgewertet).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NGKP-Richtung und Router-Konfiguration</w:t>
            </w:r>
          </w:p>
          <w:p>
            <w:pPr>
              <w:spacing w:after="40"/>
            </w:pPr>
            <w:r>
              <w:rPr>
                <w:sz w:val="19"/>
              </w:rPr>
              <w:t>Wer die NGKP-Verbindung aufbaut (Server oder SPS) und welche Port-Weiterleitung im Router nötig ist, ist nicht belegt. Die Router-Anleitung „SLL_SD2_deDE_Weidmüller Router…" lag nicht vor.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S. 17; [IG27] S. 6; [ADM27] Kap. 3.1.4, S. 19; [ADM28] Kap. 3.1.4; [MSO] Abschnitt Firewall; [WP5]</w:t>
      </w:r>
    </w:p>
    <w:p>
      <w:pPr>
        <w:pStyle w:val="Heading1"/>
      </w:pPr>
      <w:r>
        <w:t>8 ERP-/Host-Schnittstelle</w:t>
      </w:r>
    </w:p>
    <w:p>
      <w:r>
        <w:t>WLS bietet je Systempartner einen Receiver (eingehend) und einen Sender (ausgehend). Mechanismen laut [ERP28]: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1587"/>
        <w:gridCol w:w="3663"/>
        <w:gridCol w:w="671"/>
        <w:gridCol w:w="2137"/>
        <w:gridCol w:w="1465"/>
      </w:tblGrid>
      <w:tr>
        <w:trPr>
          <w:tblHeader w:val="true"/>
        </w:trPr>
        <w:tc>
          <w:tcPr>
            <w:tcW w:type="dxa" w:w="158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Mechanismus</w:t>
            </w:r>
          </w:p>
        </w:tc>
        <w:tc>
          <w:tcPr>
            <w:tcW w:type="dxa" w:w="3663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Netz/Protokoll</w:t>
            </w:r>
          </w:p>
        </w:tc>
        <w:tc>
          <w:tcPr>
            <w:tcW w:type="dxa" w:w="672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Richtung</w:t>
            </w:r>
          </w:p>
        </w:tc>
        <w:tc>
          <w:tcPr>
            <w:tcW w:type="dxa" w:w="213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</w:t>
            </w:r>
          </w:p>
        </w:tc>
        <w:tc>
          <w:tcPr>
            <w:tcW w:type="dxa" w:w="146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Quelle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Datei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lokales oder freigegebenes Verzeichnis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beide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– (Freigabeprotokoll nicht genannt)</w:t>
            </w:r>
          </w:p>
        </w:tc>
        <w:tc>
          <w:tcPr>
            <w:tcW w:type="dxa" w:w="1465"/>
          </w:tcPr>
          <w:p>
            <w:pPr>
              <w:spacing w:after="0" w:line="252" w:lineRule="auto"/>
            </w:pPr>
            <w:r>
              <w:rPr>
                <w:sz w:val="17"/>
              </w:rPr>
              <w:t>[ERP28] 2.1.1.1, S. 12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Socket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TCP-Socket-Telegramme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beide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</w:t>
            </w:r>
          </w:p>
        </w:tc>
        <w:tc>
          <w:tcPr>
            <w:tcW w:type="dxa" w:w="1465"/>
          </w:tcPr>
          <w:p>
            <w:pPr>
              <w:spacing w:after="0" w:line="252" w:lineRule="auto"/>
            </w:pPr>
            <w:r>
              <w:rPr>
                <w:sz w:val="17"/>
              </w:rPr>
              <w:t>[ERP28] 2.1.1.2, S. 14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Tabelle + Benachrichtigung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DB-Tabellen + TCP-Socket, zwei Verbindungen (je Richtung eine)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beide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</w:t>
            </w:r>
          </w:p>
        </w:tc>
        <w:tc>
          <w:tcPr>
            <w:tcW w:type="dxa" w:w="1465"/>
          </w:tcPr>
          <w:p>
            <w:pPr>
              <w:spacing w:after="0" w:line="252" w:lineRule="auto"/>
            </w:pPr>
            <w:r>
              <w:rPr>
                <w:sz w:val="17"/>
              </w:rPr>
              <w:t>[ERP28] 2.1.1.3.5, S. 19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REST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HTTP(S); Receiver = WLS stellt Webservice bereit, Sender = WLS ruft Webservice des ERP auf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beide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</w:t>
            </w:r>
          </w:p>
        </w:tc>
        <w:tc>
          <w:tcPr>
            <w:tcW w:type="dxa" w:w="1465"/>
          </w:tcPr>
          <w:p>
            <w:pPr>
              <w:spacing w:after="0" w:line="252" w:lineRule="auto"/>
            </w:pPr>
            <w:r>
              <w:rPr>
                <w:sz w:val="17"/>
              </w:rPr>
              <w:t>[ERP28] 2.1.1.5, S. 21</w:t>
            </w:r>
          </w:p>
        </w:tc>
      </w:tr>
      <w:tr>
        <w:tc>
          <w:tcPr>
            <w:tcW w:type="dxa" w:w="1587"/>
          </w:tcPr>
          <w:p>
            <w:pPr>
              <w:spacing w:after="0" w:line="252" w:lineRule="auto"/>
            </w:pPr>
            <w:r>
              <w:rPr>
                <w:sz w:val="17"/>
              </w:rPr>
              <w:t>JMS</w:t>
            </w:r>
          </w:p>
        </w:tc>
        <w:tc>
          <w:tcPr>
            <w:tcW w:type="dxa" w:w="3663"/>
          </w:tcPr>
          <w:p>
            <w:pPr>
              <w:spacing w:after="0" w:line="252" w:lineRule="auto"/>
            </w:pPr>
            <w:r>
              <w:rPr>
                <w:sz w:val="17"/>
              </w:rPr>
              <w:t>Abonnierte Topics</w:t>
            </w:r>
          </w:p>
        </w:tc>
        <w:tc>
          <w:tcPr>
            <w:tcW w:type="dxa" w:w="672"/>
          </w:tcPr>
          <w:p>
            <w:pPr>
              <w:spacing w:after="0" w:line="252" w:lineRule="auto"/>
            </w:pPr>
            <w:r>
              <w:rPr>
                <w:sz w:val="17"/>
              </w:rPr>
              <w:t>eingehend</w:t>
            </w:r>
          </w:p>
        </w:tc>
        <w:tc>
          <w:tcPr>
            <w:tcW w:type="dxa" w:w="2137"/>
          </w:tcPr>
          <w:p>
            <w:pPr>
              <w:spacing w:after="0" w:line="252" w:lineRule="auto"/>
            </w:pPr>
            <w:r>
              <w:rPr>
                <w:sz w:val="17"/>
              </w:rPr>
              <w:t>nicht genannt</w:t>
            </w:r>
          </w:p>
        </w:tc>
        <w:tc>
          <w:tcPr>
            <w:tcW w:type="dxa" w:w="1465"/>
          </w:tcPr>
          <w:p>
            <w:pPr>
              <w:spacing w:after="0" w:line="252" w:lineRule="auto"/>
            </w:pPr>
            <w:r>
              <w:rPr>
                <w:sz w:val="17"/>
              </w:rPr>
              <w:t>[ERP28] 2.1.1</w:t>
            </w:r>
          </w:p>
        </w:tc>
      </w:tr>
    </w:tbl>
    <w:p>
      <w:pPr>
        <w:pStyle w:val="BeschriftungSSI"/>
      </w:pPr>
      <w:r>
        <w:t>Tab. 6: ERP-Schnittstellenmechanismen</w:t>
      </w:r>
    </w:p>
    <w:p>
      <w:pPr>
        <w:pStyle w:val="ListBullet"/>
      </w:pPr>
      <w:r>
        <w:t>WAMAS unterstützt keinen direkten Zugriff auf entfernte Tabellen ([ERP28] S. 16).</w:t>
      </w:r>
    </w:p>
    <w:p>
      <w:pPr>
        <w:pStyle w:val="ListBullet"/>
      </w:pPr>
      <w:r>
        <w:t>REST mit TLS: Für den REST-Receiver können Kundenzertifikate über Parameter des AllInOne-Servers in BDeploy hinterlegt werden (Keystore/Truststore); Test mit Postman/Insomnia ([CERT]).</w:t>
      </w:r>
    </w:p>
    <w:p>
      <w:pPr>
        <w:pStyle w:val="ListBullet"/>
      </w:pPr>
      <w:r>
        <w:t xml:space="preserve">Beispiel-URL der DI-REST-Schnittstelle in [REST-V2]: Port 6969, Pfad </w:t>
      </w:r>
      <w:r>
        <w:rPr>
          <w:rFonts w:ascii="Consolas" w:hAnsi="Consolas" w:cs="Consolas" w:eastAsia="Consolas"/>
          <w:sz w:val="18"/>
        </w:rPr>
        <w:t>/services/di/2/HOST/messages</w:t>
      </w:r>
      <w:r>
        <w:t xml:space="preserve"> und </w:t>
      </w:r>
      <w:r>
        <w:rPr>
          <w:rFonts w:ascii="Consolas" w:hAnsi="Consolas" w:cs="Consolas" w:eastAsia="Consolas"/>
          <w:sz w:val="18"/>
        </w:rPr>
        <w:t>/health</w:t>
      </w:r>
      <w:r>
        <w:t xml:space="preserve"> – </w:t>
      </w:r>
      <w:r>
        <w:rPr>
          <w:b/>
        </w:rPr>
        <w:t>aus 2.4, im System prüfen</w:t>
      </w:r>
      <w:r>
        <w:t>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ERP-Ports</w:t>
            </w:r>
          </w:p>
          <w:p>
            <w:pPr>
              <w:spacing w:after="40"/>
            </w:pPr>
            <w:r>
              <w:rPr>
                <w:sz w:val="19"/>
              </w:rPr>
              <w:t>Für Socket, REST und JMS gibt es keine Standardports; sie werden im Projekt festgelegt und gehören ins Projektdatenblatt. Ob JMS über ActiveMQ 61616 läuft, ist nicht belegt.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[ERP28] Kap. 2.1.1; [CERT]; [REST-V2] S. 2</w:t>
      </w:r>
    </w:p>
    <w:p>
      <w:pPr>
        <w:pStyle w:val="Heading1"/>
      </w:pPr>
      <w:r>
        <w:t>9 Drucker</w:t>
      </w:r>
    </w:p>
    <w:p>
      <w:pPr>
        <w:pStyle w:val="ListBullet"/>
      </w:pPr>
      <w:r>
        <w:t xml:space="preserve">WAMAS druckt Dokumente in </w:t>
      </w:r>
      <w:r>
        <w:rPr>
          <w:b/>
        </w:rPr>
        <w:t>PCL</w:t>
      </w:r>
      <w:r>
        <w:t xml:space="preserve"> und </w:t>
      </w:r>
      <w:r>
        <w:rPr>
          <w:b/>
        </w:rPr>
        <w:t>PDF</w:t>
      </w:r>
      <w:r>
        <w:t xml:space="preserve">, Etiketten in </w:t>
      </w:r>
      <w:r>
        <w:rPr>
          <w:b/>
        </w:rPr>
        <w:t>ZPL</w:t>
      </w:r>
      <w:r>
        <w:t xml:space="preserve"> (ZPL-Emulation individuell prüfen).</w:t>
      </w:r>
    </w:p>
    <w:p>
      <w:pPr>
        <w:pStyle w:val="ListBullet"/>
      </w:pPr>
      <w:r>
        <w:t xml:space="preserve">Voraussetzung: Software-Add-on-Lizenz </w:t>
      </w:r>
      <w:r>
        <w:rPr>
          <w:b/>
        </w:rPr>
        <w:t>PRINTING SUPPORT</w:t>
      </w:r>
      <w:r>
        <w:t>.</w:t>
      </w:r>
    </w:p>
    <w:p>
      <w:pPr>
        <w:pStyle w:val="ListBullet"/>
      </w:pPr>
      <w:r>
        <w:t>Druckerauswahl: Zeit bis zur ersten Seite und Seiten pro Minute beachten.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Druckweg und Port</w:t>
            </w:r>
          </w:p>
          <w:p>
            <w:pPr>
              <w:spacing w:after="40"/>
            </w:pPr>
            <w:r>
              <w:rPr>
                <w:sz w:val="19"/>
              </w:rPr>
              <w:t>Ob WAMAS direkt (z. B. RAW 9100, IPP) oder über den Windows-Spooler druckt, ist in keiner Quelle beschrieben.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8 und 8.1, S. 12</w:t>
      </w:r>
    </w:p>
    <w:p>
      <w:pPr>
        <w:pStyle w:val="Heading1"/>
      </w:pPr>
      <w:r>
        <w:t>10 Scanner und mobile Terminals</w:t>
      </w:r>
    </w:p>
    <w:p>
      <w:pPr>
        <w:pStyle w:val="ListBullet"/>
      </w:pPr>
      <w:r>
        <w:t>Mobile Terminals nutzen den Mobile Thin Client (8088) und die Mobile-Dienste 30042/30043 (siehe Kap. 6). Bandbreite: 20 Mbit/s, 10 ms.</w:t>
      </w:r>
    </w:p>
    <w:p>
      <w:pPr>
        <w:pStyle w:val="ListBullet"/>
      </w:pPr>
      <w:r>
        <w:t>Freigegebene Hersteller (Scanner/Terminals): Datalogic, Zebra, Honeywell, Ads-tec, Topsystem, ProGlove, Cognex, Mettler Toledo ([HW28]).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Scanner-Anbindung</w:t>
            </w:r>
          </w:p>
          <w:p>
            <w:pPr>
              <w:spacing w:after="40"/>
            </w:pPr>
            <w:r>
              <w:rPr>
                <w:sz w:val="19"/>
              </w:rPr>
              <w:t>Für Scanner sind keine Netzwerkports dokumentiert (vermutlich USB/Tastaturemulation am Client) – im Projekt prüfen.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10.2.2, 11; [HW28] Herstellerliste</w:t>
      </w:r>
    </w:p>
    <w:p>
      <w:pPr>
        <w:pStyle w:val="Heading1"/>
      </w:pPr>
      <w:r>
        <w:t>11 Authentifizierung</w:t>
      </w:r>
    </w:p>
    <w:p>
      <w:pPr>
        <w:pStyle w:val="ListBullet"/>
      </w:pPr>
      <w:r>
        <w:t>LDAP (Microsoft Active Directory) als Authentifizierungsanbieter für den Desktop-Client; andere Implementierungen und LDAP für Mobile auf Anfrage.</w:t>
      </w:r>
    </w:p>
    <w:p>
      <w:pPr>
        <w:pStyle w:val="ListBullet"/>
      </w:pPr>
      <w:r>
        <w:t>SSO unter Windows mit Active Directory.</w:t>
      </w:r>
    </w:p>
    <w:p>
      <w:pPr>
        <w:pStyle w:val="ListBullet"/>
      </w:pPr>
      <w:r>
        <w:t>2.8: Keycloak (8445/8446/8453) als Plattformkomponente.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LDAP-Port</w:t>
            </w:r>
          </w:p>
          <w:p>
            <w:pPr>
              <w:spacing w:after="40"/>
            </w:pPr>
            <w:r>
              <w:rPr>
                <w:sz w:val="19"/>
              </w:rPr>
              <w:t>Port (z. B. 389/636) und Richtung Server → AD sind nicht dokumentiert.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9, S. 13; [SR28] S. 17</w:t>
      </w:r>
    </w:p>
    <w:p>
      <w:pPr>
        <w:pStyle w:val="Heading1"/>
      </w:pPr>
      <w:r>
        <w:t>12 Lizenzierung</w:t>
      </w:r>
    </w:p>
    <w:p>
      <w:pPr>
        <w:pStyle w:val="ListBullet"/>
      </w:pPr>
      <w:r>
        <w:t>Für jedes WLS-System wird eine digital signierte Lizenzdatei erzeugt und importiert (Administratorhandbuch, Kap. 3.1.9 und 3.11.1).</w:t>
      </w:r>
    </w:p>
    <w:p>
      <w:pPr>
        <w:pStyle w:val="ListBullet"/>
      </w:pPr>
      <w:r>
        <w:t xml:space="preserve">Es ist </w:t>
      </w:r>
      <w:r>
        <w:rPr>
          <w:b/>
        </w:rPr>
        <w:t>kein Lizenzserver</w:t>
      </w:r>
      <w:r>
        <w:t xml:space="preserve"> und kein Lizenzport dokumentiert; die Lizenzierung erfolgt offline per Datei.</w:t>
      </w:r>
    </w:p>
    <w:p>
      <w:pPr>
        <w:pStyle w:val="ListBullet"/>
      </w:pPr>
      <w:r>
        <w:t>[WP5] nennt 9999 „Visualization/MFS (Licensing Service)" – betrifft WAMAS MFS, nicht WLS.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[ADM28] Kap. 3.1.9, 3.11.1; [WP5]</w:t>
      </w:r>
    </w:p>
    <w:p>
      <w:pPr>
        <w:pStyle w:val="Heading1"/>
      </w:pPr>
      <w:r>
        <w:t>13 E-Mail/SMTP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E-Mail</w:t>
            </w:r>
          </w:p>
          <w:p>
            <w:pPr>
              <w:spacing w:after="40"/>
            </w:pPr>
            <w:r>
              <w:rPr>
                <w:sz w:val="19"/>
              </w:rPr>
              <w:t>In keiner ausgewerteten Quelle (2.7, 2.8, 2.4) wird ein E-Mail-Versand oder SMTP beschrieben.</w:t>
            </w:r>
          </w:p>
        </w:tc>
      </w:tr>
    </w:tbl>
    <w:p>
      <w:pPr>
        <w:spacing w:after="40"/>
      </w:pPr>
    </w:p>
    <w:p>
      <w:pPr>
        <w:pStyle w:val="Heading1"/>
      </w:pPr>
      <w:r>
        <w:t>14 Fernwartung</w:t>
      </w:r>
    </w:p>
    <w:p>
      <w:pPr>
        <w:pStyle w:val="ListBullet"/>
      </w:pPr>
      <w:r>
        <w:t xml:space="preserve">Zugriff auf das Windows-Betriebssystem per </w:t>
      </w:r>
      <w:r>
        <w:rPr>
          <w:b/>
        </w:rPr>
        <w:t>RDP</w:t>
      </w:r>
      <w:r>
        <w:t xml:space="preserve"> muss verfügbar und eingerichtet sein ([SR28] Kap. 2.1).</w:t>
      </w:r>
    </w:p>
    <w:p>
      <w:pPr>
        <w:pStyle w:val="ListBullet"/>
      </w:pPr>
      <w:r>
        <w:t xml:space="preserve">Standardport RDP </w:t>
      </w:r>
      <w:r>
        <w:rPr>
          <w:b/>
        </w:rPr>
        <w:t>3389</w:t>
      </w:r>
      <w:r>
        <w:t xml:space="preserve"> nur in [WP5] („Windows RDP for Windows Server installations") – </w:t>
      </w:r>
      <w:r>
        <w:rPr>
          <w:b/>
        </w:rPr>
        <w:t>im System prüfen</w:t>
      </w:r>
      <w:r>
        <w:t>.</w:t>
      </w:r>
    </w:p>
    <w:p>
      <w:pPr>
        <w:pStyle w:val="ListBullet"/>
      </w:pPr>
      <w:r>
        <w:t>SSH 22 laut [IG27] S. 6 (Fußnote [1]); laut [WP5] nur nötig, wenn der Server vom selben Rechner aus gewartet wird.</w:t>
      </w:r>
    </w:p>
    <w:p>
      <w:pPr>
        <w:pStyle w:val="ListBullet"/>
      </w:pPr>
      <w:r>
        <w:t>Kunden werden gebeten, Fernwartungszugang (z. B. TeamViewer) bereitzuhalten (Schulungsunterlage).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VPN-Konzept</w:t>
            </w:r>
          </w:p>
          <w:p>
            <w:pPr>
              <w:spacing w:after="40"/>
            </w:pPr>
            <w:r>
              <w:rPr>
                <w:sz w:val="19"/>
              </w:rPr>
              <w:t>Ein VPN- oder Fernwartungskonzept von SSI (Weg, Tool, Ports) ist in keiner Quelle beschrieben.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[SR28] Kap. 2.1, S. 5; [IG27] Kap. 3.1, S. 6; [WP5]</w:t>
      </w:r>
    </w:p>
    <w:p>
      <w:pPr>
        <w:pStyle w:val="Heading1"/>
      </w:pPr>
      <w:r>
        <w:t>15 Put-to-Light / LogiPointer</w:t>
      </w:r>
    </w:p>
    <w:p>
      <w:pPr>
        <w:pStyle w:val="ListBullet"/>
      </w:pPr>
      <w:r>
        <w:t xml:space="preserve">Pro SSI LOGIMAT wird im Administratorhandbuch die Checkbox </w:t>
      </w:r>
      <w:r>
        <w:rPr>
          <w:b/>
        </w:rPr>
        <w:t>LogiPointer aktiviert</w:t>
      </w:r>
      <w:r>
        <w:t xml:space="preserve"> gepflegt.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LogiPointer-Anbindung</w:t>
            </w:r>
          </w:p>
          <w:p>
            <w:pPr>
              <w:spacing w:after="40"/>
            </w:pPr>
            <w:r>
              <w:rPr>
                <w:sz w:val="19"/>
              </w:rPr>
              <w:t>Ob LogiPointer über die SPS (NGKP) oder direkt angebunden ist, ist nicht dokumentiert.</w:t>
            </w:r>
          </w:p>
        </w:tc>
      </w:tr>
    </w:tbl>
    <w:p>
      <w:pPr>
        <w:spacing w:after="40"/>
      </w:pP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[ADM27] Kap. 3.1, S. 11; [ADM28] Kap. 3.1</w:t>
      </w:r>
    </w:p>
    <w:p>
      <w:pPr>
        <w:pStyle w:val="Heading1"/>
      </w:pPr>
      <w:r>
        <w:t>16 Firewall-Checkliste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787"/>
        <w:gridCol w:w="2077"/>
        <w:gridCol w:w="859"/>
        <w:gridCol w:w="4225"/>
        <w:gridCol w:w="787"/>
        <w:gridCol w:w="787"/>
      </w:tblGrid>
      <w:tr>
        <w:trPr>
          <w:tblHeader w:val="true"/>
        </w:trPr>
        <w:tc>
          <w:tcPr>
            <w:tcW w:type="dxa" w:w="7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2077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Von (Zone)</w:t>
            </w:r>
          </w:p>
        </w:tc>
        <w:tc>
          <w:tcPr>
            <w:tcW w:type="dxa" w:w="85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Nach</w:t>
            </w:r>
          </w:p>
        </w:tc>
        <w:tc>
          <w:tcPr>
            <w:tcW w:type="dxa" w:w="422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Port/Protokoll</w:t>
            </w:r>
          </w:p>
        </w:tc>
        <w:tc>
          <w:tcPr>
            <w:tcW w:type="dxa" w:w="7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Rel.</w:t>
            </w:r>
          </w:p>
        </w:tc>
        <w:tc>
          <w:tcPr>
            <w:tcW w:type="dxa" w:w="7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Pflicht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Büro/OT-Clients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7701 TCP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Büro/OT-Clients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8300–8302, 8501, 8503, 8600 TCP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Büro/OT-Clients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9443, 11000, 11005, 11010 TCP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Büro/OT-Clients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30010–30013, 30021, 30023, 30040–30043 TCP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Büro/OT-Clients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30014, 30020, 30022 TCP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Büro/OT-Clients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8445, 8446, 8453, 31011, 31012, 61616 TCP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Browser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8080, 8081, 18002 TCP (2.7 + 8082; 2.8 + 30044/30046, 8161)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Mobile Terminals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8088, 30042, 30043, 30013, 61616 (2.8) TCP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Clients / WAMAS-Server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DB-Server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1433 oder 1521 (2.8 opt. 1532) TCP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 ↔ LogiMat-Router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SPS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2000–3000 TCP (NGKP)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ERP ↔ WAMAS-Server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je Projekt</w:t>
            </w:r>
          </w:p>
        </w:tc>
      </w:tr>
      <w:tr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2077"/>
          </w:tcPr>
          <w:p>
            <w:pPr>
              <w:spacing w:after="0" w:line="252" w:lineRule="auto"/>
            </w:pPr>
            <w:r>
              <w:rPr>
                <w:sz w:val="17"/>
              </w:rPr>
              <w:t>SSI-Support</w:t>
            </w:r>
          </w:p>
        </w:tc>
        <w:tc>
          <w:tcPr>
            <w:tcW w:type="dxa" w:w="859"/>
          </w:tcPr>
          <w:p>
            <w:pPr>
              <w:spacing w:after="0" w:line="252" w:lineRule="auto"/>
            </w:pPr>
            <w:r>
              <w:rPr>
                <w:sz w:val="17"/>
              </w:rPr>
              <w:t>WAMAS-Server</w:t>
            </w:r>
          </w:p>
        </w:tc>
        <w:tc>
          <w:tcPr>
            <w:tcW w:type="dxa" w:w="4225"/>
          </w:tcPr>
          <w:p>
            <w:pPr>
              <w:spacing w:after="0" w:line="252" w:lineRule="auto"/>
            </w:pPr>
            <w:r>
              <w:rPr>
                <w:sz w:val="17"/>
              </w:rPr>
              <w:t>RDP (3389 lt. WP5), ggf. SSH 22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2.7/2.8</w:t>
            </w:r>
          </w:p>
        </w:tc>
        <w:tc>
          <w:tcPr>
            <w:tcW w:type="dxa" w:w="788"/>
          </w:tcPr>
          <w:p>
            <w:pPr>
              <w:spacing w:after="0" w:line="252" w:lineRule="auto"/>
            </w:pPr>
            <w:r>
              <w:rPr>
                <w:sz w:val="17"/>
              </w:rPr>
              <w:t>ja</w:t>
            </w:r>
          </w:p>
        </w:tc>
      </w:tr>
    </w:tbl>
    <w:p>
      <w:pPr>
        <w:pStyle w:val="BeschriftungSSI"/>
      </w:pPr>
      <w:r>
        <w:t>Tab. 7: Firewall-Checkliste (intern)</w:t>
      </w:r>
    </w:p>
    <w:p>
      <w:r>
        <w:t>Nicht freigeben: 8890 (nur Entwicklung) sowie lokal genutzte Ports (18001 Shutdown, JMX), soweit keine Fernadministration nötig ist.</w:t>
      </w:r>
    </w:p>
    <w:p>
      <w:pPr>
        <w:pStyle w:val="Quelle"/>
      </w:pPr>
      <w:r>
        <w:rPr>
          <w:b/>
        </w:rPr>
        <w:t xml:space="preserve">Quelle: </w:t>
      </w:r>
      <w:r>
        <w:rPr>
          <w:sz w:val="17"/>
        </w:rPr>
        <w:t>Zusammenfassung aus Kap. 4–14</w:t>
      </w:r>
    </w:p>
    <w:p>
      <w:pPr>
        <w:pStyle w:val="Heading1"/>
      </w:pPr>
      <w:r>
        <w:t>17 Stolperfallen</w:t>
      </w:r>
    </w:p>
    <w:p>
      <w:pPr>
        <w:pStyle w:val="ListBullet"/>
      </w:pPr>
      <w:r>
        <w:rPr>
          <w:b/>
        </w:rPr>
        <w:t>8081 hat zwei Bedeutungen:</w:t>
      </w:r>
      <w:r>
        <w:t xml:space="preserve"> 2.7 Web Client Admin, 2.8 Jasper Report Server. Release immer angeben.</w:t>
      </w:r>
    </w:p>
    <w:p>
      <w:pPr>
        <w:pStyle w:val="ListBullet"/>
      </w:pPr>
      <w:r>
        <w:rPr>
          <w:b/>
        </w:rPr>
        <w:t>8890 nicht im Produktivsystem freigeben</w:t>
      </w:r>
      <w:r>
        <w:t xml:space="preserve"> – nur für das Mobile Deployment während der Entwicklung.</w:t>
      </w:r>
    </w:p>
    <w:p>
      <w:pPr>
        <w:pStyle w:val="ListBullet"/>
      </w:pPr>
      <w:r>
        <w:rPr>
          <w:b/>
        </w:rPr>
        <w:t>Windows-Firewall am Server:</w:t>
      </w:r>
      <w:r>
        <w:t xml:space="preserve"> [IG27] Schritt 14 verlangt das Freischalten der Ports in der Windows-Firewall – zusätzlich zur Netzwerk-Firewall.</w:t>
      </w:r>
    </w:p>
    <w:p>
      <w:pPr>
        <w:pStyle w:val="ListBullet"/>
      </w:pPr>
      <w:r>
        <w:rPr>
          <w:b/>
        </w:rPr>
        <w:t>SQL Server ohne TCP/IP:</w:t>
      </w:r>
      <w:r>
        <w:t xml:space="preserve"> Standardinstallation hat TCP/IP oft deaktiviert → in SQL Server Configuration Manager aktivieren ([IG27] Kap. 4).</w:t>
      </w:r>
    </w:p>
    <w:p>
      <w:pPr>
        <w:pStyle w:val="ListBullet"/>
      </w:pPr>
      <w:r>
        <w:rPr>
          <w:b/>
        </w:rPr>
        <w:t>Portnummern sind konfigurierbar:</w:t>
      </w:r>
      <w:r>
        <w:t xml:space="preserve"> Immer gegen die BDeploy-Instanzvariablen (z. B. Certificate Management Port, Proxy-Entrypoints) prüfen.</w:t>
      </w:r>
    </w:p>
    <w:p>
      <w:pPr>
        <w:pStyle w:val="ListBullet"/>
      </w:pPr>
      <w:r>
        <w:rPr>
          <w:b/>
        </w:rPr>
        <w:t>Router im LogiMat-Netz:</w:t>
      </w:r>
      <w:r>
        <w:t xml:space="preserve"> Internes Interface nie ändern; Zugangsdaten nur aus Passion.</w:t>
      </w:r>
    </w:p>
    <w:p>
      <w:pPr>
        <w:pStyle w:val="ListBullet"/>
      </w:pPr>
      <w:r>
        <w:rPr>
          <w:b/>
        </w:rPr>
        <w:t>Zugangsdaten in Wissensdokumenten:</w:t>
      </w:r>
      <w:r>
        <w:t xml:space="preserve"> Das interne Dokument „Wissen_MSO" enthält Router-Zugangsdaten im Klartext → entfernen und in Passion ablegen.</w:t>
      </w:r>
    </w:p>
    <w:p>
      <w:pPr>
        <w:pStyle w:val="ListBullet"/>
      </w:pPr>
      <w:r>
        <w:rPr>
          <w:b/>
        </w:rPr>
        <w:t>Latenz Server ↔ DB</w:t>
      </w:r>
      <w:r>
        <w:t xml:space="preserve"> (&lt; 1 ms) wird bei virtualisierten oder verteilten Installationen oft verfehlt.</w:t>
      </w:r>
    </w:p>
    <w:p>
      <w:pPr>
        <w:pStyle w:val="Heading1"/>
      </w:pPr>
      <w:r>
        <w:t>18 Praxisbeispiel 1: Firewall-Freigabe für Neukunden mit ERP über REST</w:t>
      </w:r>
    </w:p>
    <w:p>
      <w:r>
        <w:t>Ausgangslage: Neukunde, WLS 2.8, MSSQL, 5 Desktop-Clients im Büronetz, 2 LOGIMAT mit Touch-Client im Lagernetz, 4 mobile Terminals, ERP über REST.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t>Releasestand festlegen (hier 2.8) und Tab. 7 als Basis nehmen.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t>Zonen mit Kunden-IT klären: Büro, Lager/OT, Server, ERP, Fernwartung.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t>Client → Server: Zeilen 1–4, 6, 7 freigeben; Mobile: Zeile 8.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t>Server → DB: 1433 TCP; TCP/IP im SQL Server aktivieren.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t>Server ↔ SPS: NGKP 2000–3000 über den LogiMat-Router; externes Router-Interface nach Kundennetz konfigurieren.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t>ERP-REST festlegen und im Projektdatenblatt dokumentieren:</w:t>
      </w:r>
    </w:p>
    <w:p>
      <w:pPr>
        <w:pStyle w:val="ListBullet2"/>
      </w:pPr>
      <w:r>
        <w:rPr>
          <w:b/>
        </w:rPr>
        <w:t>ERP → WLS (REST-Receiver):</w:t>
      </w:r>
      <w:r>
        <w:t xml:space="preserve"> URL und Port des WLS-Webservice; Freigabe ERP-Netz → WAMAS-Server.</w:t>
      </w:r>
    </w:p>
    <w:p>
      <w:pPr>
        <w:pStyle w:val="ListBullet2"/>
      </w:pPr>
      <w:r>
        <w:rPr>
          <w:b/>
        </w:rPr>
        <w:t>WLS → ERP (REST-Sender):</w:t>
      </w:r>
      <w:r>
        <w:t xml:space="preserve"> URL und Port des ERP-Webservice; Freigabe WAMAS-Server → ERP.</w:t>
      </w:r>
    </w:p>
    <w:p>
      <w:pPr>
        <w:pStyle w:val="ListBullet2"/>
      </w:pPr>
      <w:r>
        <w:t>Bei HTTPS: Kundenzertifikat für den REST-Receiver einrichten und mit Postman/Insomnia testen ([CERT]).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t>Fernwartung: RDP-Zugang für SSI vereinbaren.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>Windows-Firewall auf dem WAMAS-Server entsprechend öffnen.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9.</w:t>
        <w:tab/>
      </w:r>
      <w:r>
        <w:t xml:space="preserve">Kunden-IT die Fassung </w:t>
      </w:r>
      <w:r>
        <w:rPr>
          <w:b/>
        </w:rPr>
        <w:t>IT-Anforderungen</w:t>
      </w:r>
      <w:r>
        <w:t xml:space="preserve"> mit ausgefüllter Checkliste übergeben.</w:t>
      </w:r>
    </w:p>
    <w:p>
      <w:pPr>
        <w:pStyle w:val="Heading1"/>
      </w:pPr>
      <w:r>
        <w:t>19 Praxisbeispiel 2: Touch-Client verbindet sich nicht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1.</w:t>
        <w:tab/>
      </w:r>
      <w:r>
        <w:rPr>
          <w:b/>
        </w:rPr>
        <w:t>Netz prüfen:</w:t>
      </w:r>
      <w:r>
        <w:t xml:space="preserve"> Erreicht der Touch-Client den WAMAS-Server (Name/DNS, Ping)? Bandbreite/Latenz laut Kap. 3.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2.</w:t>
        <w:tab/>
      </w:r>
      <w:r>
        <w:rPr>
          <w:b/>
        </w:rPr>
        <w:t>BDeploy:</w:t>
      </w:r>
      <w:r>
        <w:t xml:space="preserve"> Port 7701 vom Touch-Client zum Server erreichbar (z. B. </w:t>
      </w:r>
      <w:r>
        <w:rPr>
          <w:rFonts w:ascii="Consolas" w:hAnsi="Consolas" w:cs="Consolas" w:eastAsia="Consolas"/>
          <w:sz w:val="18"/>
        </w:rPr>
        <w:t>Test-NetConnection &lt;server&gt; -Port 7701</w:t>
      </w:r>
      <w:r>
        <w:t>)?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3.</w:t>
        <w:tab/>
      </w:r>
      <w:r>
        <w:rPr>
          <w:b/>
        </w:rPr>
        <w:t>Plattformports:</w:t>
      </w:r>
      <w:r>
        <w:t xml:space="preserve"> 30010–30013, 30021, 30023, 30040/30041, Service Mesh 8300–8302/8501/8503/8600, App-Proxy 11000–11010, 9443; bei 2.8 zusätzlich Keycloak 8445/8446/8453.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4.</w:t>
        <w:tab/>
      </w:r>
      <w:r>
        <w:rPr>
          <w:b/>
        </w:rPr>
        <w:t>Datenbank:</w:t>
      </w:r>
      <w:r>
        <w:t xml:space="preserve"> 1433/1521 vom Touch-Client zum DB-Server (laut Tab. 4 Touch-Client = DB-Nutzer).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5.</w:t>
        <w:tab/>
      </w:r>
      <w:r>
        <w:rPr>
          <w:b/>
        </w:rPr>
        <w:t>Release-Unterschiede:</w:t>
      </w:r>
      <w:r>
        <w:t xml:space="preserve"> Bei Upgrade 2.7 → 2.8 fehlen oft die neuen 2.8-Ports (Keycloak, 31011/31012, 61616).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6.</w:t>
        <w:tab/>
      </w:r>
      <w:r>
        <w:rPr>
          <w:b/>
        </w:rPr>
        <w:t>Windows-Firewall am Server</w:t>
      </w:r>
      <w:r>
        <w:t xml:space="preserve"> und Firewall zwischen Lager- und Servernetz prüfen.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7.</w:t>
        <w:tab/>
      </w:r>
      <w:r>
        <w:rPr>
          <w:b/>
        </w:rPr>
        <w:t>Zertifikate:</w:t>
      </w:r>
      <w:r>
        <w:t xml:space="preserve"> Certificate Management (9443) erreichbar, Zertifikat gültig?</w:t>
      </w:r>
    </w:p>
    <w:p>
      <w:pPr>
        <w:tabs>
          <w:tab w:pos="425" w:val="left"/>
        </w:tabs>
        <w:spacing w:after="60"/>
        <w:ind w:left="425" w:hanging="425"/>
      </w:pPr>
      <w:r>
        <w:rPr>
          <w:b/>
        </w:rPr>
        <w:t>8.</w:t>
        <w:tab/>
      </w:r>
      <w:r>
        <w:t>Server-Logs über den Log Server (30013) bzw. BDeploy prüfen; danach ggf. Ticket mit Portergebnissen eröffnen.</w:t>
      </w:r>
    </w:p>
    <w:tbl>
      <w:tblPr>
        <w:jc w:val="left"/>
        <w:tblLook w:firstColumn="1" w:firstRow="1" w:lastColumn="0" w:lastRow="0" w:noHBand="0" w:noVBand="1" w:val="04A0"/>
        <w:tblW w:w="9525" w:type="dxa"/>
        <w:tblLayout w:type="fixed"/>
      </w:tblPr>
      <w:tblGrid>
        <w:gridCol w:w="9525"/>
      </w:tblGrid>
      <w:tr>
        <w:trPr>
          <w:cantSplit w:val="true"/>
        </w:trPr>
        <w:tc>
          <w:tcPr>
            <w:tcW w:type="dxa" w:w="9524"/>
            <w:shd w:val="clear" w:color="auto" w:fill="F2F2F2"/>
            <w:tcBorders>
              <w:top w:val="nil"/>
              <w:left w:val="single" w:sz="24" w:color="E30613" w:space="0"/>
              <w:bottom w:val="nil"/>
              <w:right w:val="nil"/>
            </w:tcBorders>
            <w:tcMar>
              <w:top w:w="80" w:type="dxa"/>
              <w:bottom w:w="80" w:type="dxa"/>
              <w:start w:w="140" w:type="dxa"/>
              <w:end w:w="140" w:type="dxa"/>
              <w:left w:w="140" w:type="dxa"/>
              <w:right w:w="140" w:type="dxa"/>
            </w:tcMar>
          </w:tcPr>
          <w:p>
            <w:pPr>
              <w:spacing w:after="40"/>
            </w:pPr>
            <w:r>
              <w:rPr>
                <w:b/>
                <w:color w:val="B00010"/>
                <w:sz w:val="19"/>
              </w:rPr>
              <w:t>UDP beim Service Mesh</w:t>
            </w:r>
          </w:p>
          <w:p>
            <w:pPr>
              <w:spacing w:after="40"/>
            </w:pPr>
            <w:r>
              <w:rPr>
                <w:sz w:val="19"/>
              </w:rPr>
              <w:t>Falls alle TCP-Ports offen sind und das Mesh trotzdem nicht funktioniert, UDP auf 8301/8302/8600 mit dem Produktmanagement klären (nicht dokumentiert).</w:t>
            </w:r>
          </w:p>
        </w:tc>
      </w:tr>
    </w:tbl>
    <w:p>
      <w:pPr>
        <w:spacing w:after="40"/>
      </w:pPr>
    </w:p>
    <w:p>
      <w:pPr>
        <w:pStyle w:val="Heading1"/>
      </w:pPr>
      <w:r>
        <w:t>20 Dokumentationslücken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818"/>
        <w:gridCol w:w="4465"/>
        <w:gridCol w:w="4241"/>
      </w:tblGrid>
      <w:tr>
        <w:trPr>
          <w:tblHeader w:val="true"/>
        </w:trPr>
        <w:tc>
          <w:tcPr>
            <w:tcW w:type="dxa" w:w="819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Nr.</w:t>
            </w:r>
          </w:p>
        </w:tc>
        <w:tc>
          <w:tcPr>
            <w:tcW w:type="dxa" w:w="446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Thema</w:t>
            </w:r>
          </w:p>
        </w:tc>
        <w:tc>
          <w:tcPr>
            <w:tcW w:type="dxa" w:w="424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Status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1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Installationshandbuch 2.8, Systemvoraussetzungen 2.7 deutsch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 – nicht im Ablageordner vorhanden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2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Widersprüche 8080/8081/8082, 30014/30020/30022, SSH 22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 – im System prüfen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3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TCP/UDP Service Mesh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4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Richtung NGKP, UST ↔ Shark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5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Drucker-Port/-Weg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 (Formate belegt)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6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Scanner-Anbindung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7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E-Mail/SMTP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8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Lizenzierung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geklärt: offline per signierter Datei, kein Port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9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Fernwartung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teilweise: RDP 3389 nur WP5; VPN offen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10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LDAP-Port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11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LogiPointer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12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ERP-Ports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projektspezifisch; REST-TLS über [CERT] beschrieben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13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LogiMat-Router (Weidmüller-Anleitung)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offen – Dokument nicht vorhanden</w:t>
            </w:r>
          </w:p>
        </w:tc>
      </w:tr>
      <w:tr>
        <w:tc>
          <w:tcPr>
            <w:tcW w:type="dxa" w:w="819"/>
          </w:tcPr>
          <w:p>
            <w:pPr>
              <w:spacing w:after="0" w:line="252" w:lineRule="auto"/>
            </w:pPr>
            <w:r>
              <w:rPr>
                <w:sz w:val="17"/>
              </w:rPr>
              <w:t>14</w:t>
            </w:r>
          </w:p>
        </w:tc>
        <w:tc>
          <w:tcPr>
            <w:tcW w:type="dxa" w:w="4465"/>
          </w:tcPr>
          <w:p>
            <w:pPr>
              <w:spacing w:after="0" w:line="252" w:lineRule="auto"/>
            </w:pPr>
            <w:r>
              <w:rPr>
                <w:sz w:val="17"/>
              </w:rPr>
              <w:t>„Portliste WAMAS 5"</w:t>
            </w:r>
          </w:p>
        </w:tc>
        <w:tc>
          <w:tcPr>
            <w:tcW w:type="dxa" w:w="4241"/>
          </w:tcPr>
          <w:p>
            <w:pPr>
              <w:spacing w:after="0" w:line="252" w:lineRule="auto"/>
            </w:pPr>
            <w:r>
              <w:rPr>
                <w:sz w:val="17"/>
              </w:rPr>
              <w:t>teilweise: Bild [WP5] vorhanden, nicht release-spezifisch</w:t>
            </w:r>
          </w:p>
        </w:tc>
      </w:tr>
    </w:tbl>
    <w:p>
      <w:pPr>
        <w:pStyle w:val="BeschriftungSSI"/>
      </w:pPr>
      <w:r>
        <w:t>Tab. 8: Lückenliste</w:t>
      </w:r>
    </w:p>
    <w:p>
      <w:pPr>
        <w:pStyle w:val="Heading1"/>
      </w:pPr>
      <w:r>
        <w:t>21 Quellenverzeichnis</w:t>
      </w:r>
    </w:p>
    <w:tbl>
      <w:tblPr>
        <w:tblStyle w:val="TableGrid"/>
        <w:jc w:val="left"/>
        <w:tblLook w:firstColumn="1" w:firstRow="1" w:lastColumn="0" w:lastRow="0" w:noHBand="0" w:noVBand="1" w:val="04A0"/>
        <w:tblW w:w="9525" w:type="dxa"/>
        <w:tblLayout w:type="fixed"/>
        <w:tblBorders>
          <w:top w:val="single" w:sz="4" w:color="A6A6A6"/>
          <w:left w:val="single" w:sz="4" w:color="A6A6A6"/>
          <w:bottom w:val="single" w:sz="4" w:color="A6A6A6"/>
          <w:right w:val="single" w:sz="4" w:color="A6A6A6"/>
          <w:insideH w:val="single" w:sz="4" w:color="A6A6A6"/>
          <w:insideV w:val="single" w:sz="4" w:color="A6A6A6"/>
        </w:tblBorders>
      </w:tblPr>
      <w:tblGrid>
        <w:gridCol w:w="988"/>
        <w:gridCol w:w="5391"/>
        <w:gridCol w:w="3145"/>
      </w:tblGrid>
      <w:tr>
        <w:trPr>
          <w:tblHeader w:val="true"/>
        </w:trPr>
        <w:tc>
          <w:tcPr>
            <w:tcW w:type="dxa" w:w="988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Kürzel</w:t>
            </w:r>
          </w:p>
        </w:tc>
        <w:tc>
          <w:tcPr>
            <w:tcW w:type="dxa" w:w="5391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Dokument</w:t>
            </w:r>
          </w:p>
        </w:tc>
        <w:tc>
          <w:tcPr>
            <w:tcW w:type="dxa" w:w="3145"/>
            <w:shd w:val="clear" w:color="auto" w:fill="FEEE19"/>
          </w:tcPr>
          <w:p>
            <w:pPr>
              <w:spacing w:after="0"/>
            </w:pPr>
            <w:r>
              <w:rPr>
                <w:b/>
                <w:sz w:val="17"/>
              </w:rPr>
              <w:t>Verwendet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[SR28]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System Requirements V1.0 (enUS)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Kap. 2.1, 3, 8, 9, 10, 11, 11.1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[SR27]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WAMAS.LS_2.7_req.system_V01.0_enUS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Kap. 2.1, 11.1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[IG27]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WAMAS.LS_2.7_man.installation_V01.1_enUS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Kap. 3.1, 4, BDeploy-Template S. 44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[ERP28]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WAMAS.LS_2.8_man.interface.wls.erp_V01.0_enUS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Kap. 2.1.1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[ADM28]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WAMAS.LS 2.8 Administrator Manual (enUS)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Kap. 3.1, 3.1.4, 3.1.9, 3.11.1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[ADM27]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WAMAS.LS_2.7_man.administrator_V01.0_deDE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Kap. 3.1, 3.1.4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[HW28]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WAMAS Lift &amp; Store 2.8 Supported Hardware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Herstellerliste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[WP5]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Portlist_WAMAS_LogiMat.png (WAMAS-5-Portliste, Ordner 02 Knowlledge)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allgemein, nicht release-spezifisch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[CERT]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Customer Certificate Import 2.docx (Ordner 02 Knowlledge)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REST-TLS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[REST-V2]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WLM-REST_Specification_V2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Beispiel-URL (2.4-Linie)</w:t>
            </w:r>
          </w:p>
        </w:tc>
      </w:tr>
      <w:tr>
        <w:tc>
          <w:tcPr>
            <w:tcW w:type="dxa" w:w="988"/>
          </w:tcPr>
          <w:p>
            <w:pPr>
              <w:spacing w:after="0" w:line="252" w:lineRule="auto"/>
            </w:pPr>
            <w:r>
              <w:rPr>
                <w:sz w:val="17"/>
              </w:rPr>
              <w:t>[MSO]</w:t>
            </w:r>
          </w:p>
        </w:tc>
        <w:tc>
          <w:tcPr>
            <w:tcW w:type="dxa" w:w="5391"/>
          </w:tcPr>
          <w:p>
            <w:pPr>
              <w:spacing w:after="0" w:line="252" w:lineRule="auto"/>
            </w:pPr>
            <w:r>
              <w:rPr>
                <w:sz w:val="17"/>
              </w:rPr>
              <w:t>Wissen_MSO.docx (internes Wissen)</w:t>
            </w:r>
          </w:p>
        </w:tc>
        <w:tc>
          <w:tcPr>
            <w:tcW w:type="dxa" w:w="3145"/>
          </w:tcPr>
          <w:p>
            <w:pPr>
              <w:spacing w:after="0" w:line="252" w:lineRule="auto"/>
            </w:pPr>
            <w:r>
              <w:rPr>
                <w:sz w:val="17"/>
              </w:rPr>
              <w:t>Router-Konzept (ohne Zugangsdaten)</w:t>
            </w:r>
          </w:p>
        </w:tc>
      </w:tr>
    </w:tbl>
    <w:p>
      <w:pPr>
        <w:pStyle w:val="BeschriftungSSI"/>
      </w:pPr>
      <w:r>
        <w:t>Tab. 9: Quellen</w:t>
      </w:r>
    </w:p>
    <w:sectPr w:rsidR="00FC693F" w:rsidRPr="0006063C" w:rsidSect="00034616">
      <w:headerReference w:type="default" r:id="rId12"/>
      <w:footerReference w:type="default" r:id="rId13"/>
      <w:pgSz w:w="11906" w:h="16838"/>
      <w:pgMar w:top="1474" w:right="1134" w:bottom="1474" w:left="1247" w:header="567" w:footer="454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drawing>
        <wp:anchor distT="0" distB="0" distL="0" distR="0" simplePos="0" relativeHeight="251658344" behindDoc="1" locked="0" layoutInCell="1" allowOverlap="1">
          <wp:simplePos x="0" y="0"/>
          <wp:positionH relativeFrom="page">
            <wp:posOffset>6983999</wp:posOffset>
          </wp:positionH>
          <wp:positionV relativeFrom="page">
            <wp:posOffset>9936000</wp:posOffset>
          </wp:positionV>
          <wp:extent cx="576000" cy="648000"/>
          <wp:effectExtent l="0" t="0" r="0" b="0"/>
          <wp:wrapNone/>
          <wp:docPr id="104" name="Bild 104"/>
          <wp:cNvGraphicFramePr/>
          <a:graphic xmlns:a="http://schemas.openxmlformats.org/drawingml/2006/main" xmlns:pic="http://schemas.openxmlformats.org/drawingml/2006/picture">
            <a:graphicData uri="http://schemas.openxmlformats.org/drawingml/2006/picture">
              <pic:pic>
                <pic:nvPicPr>
                  <pic:cNvPr id="0" name="gelbes_eck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00" cy="648000"/>
                  </a:xfrm>
                  <a:prstGeom prst="rect"/>
                </pic:spPr>
              </pic:pic>
            </a:graphicData>
          </a:graphic>
        </wp:anchor>
      </w:drawing>
    </w:r>
  </w:p>
  <w:tbl>
    <w:tblPr>
      <w:tblLook w:firstColumn="1" w:firstRow="1" w:lastColumn="0" w:lastRow="0" w:noHBand="0" w:noVBand="1" w:val="04A0"/>
      <w:tblW w:w="9525" w:type="dxa"/>
      <w:tblLayout w:type="fixed"/>
    </w:tblPr>
    <w:tblGrid>
      <w:gridCol w:w="5103"/>
      <w:gridCol w:w="4422"/>
    </w:tblGrid>
    <w:tr>
      <w:tc>
        <w:tcPr>
          <w:tcW w:type="dxa" w:w="5102"/>
        </w:tcPr>
        <w:p>
          <w:pPr>
            <w:spacing w:after="0" w:line="240" w:lineRule="auto"/>
          </w:pPr>
          <w:r>
            <w:rPr>
              <w:sz w:val="13"/>
            </w:rPr>
            <w:t>WAMAS Lift &amp; Store 2.7/2.8</w:t>
          </w:r>
        </w:p>
        <w:p>
          <w:pPr>
            <w:spacing w:after="0" w:line="240" w:lineRule="auto"/>
          </w:pPr>
          <w:r>
            <w:rPr>
              <w:sz w:val="13"/>
            </w:rPr>
            <w:t>How-to intern v1.0</w:t>
          </w:r>
        </w:p>
        <w:p>
          <w:pPr>
            <w:spacing w:after="0" w:line="240" w:lineRule="auto"/>
          </w:pPr>
          <w:r>
            <w:rPr>
              <w:sz w:val="13"/>
            </w:rPr>
            <w:t>Vertraulich – nur SSI-intern</w:t>
          </w:r>
        </w:p>
      </w:tc>
      <w:tc>
        <w:tcPr>
          <w:tcW w:type="dxa" w:w="4422"/>
        </w:tcPr>
        <w:p>
          <w:pPr>
            <w:spacing w:before="200"/>
            <w:jc w:val="right"/>
          </w:pPr>
          <w:r>
            <w:rPr>
              <w:sz w:val="18"/>
            </w:rPr>
            <w:t xml:space="preserve">SSI SCHÄFER | Seite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PAGE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  <w:r>
            <w:rPr>
              <w:sz w:val="18"/>
            </w:rPr>
            <w:t>/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 xml:space="preserve"> NUMPAGES </w:instrText>
          </w:r>
          <w:r>
            <w:rPr>
              <w:sz w:val="18"/>
            </w:rPr>
            <w:fldChar w:fldCharType="separate"/>
          </w:r>
          <w:r>
            <w:rPr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  <w:spacing w:after="0"/>
      <w:jc w:val="right"/>
    </w:pPr>
    <w:r>
      <w:rPr>
        <w:sz w:val="16"/>
      </w:rPr>
      <w:t>How-to-Handbuch (intern)</w:t>
    </w:r>
  </w:p>
  <w:p>
    <w:pPr>
      <w:jc w:val="right"/>
      <w:pBdr>
        <w:bottom w:val="single" w:sz="4" w:space="4" w:color="000000"/>
      </w:pBdr>
    </w:pPr>
    <w:r>
      <w:rPr>
        <w:b/>
        <w:sz w:val="22"/>
      </w:rPr>
      <w:t>Netzwerk-Kommunikation und Ports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00" w:line="276" w:lineRule="auto"/>
    </w:pPr>
    <w:rPr>
      <w:rFonts w:ascii="Arial" w:hAnsi="Arial" w:cs="Arial" w:eastAsia="Arial"/>
      <w:sz w:val="20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pageBreakBefore/>
      <w:spacing w:before="0" w:after="200"/>
      <w:outlineLvl w:val="0"/>
    </w:pPr>
    <w:rPr>
      <w:rFonts w:ascii="Arial" w:hAnsi="Arial" w:cs="Arial" w:eastAsia="Arial"/>
      <w:b/>
      <w:bCs/>
      <w:i w:val="0"/>
      <w:color w:val="000000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80" w:after="120"/>
      <w:outlineLvl w:val="1"/>
    </w:pPr>
    <w:rPr>
      <w:rFonts w:ascii="Arial" w:hAnsi="Arial" w:cs="Arial" w:eastAsia="Arial"/>
      <w:b/>
      <w:bCs/>
      <w:i w:val="0"/>
      <w:color w:val="000000"/>
      <w:sz w:val="2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80"/>
      <w:outlineLvl w:val="2"/>
    </w:pPr>
    <w:rPr>
      <w:rFonts w:ascii="Arial" w:hAnsi="Arial" w:cs="Arial" w:eastAsia="Arial"/>
      <w:b/>
      <w:bCs/>
      <w:i w:val="0"/>
      <w:color w:val="000000"/>
      <w:sz w:val="22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="Arial" w:hAnsi="Arial" w:cs="Arial" w:eastAsia="Arial"/>
      <w:b w:val="0"/>
      <w:color w:val="000000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spacing w:after="60"/>
      <w:contextualSpacing/>
    </w:pPr>
    <w:rPr>
      <w:rFonts w:ascii="Arial" w:hAnsi="Arial" w:cs="Arial" w:eastAsia="Arial"/>
      <w:sz w:val="20"/>
    </w:r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customStyle="1" w:styleId="TOC1">
    <w:name w:val="TOC 1"/>
    <w:pPr>
      <w:spacing w:after="40"/>
      <w:ind w:left="0"/>
    </w:pPr>
    <w:rPr>
      <w:rFonts w:ascii="Arial" w:hAnsi="Arial" w:cs="Arial" w:eastAsia="Arial"/>
      <w:b/>
      <w:sz w:val="20"/>
    </w:rPr>
  </w:style>
  <w:style w:type="paragraph" w:customStyle="1" w:styleId="TOC2">
    <w:name w:val="TOC 2"/>
    <w:pPr>
      <w:spacing w:after="40"/>
      <w:ind w:left="340"/>
    </w:pPr>
    <w:rPr>
      <w:rFonts w:ascii="Arial" w:hAnsi="Arial" w:cs="Arial" w:eastAsia="Arial"/>
      <w:b w:val="0"/>
      <w:sz w:val="20"/>
    </w:rPr>
  </w:style>
  <w:style w:type="paragraph" w:customStyle="1" w:styleId="TOC3">
    <w:name w:val="TOC 3"/>
    <w:pPr>
      <w:spacing w:after="40"/>
      <w:ind w:left="680"/>
    </w:pPr>
    <w:rPr>
      <w:rFonts w:ascii="Arial" w:hAnsi="Arial" w:cs="Arial" w:eastAsia="Arial"/>
      <w:b w:val="0"/>
      <w:sz w:val="20"/>
    </w:rPr>
  </w:style>
  <w:style w:type="paragraph" w:customStyle="1" w:styleId="Code">
    <w:name w:val="Code"/>
    <w:pPr>
      <w:spacing w:after="0" w:line="240" w:lineRule="auto"/>
    </w:pPr>
    <w:rPr>
      <w:rFonts w:ascii="Consolas" w:hAnsi="Consolas" w:cs="Consolas" w:eastAsia="Consolas"/>
      <w:sz w:val="15"/>
    </w:rPr>
  </w:style>
  <w:style w:type="paragraph" w:customStyle="1" w:styleId="BeschriftungSSI">
    <w:name w:val="Beschriftung SSI"/>
    <w:pPr>
      <w:spacing w:before="40" w:after="160"/>
    </w:pPr>
    <w:rPr>
      <w:rFonts w:ascii="Arial" w:hAnsi="Arial" w:cs="Arial" w:eastAsia="Arial"/>
      <w:b w:val="0"/>
      <w:i/>
      <w:color w:val="444444"/>
      <w:sz w:val="17"/>
    </w:rPr>
  </w:style>
  <w:style w:type="paragraph" w:customStyle="1" w:styleId="Quelle">
    <w:name w:val="Quelle"/>
    <w:pPr>
      <w:spacing w:before="40" w:after="160"/>
    </w:pPr>
    <w:rPr>
      <w:rFonts w:ascii="Arial" w:hAnsi="Arial" w:cs="Arial" w:eastAsia="Arial"/>
      <w:b w:val="0"/>
      <w:color w:val="555555"/>
      <w:sz w:val="17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Relationship Id="rId10" Type="http://schemas.openxmlformats.org/officeDocument/2006/relationships/image" Target="media/image2.png"/><Relationship Id="rId11" Type="http://schemas.openxmlformats.org/officeDocument/2006/relationships/image" Target="media/image3.png"/><Relationship Id="rId12" Type="http://schemas.openxmlformats.org/officeDocument/2006/relationships/header" Target="header1.xml"/><Relationship Id="rId13" Type="http://schemas.openxmlformats.org/officeDocument/2006/relationships/footer" Target="footer1.xml"/><Relationship Id="rId14" Type="http://schemas.openxmlformats.org/officeDocument/2006/relationships/image" Target="media/image5.png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Netzwerk-Kommunikation und Ports</dc:title>
  <dc:subject>Komponenten, Ports, Protokolle und Firewall-Freigaben – WAMAS Lift &amp; Store 2.7/2.8</dc:subject>
  <dc:creator>SSI SCHÄFER – Marek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  <dc:language>de-DE</dc:language>
</cp:coreProperties>
</file>