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Klienten, Lieferanten und Partner anlegen (inkl. Adressen)</w:t>
            </w:r>
          </w:p>
          <w:p>
            <w:pPr>
              <w:spacing w:after="360"/>
            </w:pPr>
            <w:r>
              <w:rPr>
                <w:b w:val="0"/>
                <w:sz w:val="32"/>
              </w:rPr>
              <w:t>WAMAS Lift &amp; Store 2.7</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Stammdaten MD017 / MD018, Systempartner-Bezug und ERP-Schnittstelle</w:t>
            </w:r>
          </w:p>
          <w:p>
            <w:pPr>
              <w:spacing w:after="0"/>
            </w:pPr>
            <w:r>
              <w:rPr>
                <w:b w:val="0"/>
                <w:color w:val="555555"/>
                <w:sz w:val="18"/>
              </w:rPr>
              <w:t>Marek, SSI SCHÄFER</w:t>
            </w:r>
          </w:p>
        </w:tc>
      </w:tr>
    </w:tbl>
    <w:p>
      <w:pPr>
        <w:spacing w:before="6803"/>
      </w:pPr>
      <w:r>
        <w:rPr>
          <w:sz w:val="18"/>
        </w:rPr>
        <w:t>V 1.1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Lesehinweise</w:t>
        <w:tab/>
        <w:t>4</w:t>
      </w:r>
    </w:p>
    <w:p>
      <w:pPr>
        <w:pStyle w:val="TOC2"/>
        <w:tabs>
          <w:tab w:pos="9524" w:val="right" w:leader="dot"/>
        </w:tabs>
      </w:pPr>
      <w:r>
        <w:t>1.3 Dokumentinformationen</w:t>
        <w:tab/>
        <w:t>4</w:t>
      </w:r>
    </w:p>
    <w:p>
      <w:pPr>
        <w:pStyle w:val="TOC1"/>
        <w:tabs>
          <w:tab w:pos="9524" w:val="right" w:leader="dot"/>
        </w:tabs>
      </w:pPr>
      <w:r>
        <w:t>2 Begriffe und Zusammenhänge</w:t>
        <w:tab/>
        <w:t>5</w:t>
      </w:r>
    </w:p>
    <w:p>
      <w:pPr>
        <w:pStyle w:val="TOC2"/>
        <w:tabs>
          <w:tab w:pos="9524" w:val="right" w:leader="dot"/>
        </w:tabs>
      </w:pPr>
      <w:r>
        <w:t>2.1 Klient</w:t>
        <w:tab/>
        <w:t>5</w:t>
      </w:r>
    </w:p>
    <w:p>
      <w:pPr>
        <w:pStyle w:val="TOC2"/>
        <w:tabs>
          <w:tab w:pos="9524" w:val="right" w:leader="dot"/>
        </w:tabs>
      </w:pPr>
      <w:r>
        <w:t>2.2 Partner – Lieferant, Kunde, Frachtführer, Lagerstandort</w:t>
        <w:tab/>
        <w:t>5</w:t>
      </w:r>
    </w:p>
    <w:p>
      <w:pPr>
        <w:pStyle w:val="TOC2"/>
        <w:tabs>
          <w:tab w:pos="9524" w:val="right" w:leader="dot"/>
        </w:tabs>
      </w:pPr>
      <w:r>
        <w:t>2.3 Wareneigentümer</w:t>
        <w:tab/>
        <w:t>5</w:t>
      </w:r>
    </w:p>
    <w:p>
      <w:pPr>
        <w:pStyle w:val="TOC2"/>
        <w:tabs>
          <w:tab w:pos="9524" w:val="right" w:leader="dot"/>
        </w:tabs>
      </w:pPr>
      <w:r>
        <w:t>2.4 Adressen</w:t>
        <w:tab/>
        <w:t>5</w:t>
      </w:r>
    </w:p>
    <w:p>
      <w:pPr>
        <w:pStyle w:val="TOC2"/>
        <w:tabs>
          <w:tab w:pos="9524" w:val="right" w:leader="dot"/>
        </w:tabs>
      </w:pPr>
      <w:r>
        <w:t>2.5 Systempartner – nicht verwechseln</w:t>
        <w:tab/>
        <w:t>5</w:t>
      </w:r>
    </w:p>
    <w:p>
      <w:pPr>
        <w:pStyle w:val="TOC2"/>
        <w:tabs>
          <w:tab w:pos="9524" w:val="right" w:leader="dot"/>
        </w:tabs>
      </w:pPr>
      <w:r>
        <w:t>2.6 Beziehungsmodell</w:t>
        <w:tab/>
        <w:t>6</w:t>
      </w:r>
    </w:p>
    <w:p>
      <w:pPr>
        <w:pStyle w:val="TOC1"/>
        <w:tabs>
          <w:tab w:pos="9524" w:val="right" w:leader="dot"/>
        </w:tabs>
      </w:pPr>
      <w:r>
        <w:t>3 Mandanten – Begriff und Abgrenzung</w:t>
        <w:tab/>
        <w:t>7</w:t>
      </w:r>
    </w:p>
    <w:p>
      <w:pPr>
        <w:pStyle w:val="TOC2"/>
        <w:tabs>
          <w:tab w:pos="9524" w:val="right" w:leader="dot"/>
        </w:tabs>
      </w:pPr>
      <w:r>
        <w:t>3.1 Der Begriff „Mandant“ in den Quellen</w:t>
        <w:tab/>
        <w:t>7</w:t>
      </w:r>
    </w:p>
    <w:p>
      <w:pPr>
        <w:pStyle w:val="TOC2"/>
        <w:tabs>
          <w:tab w:pos="9524" w:val="right" w:leader="dot"/>
        </w:tabs>
      </w:pPr>
      <w:r>
        <w:t>3.2 Abgrenzung Klient, Wareneigentümer, Partner und Systempartner</w:t>
        <w:tab/>
        <w:t>7</w:t>
      </w:r>
    </w:p>
    <w:p>
      <w:pPr>
        <w:pStyle w:val="TOC2"/>
        <w:tabs>
          <w:tab w:pos="9524" w:val="right" w:leader="dot"/>
        </w:tabs>
      </w:pPr>
      <w:r>
        <w:t>3.3 Was pro Klient getrennt ist</w:t>
        <w:tab/>
        <w:t>8</w:t>
      </w:r>
    </w:p>
    <w:p>
      <w:pPr>
        <w:pStyle w:val="TOC2"/>
        <w:tabs>
          <w:tab w:pos="9524" w:val="right" w:leader="dot"/>
        </w:tabs>
      </w:pPr>
      <w:r>
        <w:t>3.4 Was gemeinsam genutzt wird</w:t>
        <w:tab/>
        <w:t>8</w:t>
      </w:r>
    </w:p>
    <w:p>
      <w:pPr>
        <w:pStyle w:val="TOC2"/>
        <w:tabs>
          <w:tab w:pos="9524" w:val="right" w:leader="dot"/>
        </w:tabs>
      </w:pPr>
      <w:r>
        <w:t>3.5 Der Klient DEFAULT</w:t>
        <w:tab/>
        <w:t>9</w:t>
      </w:r>
    </w:p>
    <w:p>
      <w:pPr>
        <w:pStyle w:val="TOC2"/>
        <w:tabs>
          <w:tab w:pos="9524" w:val="right" w:leader="dot"/>
        </w:tabs>
      </w:pPr>
      <w:r>
        <w:t>3.6 Ein Klient oder mehrere? Entscheidungshilfe</w:t>
        <w:tab/>
        <w:t>9</w:t>
      </w:r>
    </w:p>
    <w:p>
      <w:pPr>
        <w:pStyle w:val="TOC2"/>
        <w:tabs>
          <w:tab w:pos="9524" w:val="right" w:leader="dot"/>
        </w:tabs>
      </w:pPr>
      <w:r>
        <w:t>3.7 Praxisbeispiel (konstruiert, bitte prüfen): Zwei Besitzer in einem Lager</w:t>
        <w:tab/>
        <w:t>10</w:t>
      </w:r>
    </w:p>
    <w:p>
      <w:pPr>
        <w:pStyle w:val="TOC1"/>
        <w:tabs>
          <w:tab w:pos="9524" w:val="right" w:leader="dot"/>
        </w:tabs>
      </w:pPr>
      <w:r>
        <w:t>4 Voraussetzungen und Reihenfolge</w:t>
        <w:tab/>
        <w:t>11</w:t>
      </w:r>
    </w:p>
    <w:p>
      <w:pPr>
        <w:pStyle w:val="TOC1"/>
        <w:tabs>
          <w:tab w:pos="9524" w:val="right" w:leader="dot"/>
        </w:tabs>
      </w:pPr>
      <w:r>
        <w:t>5 Klient anlegen (MD017)</w:t>
        <w:tab/>
        <w:t>12</w:t>
      </w:r>
    </w:p>
    <w:p>
      <w:pPr>
        <w:pStyle w:val="TOC2"/>
        <w:tabs>
          <w:tab w:pos="9524" w:val="right" w:leader="dot"/>
        </w:tabs>
      </w:pPr>
      <w:r>
        <w:t>5.1 Anlegen</w:t>
        <w:tab/>
        <w:t>12</w:t>
      </w:r>
    </w:p>
    <w:p>
      <w:pPr>
        <w:pStyle w:val="TOC2"/>
        <w:tabs>
          <w:tab w:pos="9524" w:val="right" w:leader="dot"/>
        </w:tabs>
      </w:pPr>
      <w:r>
        <w:t>5.2 Registerkarte „Klient“ (Adresse)</w:t>
        <w:tab/>
        <w:t>12</w:t>
      </w:r>
    </w:p>
    <w:p>
      <w:pPr>
        <w:pStyle w:val="TOC2"/>
        <w:tabs>
          <w:tab w:pos="9524" w:val="right" w:leader="dot"/>
        </w:tabs>
      </w:pPr>
      <w:r>
        <w:t>5.3 Weitere Registerkarten in MD017</w:t>
        <w:tab/>
        <w:t>12</w:t>
      </w:r>
    </w:p>
    <w:p>
      <w:pPr>
        <w:pStyle w:val="TOC1"/>
        <w:tabs>
          <w:tab w:pos="9524" w:val="right" w:leader="dot"/>
        </w:tabs>
      </w:pPr>
      <w:r>
        <w:t>6 Lieferant, Kunde und Partner anlegen (MD018)</w:t>
        <w:tab/>
        <w:t>13</w:t>
      </w:r>
    </w:p>
    <w:p>
      <w:pPr>
        <w:pStyle w:val="TOC2"/>
        <w:tabs>
          <w:tab w:pos="9524" w:val="right" w:leader="dot"/>
        </w:tabs>
      </w:pPr>
      <w:r>
        <w:t>6.1 Anlegen</w:t>
        <w:tab/>
        <w:t>13</w:t>
      </w:r>
    </w:p>
    <w:p>
      <w:pPr>
        <w:pStyle w:val="TOC2"/>
        <w:tabs>
          <w:tab w:pos="9524" w:val="right" w:leader="dot"/>
        </w:tabs>
      </w:pPr>
      <w:r>
        <w:t>6.2 Registerkarte „Partner“ – Partnerart festlegen</w:t>
        <w:tab/>
        <w:t>13</w:t>
      </w:r>
    </w:p>
    <w:p>
      <w:pPr>
        <w:pStyle w:val="TOC2"/>
        <w:tabs>
          <w:tab w:pos="9524" w:val="right" w:leader="dot"/>
        </w:tabs>
      </w:pPr>
      <w:r>
        <w:t>6.3 Registerkarte „Adresse“</w:t>
        <w:tab/>
        <w:t>13</w:t>
      </w:r>
    </w:p>
    <w:p>
      <w:pPr>
        <w:pStyle w:val="TOC2"/>
        <w:tabs>
          <w:tab w:pos="9524" w:val="right" w:leader="dot"/>
        </w:tabs>
      </w:pPr>
      <w:r>
        <w:t>6.4 Partner als Wareneigentümer zuordnen</w:t>
        <w:tab/>
        <w:t>14</w:t>
      </w:r>
    </w:p>
    <w:p>
      <w:pPr>
        <w:pStyle w:val="TOC1"/>
        <w:tabs>
          <w:tab w:pos="9524" w:val="right" w:leader="dot"/>
        </w:tabs>
      </w:pPr>
      <w:r>
        <w:t>7 Was ein neuer Klient zusätzlich braucht</w:t>
        <w:tab/>
        <w:t>15</w:t>
      </w:r>
    </w:p>
    <w:p>
      <w:pPr>
        <w:pStyle w:val="TOC2"/>
        <w:tabs>
          <w:tab w:pos="9524" w:val="right" w:leader="dot"/>
        </w:tabs>
      </w:pPr>
      <w:r>
        <w:t>7.1 Klientenspezifische Stammdaten</w:t>
        <w:tab/>
        <w:t>15</w:t>
      </w:r>
    </w:p>
    <w:p>
      <w:pPr>
        <w:pStyle w:val="TOC2"/>
        <w:tabs>
          <w:tab w:pos="9524" w:val="right" w:leader="dot"/>
        </w:tabs>
      </w:pPr>
      <w:r>
        <w:t>7.2 Systempartner und Schnittstelle</w:t>
        <w:tab/>
        <w:t>15</w:t>
      </w:r>
    </w:p>
    <w:p>
      <w:pPr>
        <w:pStyle w:val="TOC2"/>
        <w:tabs>
          <w:tab w:pos="9524" w:val="right" w:leader="dot"/>
        </w:tabs>
      </w:pPr>
      <w:r>
        <w:t>7.3 Benutzer und Rechte</w:t>
        <w:tab/>
        <w:t>15</w:t>
      </w:r>
    </w:p>
    <w:p>
      <w:pPr>
        <w:pStyle w:val="TOC2"/>
        <w:tabs>
          <w:tab w:pos="9524" w:val="right" w:leader="dot"/>
        </w:tabs>
      </w:pPr>
      <w:r>
        <w:t>7.4 Lager- und Tablarzuordnung</w:t>
        <w:tab/>
        <w:t>15</w:t>
      </w:r>
    </w:p>
    <w:p>
      <w:pPr>
        <w:pStyle w:val="TOC2"/>
        <w:tabs>
          <w:tab w:pos="9524" w:val="right" w:leader="dot"/>
        </w:tabs>
      </w:pPr>
      <w:r>
        <w:t>7.5 Dokumente pro Klient oder Partner</w:t>
        <w:tab/>
        <w:t>16</w:t>
      </w:r>
    </w:p>
    <w:p>
      <w:pPr>
        <w:pStyle w:val="TOC1"/>
        <w:tabs>
          <w:tab w:pos="9524" w:val="right" w:leader="dot"/>
        </w:tabs>
      </w:pPr>
      <w:r>
        <w:t>8 Anlage über die ERP-Schnittstelle</w:t>
        <w:tab/>
        <w:t>17</w:t>
      </w:r>
    </w:p>
    <w:p>
      <w:pPr>
        <w:pStyle w:val="TOC2"/>
        <w:tabs>
          <w:tab w:pos="9524" w:val="right" w:leader="dot"/>
        </w:tabs>
      </w:pPr>
      <w:r>
        <w:t>8.1 Überblick</w:t>
        <w:tab/>
        <w:t>17</w:t>
      </w:r>
    </w:p>
    <w:p>
      <w:pPr>
        <w:pStyle w:val="TOC2"/>
        <w:tabs>
          <w:tab w:pos="9524" w:val="right" w:leader="dot"/>
        </w:tabs>
      </w:pPr>
      <w:r>
        <w:t>8.2 WLSCLIENT001 – Klient</w:t>
        <w:tab/>
        <w:t>17</w:t>
      </w:r>
    </w:p>
    <w:p>
      <w:pPr>
        <w:pStyle w:val="TOC2"/>
        <w:tabs>
          <w:tab w:pos="9524" w:val="right" w:leader="dot"/>
        </w:tabs>
      </w:pPr>
      <w:r>
        <w:t>8.3 Partner und Adresse im Bedarf (WLS*PARTNER001)</w:t>
        <w:tab/>
        <w:t>18</w:t>
      </w:r>
    </w:p>
    <w:p>
      <w:pPr>
        <w:pStyle w:val="TOC2"/>
        <w:tabs>
          <w:tab w:pos="9524" w:val="right" w:leader="dot"/>
        </w:tabs>
      </w:pPr>
      <w:r>
        <w:t>8.4 Widersprüche und Lücken in der Schnittstellendoku</w:t>
        <w:tab/>
        <w:t>19</w:t>
      </w:r>
    </w:p>
    <w:p>
      <w:pPr>
        <w:pStyle w:val="TOC1"/>
        <w:tabs>
          <w:tab w:pos="9524" w:val="right" w:leader="dot"/>
        </w:tabs>
      </w:pPr>
      <w:r>
        <w:t>9 Adressen prüfen und wo sie erscheinen</w:t>
        <w:tab/>
        <w:t>20</w:t>
      </w:r>
    </w:p>
    <w:p>
      <w:pPr>
        <w:pStyle w:val="TOC2"/>
        <w:tabs>
          <w:tab w:pos="9524" w:val="right" w:leader="dot"/>
        </w:tabs>
      </w:pPr>
      <w:r>
        <w:t>9.1 Prüfen</w:t>
        <w:tab/>
        <w:t>20</w:t>
      </w:r>
    </w:p>
    <w:p>
      <w:pPr>
        <w:pStyle w:val="TOC2"/>
        <w:tabs>
          <w:tab w:pos="9524" w:val="right" w:leader="dot"/>
        </w:tabs>
      </w:pPr>
      <w:r>
        <w:t>9.2 Wo Adressen und Partnerdaten erscheinen</w:t>
        <w:tab/>
        <w:t>20</w:t>
      </w:r>
    </w:p>
    <w:p>
      <w:pPr>
        <w:pStyle w:val="TOC1"/>
        <w:tabs>
          <w:tab w:pos="9524" w:val="right" w:leader="dot"/>
        </w:tabs>
      </w:pPr>
      <w:r>
        <w:t>10 Stolperfallen</w:t>
        <w:tab/>
        <w:t>21</w:t>
      </w:r>
    </w:p>
    <w:p>
      <w:pPr>
        <w:pStyle w:val="TOC1"/>
        <w:tabs>
          <w:tab w:pos="9524" w:val="right" w:leader="dot"/>
        </w:tabs>
      </w:pPr>
      <w:r>
        <w:t>11 Praxisbeispiele</w:t>
        <w:tab/>
        <w:t>22</w:t>
      </w:r>
    </w:p>
    <w:p>
      <w:pPr>
        <w:pStyle w:val="TOC2"/>
        <w:tabs>
          <w:tab w:pos="9524" w:val="right" w:leader="dot"/>
        </w:tabs>
      </w:pPr>
      <w:r>
        <w:t>11.1 Beispiel (konstruiert, bitte prüfen): Neuer Klient mit Lieferant und Kunde, manuell</w:t>
        <w:tab/>
      </w:r>
    </w:p>
    <w:p>
      <w:pPr>
        <w:pStyle w:val="TOC2"/>
        <w:tabs>
          <w:tab w:pos="9524" w:val="right" w:leader="dot"/>
        </w:tabs>
      </w:pPr>
      <w:r>
        <w:t>11.2 Beispiel (konstruiert, bitte prüfen): Klient und Empfängeradresse per ERP</w:t>
        <w:tab/>
        <w:t>22</w:t>
      </w:r>
    </w:p>
    <w:p>
      <w:pPr>
        <w:pStyle w:val="TOC1"/>
        <w:tabs>
          <w:tab w:pos="9524" w:val="right" w:leader="dot"/>
        </w:tabs>
      </w:pPr>
      <w:r>
        <w:t>12 Lücken und offene Fragen</w:t>
        <w:tab/>
        <w:t>23</w:t>
      </w:r>
    </w:p>
    <w:p>
      <w:pPr>
        <w:pStyle w:val="TOC2"/>
        <w:tabs>
          <w:tab w:pos="9524" w:val="right" w:leader="dot"/>
        </w:tabs>
      </w:pPr>
      <w:r>
        <w:t>12.1 Dokumentationslücken</w:t>
        <w:tab/>
        <w:t>23</w:t>
      </w:r>
    </w:p>
    <w:p>
      <w:pPr>
        <w:pStyle w:val="TOC2"/>
        <w:tabs>
          <w:tab w:pos="9524" w:val="right" w:leader="dot"/>
        </w:tabs>
      </w:pPr>
      <w:r>
        <w:t>12.2 Fragen an Marek</w:t>
        <w:tab/>
        <w:t>23</w:t>
      </w:r>
    </w:p>
    <w:p>
      <w:pPr>
        <w:pStyle w:val="TOC1"/>
        <w:tabs>
          <w:tab w:pos="9524" w:val="right" w:leader="dot"/>
        </w:tabs>
      </w:pPr>
      <w:r>
        <w:t>13 Quellenverzeichnis</w:t>
        <w:tab/>
        <w:t>24</w:t>
      </w:r>
      <w:r>
        <w:fldChar w:fldCharType="end"/>
      </w:r>
    </w:p>
    <w:p>
      <w:pPr>
        <w:pStyle w:val="Heading1"/>
      </w:pPr>
      <w:r>
        <w:t>1 Über dieses Dokument</w:t>
      </w:r>
    </w:p>
    <w:p>
      <w:pPr>
        <w:pStyle w:val="Heading2"/>
      </w:pPr>
      <w:r>
        <w:t>1.1 Zweck</w:t>
      </w:r>
    </w:p>
    <w:p>
      <w:r>
        <w:t xml:space="preserve">Diese Anleitung beschreibt, wie in WAMAS Lift &amp; Store 2.7 ein </w:t>
      </w:r>
      <w:r>
        <w:rPr>
          <w:b/>
        </w:rPr>
        <w:t>Klient</w:t>
      </w:r>
      <w:r>
        <w:t xml:space="preserve">, seine </w:t>
      </w:r>
      <w:r>
        <w:rPr>
          <w:b/>
        </w:rPr>
        <w:t>Partner</w:t>
      </w:r>
      <w:r>
        <w:t xml:space="preserve"> (z. B. Lieferanten und Kunden) und deren </w:t>
      </w:r>
      <w:r>
        <w:rPr>
          <w:b/>
        </w:rPr>
        <w:t>Adressen</w:t>
      </w:r>
      <w:r>
        <w:t xml:space="preserve"> angelegt werden – manuell im Desktop-Client und, soweit dokumentiert, über die ERP-Schnittstelle. Sie fasst zusammen, was ein neuer Klient zusätzlich braucht und wo Adressen später wieder auftauchen. Alle Aussagen stammen aus den im Quellenverzeichnis genannten Handbüchern. Was dort nicht beschrieben ist, steht in einem grauen Lückenkasten und in Kapitel 12.</w:t>
      </w:r>
    </w:p>
    <w:p>
      <w:pPr>
        <w:pStyle w:val="Heading2"/>
      </w:pPr>
      <w:r>
        <w:t>1.2 Lesehinweise</w:t>
      </w:r>
    </w:p>
    <w:p>
      <w:pPr>
        <w:pStyle w:val="ListBullet"/>
      </w:pPr>
      <w:r>
        <w:t xml:space="preserve">Dialog-, Registerkarten-, Feld- und Buttonnamen sind </w:t>
      </w:r>
      <w:r>
        <w:rPr>
          <w:b/>
        </w:rPr>
        <w:t>fett</w:t>
      </w:r>
      <w:r>
        <w:t xml:space="preserve"> gesetzt, so wie sie im deutschen Handbuch heißen.</w:t>
      </w:r>
    </w:p>
    <w:p>
      <w:pPr>
        <w:pStyle w:val="ListBullet"/>
      </w:pPr>
      <w:r>
        <w:t xml:space="preserve">Schnittstellenfelder und Satzarten stehen in </w:t>
      </w:r>
      <w:r>
        <w:rPr>
          <w:rFonts w:ascii="Consolas" w:hAnsi="Consolas" w:cs="Consolas" w:eastAsia="Consolas"/>
          <w:sz w:val="18"/>
        </w:rPr>
        <w:t>Monospace</w:t>
      </w:r>
      <w:r>
        <w:t xml:space="preserve">, z. B. </w:t>
      </w:r>
      <w:r>
        <w:rPr>
          <w:rFonts w:ascii="Consolas" w:hAnsi="Consolas" w:cs="Consolas" w:eastAsia="Consolas"/>
          <w:sz w:val="18"/>
        </w:rPr>
        <w:t>WLSCLIENT001</w:t>
      </w:r>
      <w:r>
        <w:t xml:space="preserve">, </w:t>
      </w:r>
      <w:r>
        <w:rPr>
          <w:rFonts w:ascii="Consolas" w:hAnsi="Consolas" w:cs="Consolas" w:eastAsia="Consolas"/>
          <w:sz w:val="18"/>
        </w:rPr>
        <w:t>clientId</w:t>
      </w:r>
      <w:r>
        <w:t>.</w:t>
      </w:r>
    </w:p>
    <w:p>
      <w:pPr>
        <w:pStyle w:val="ListBullet"/>
      </w:pPr>
      <w:r>
        <w:t>Jeder Abschnitt endet mit einer Quellenzeile (Kürzel siehe Kapitel 13).</w:t>
      </w:r>
    </w:p>
    <w:p>
      <w:pPr>
        <w:pStyle w:val="ListBullet"/>
      </w:pPr>
      <w:r>
        <w:t>Die Inhalte für 2.7 wurden mit den Handbüchern 2.8 abgeglichen. Abweichungen sind ausdrücklich erwähnt. Wo nichts erwähnt ist, ist der Inhalt in 2.8 gleich.</w:t>
      </w:r>
    </w:p>
    <w:p>
      <w:pPr>
        <w:pStyle w:val="ListBullet"/>
      </w:pPr>
      <w:r>
        <w:t>Kapitel 11 enthält konstruierte Beispiele. Sie sind als solche gekennzeichnet und müssen vor der Verwendung im Projekt geprüft werden.</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Klienten, Lieferanten und Partner anlegen (inkl. Adressen)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1.1</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Key-User und Administratoren des Kunden, SSI-Projektteam</w:t>
            </w:r>
          </w:p>
        </w:tc>
      </w:tr>
      <w:tr>
        <w:tc>
          <w:tcPr>
            <w:tcW w:type="dxa" w:w="2268"/>
          </w:tcPr>
          <w:p>
            <w:pPr>
              <w:spacing w:after="0" w:line="252" w:lineRule="auto"/>
            </w:pPr>
            <w:r>
              <w:rPr>
                <w:b/>
                <w:sz w:val="17"/>
              </w:rPr>
              <w:t>Grundlage</w:t>
            </w:r>
          </w:p>
        </w:tc>
        <w:tc>
          <w:tcPr>
            <w:tcW w:type="dxa" w:w="7257"/>
          </w:tcPr>
          <w:p>
            <w:pPr>
              <w:spacing w:after="0" w:line="252" w:lineRule="auto"/>
            </w:pPr>
            <w:r>
              <w:rPr>
                <w:sz w:val="17"/>
              </w:rPr>
              <w:t>Administrator- und Benutzerhandbuch 2.7 (deDE), Interface Manual WLS–ERP 2.7, Abgleich mit 2.8 (enUS)</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1.0</w:t>
            </w:r>
          </w:p>
        </w:tc>
        <w:tc>
          <w:tcPr>
            <w:tcW w:type="dxa" w:w="1237"/>
          </w:tcPr>
          <w:p>
            <w:pPr>
              <w:spacing w:after="0" w:line="252" w:lineRule="auto"/>
            </w:pPr>
            <w:r>
              <w:rPr>
                <w:sz w:val="17"/>
              </w:rPr>
              <w:t>14.10.2026</w:t>
            </w:r>
          </w:p>
        </w:tc>
        <w:tc>
          <w:tcPr>
            <w:tcW w:type="dxa" w:w="7422"/>
          </w:tcPr>
          <w:p>
            <w:pPr>
              <w:spacing w:after="0" w:line="252" w:lineRule="auto"/>
            </w:pPr>
            <w:r>
              <w:rPr>
                <w:sz w:val="17"/>
              </w:rPr>
              <w:t>Erstfassung</w:t>
            </w:r>
          </w:p>
        </w:tc>
      </w:tr>
      <w:tr>
        <w:tc>
          <w:tcPr>
            <w:tcW w:type="dxa" w:w="866"/>
          </w:tcPr>
          <w:p>
            <w:pPr>
              <w:spacing w:after="0" w:line="252" w:lineRule="auto"/>
            </w:pPr>
            <w:r>
              <w:rPr>
                <w:sz w:val="17"/>
              </w:rPr>
              <w:t>1.1</w:t>
            </w:r>
          </w:p>
        </w:tc>
        <w:tc>
          <w:tcPr>
            <w:tcW w:type="dxa" w:w="1237"/>
          </w:tcPr>
          <w:p>
            <w:pPr>
              <w:spacing w:after="0" w:line="252" w:lineRule="auto"/>
            </w:pPr>
            <w:r>
              <w:rPr>
                <w:sz w:val="17"/>
              </w:rPr>
              <w:t>14.10.2026</w:t>
            </w:r>
          </w:p>
        </w:tc>
        <w:tc>
          <w:tcPr>
            <w:tcW w:type="dxa" w:w="7422"/>
          </w:tcPr>
          <w:p>
            <w:pPr>
              <w:spacing w:after="0" w:line="252" w:lineRule="auto"/>
            </w:pPr>
            <w:r>
              <w:rPr>
                <w:sz w:val="17"/>
              </w:rPr>
              <w:t>Neues Kapitel 3 „Mandanten – Begriff und Abgrenzung“ mit Diagramm und Praxisbeispiel; Kapitel ab 4 neu nummeriert; Lücken L11–L14, Fragen 9–10 und Quellen ergänzt</w:t>
            </w:r>
          </w:p>
        </w:tc>
      </w:tr>
    </w:tbl>
    <w:p>
      <w:pPr>
        <w:pStyle w:val="BeschriftungSSI"/>
      </w:pPr>
      <w:r>
        <w:t>Tab. 1: Änderungshistorie</w:t>
      </w:r>
    </w:p>
    <w:p>
      <w:pPr>
        <w:pStyle w:val="Heading1"/>
      </w:pPr>
      <w:r>
        <w:t>2 Begriffe und Zusammenhänge</w:t>
      </w:r>
    </w:p>
    <w:p>
      <w:pPr>
        <w:pStyle w:val="Heading2"/>
      </w:pPr>
      <w:r>
        <w:t>2.1 Klient</w:t>
      </w:r>
    </w:p>
    <w:p>
      <w:r>
        <w:t>Der Klient ist der Vertragspartner des Lagers oder der Lagerbetreiber selbst. Neben dem Lagerbetreiber kann es in einem Lager mehrere Klienten geben (</w:t>
      </w:r>
      <w:r>
        <w:rPr>
          <w:b/>
        </w:rPr>
        <w:t>Klientenfähigkeit</w:t>
      </w:r>
      <w:r>
        <w:t xml:space="preserve">). Klientenspezifische Stammdaten gelten für mehrere Prozesse, z. B. Wareneigentümer, Artikeltypen oder Bedarfstypen. Artikel sind über </w:t>
      </w:r>
      <w:r>
        <w:rPr>
          <w:b/>
        </w:rPr>
        <w:t>Klient + Artikelnummer + Variante</w:t>
      </w:r>
      <w:r>
        <w:t xml:space="preserve"> eindeutig. Einlager-, Kommissionier- und Inventurbedarfe sind immer einem Klienten, einem Lagerstandort und einem Systempartner zugeordnet.</w:t>
      </w:r>
    </w:p>
    <w:p>
      <w:pPr>
        <w:pStyle w:val="Quelle"/>
      </w:pPr>
      <w:r>
        <w:rPr>
          <w:b/>
        </w:rPr>
        <w:t xml:space="preserve">Quelle: </w:t>
      </w:r>
      <w:r>
        <w:rPr>
          <w:sz w:val="17"/>
        </w:rPr>
        <w:t>AH 2.7, Kap. 3.6.1 und 3.6.3; BH 2.7, Kap. 6.2.1.1 und 6.2.2.1</w:t>
      </w:r>
    </w:p>
    <w:p>
      <w:pPr>
        <w:pStyle w:val="Heading2"/>
      </w:pPr>
      <w:r>
        <w:t>2.2 Partner – Lieferant, Kunde, Frachtführer, Lagerstandort</w:t>
      </w:r>
    </w:p>
    <w:p>
      <w:r>
        <w:t xml:space="preserve">Jeder Klient benötigt mindestens einen Partner. Partner sind Wareneigentümer wie Kunden, Lieferanten, Frachtführer, Lagerstandorte oder eine beliebige Kombination daraus. </w:t>
      </w:r>
      <w:r>
        <w:rPr>
          <w:b/>
        </w:rPr>
        <w:t>Lieferant</w:t>
      </w:r>
      <w:r>
        <w:t xml:space="preserve"> und </w:t>
      </w:r>
      <w:r>
        <w:rPr>
          <w:b/>
        </w:rPr>
        <w:t>Kunde</w:t>
      </w:r>
      <w:r>
        <w:t xml:space="preserve"> sind also keine eigenen Stammdatenobjekte, sondern </w:t>
      </w:r>
      <w:r>
        <w:rPr>
          <w:b/>
        </w:rPr>
        <w:t>Partnerarten</w:t>
      </w:r>
      <w:r>
        <w:t xml:space="preserve"> (Checkboxen) am Partner im Dialog </w:t>
      </w:r>
      <w:r>
        <w:rPr>
          <w:b/>
        </w:rPr>
        <w:t>MD018 Partner pflegen</w:t>
      </w:r>
      <w:r>
        <w:t xml:space="preserve">. Ein Partner wird immer unter einem Klienten angelegt und ist diesem zugeordnet. Laut Handbuch muss ein Partner über einen </w:t>
      </w:r>
      <w:r>
        <w:rPr>
          <w:b/>
        </w:rPr>
        <w:t>Hauptsystempartner</w:t>
      </w:r>
      <w:r>
        <w:t xml:space="preserve"> (z. B. Host), d. h. einen Standardsystempartner, verfügen.</w:t>
      </w:r>
    </w:p>
    <w:p>
      <w:pPr>
        <w:pStyle w:val="Quelle"/>
      </w:pPr>
      <w:r>
        <w:rPr>
          <w:b/>
        </w:rPr>
        <w:t xml:space="preserve">Quelle: </w:t>
      </w:r>
      <w:r>
        <w:rPr>
          <w:sz w:val="17"/>
        </w:rPr>
        <w:t>AH 2.7, Kap. 3.6.2 und 3.6.2.1</w:t>
      </w:r>
    </w:p>
    <w:p>
      <w:pPr>
        <w:pStyle w:val="Heading2"/>
      </w:pPr>
      <w:r>
        <w:t>2.3 Wareneigentümer</w:t>
      </w:r>
    </w:p>
    <w:p>
      <w:r>
        <w:t xml:space="preserve">Auf der Registerkarte </w:t>
      </w:r>
      <w:r>
        <w:rPr>
          <w:b/>
        </w:rPr>
        <w:t>Wareneigentümer</w:t>
      </w:r>
      <w:r>
        <w:t xml:space="preserve"> in </w:t>
      </w:r>
      <w:r>
        <w:rPr>
          <w:b/>
        </w:rPr>
        <w:t>MD017</w:t>
      </w:r>
      <w:r>
        <w:t xml:space="preserve"> werden die Partner hinterlegt, mit denen der Klient arbeitet. Einer davon kann als Standard markiert werden. Ein Wareneigentümer muss nur gepflegt werden, wenn der Klient nicht selbst der Wareneigentümer ist. In den Bedarfszeilen (z. B. </w:t>
      </w:r>
      <w:r>
        <w:rPr>
          <w:b/>
        </w:rPr>
        <w:t>LM073</w:t>
      </w:r>
      <w:r>
        <w:t xml:space="preserve">, </w:t>
      </w:r>
      <w:r>
        <w:rPr>
          <w:b/>
        </w:rPr>
        <w:t>LM082</w:t>
      </w:r>
      <w:r>
        <w:t xml:space="preserve">) wird der </w:t>
      </w:r>
      <w:r>
        <w:rPr>
          <w:b/>
        </w:rPr>
        <w:t>Wareneigentümer</w:t>
      </w:r>
      <w:r>
        <w:t xml:space="preserve"> pro Zeile angegeben. In der Schnittstelle entspricht dies dem Feld </w:t>
      </w:r>
      <w:r>
        <w:rPr>
          <w:rFonts w:ascii="Consolas" w:hAnsi="Consolas" w:cs="Consolas" w:eastAsia="Consolas"/>
          <w:sz w:val="18"/>
        </w:rPr>
        <w:t>gow</w:t>
      </w:r>
      <w:r>
        <w:t xml:space="preserve"> (Goods owner, Partner-ID). Zur Abgrenzung von Klient und Wareneigentümer siehe Kapitel 3.</w:t>
      </w:r>
    </w:p>
    <w:p>
      <w:pPr>
        <w:pStyle w:val="Quelle"/>
      </w:pPr>
      <w:r>
        <w:rPr>
          <w:b/>
        </w:rPr>
        <w:t xml:space="preserve">Quelle: </w:t>
      </w:r>
      <w:r>
        <w:rPr>
          <w:sz w:val="17"/>
        </w:rPr>
        <w:t>AH 2.7, Kap. 3.6.1.2; BH 2.7, Kap. 6.2.1.1.2 und 6.2.2.1.2; IF 2.7, Kap. 6.1.2.2</w:t>
      </w:r>
    </w:p>
    <w:p>
      <w:pPr>
        <w:pStyle w:val="Heading2"/>
      </w:pPr>
      <w:r>
        <w:t>2.4 Adressen</w:t>
      </w:r>
    </w:p>
    <w:p>
      <w:r>
        <w:t>Adressen sind in 2.7 kein eigenständiges Stammdatenobjekt mit eigenem Dialog. Sie werden am jeweiligen Objekt gepflegt: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82"/>
        <w:gridCol w:w="4171"/>
        <w:gridCol w:w="4171"/>
      </w:tblGrid>
      <w:tr>
        <w:trPr>
          <w:tblHeader w:val="true"/>
        </w:trPr>
        <w:tc>
          <w:tcPr>
            <w:tcW w:type="dxa" w:w="1182"/>
            <w:shd w:val="clear" w:color="auto" w:fill="FEEE19"/>
          </w:tcPr>
          <w:p>
            <w:pPr>
              <w:spacing w:after="0"/>
            </w:pPr>
            <w:r>
              <w:rPr>
                <w:b/>
                <w:sz w:val="17"/>
              </w:rPr>
              <w:t>Objekt</w:t>
            </w:r>
          </w:p>
        </w:tc>
        <w:tc>
          <w:tcPr>
            <w:tcW w:type="dxa" w:w="4171"/>
            <w:shd w:val="clear" w:color="auto" w:fill="FEEE19"/>
          </w:tcPr>
          <w:p>
            <w:pPr>
              <w:spacing w:after="0"/>
            </w:pPr>
            <w:r>
              <w:rPr>
                <w:b/>
                <w:sz w:val="17"/>
              </w:rPr>
              <w:t>Wo gepflegt</w:t>
            </w:r>
          </w:p>
        </w:tc>
        <w:tc>
          <w:tcPr>
            <w:tcW w:type="dxa" w:w="4171"/>
            <w:shd w:val="clear" w:color="auto" w:fill="FEEE19"/>
          </w:tcPr>
          <w:p>
            <w:pPr>
              <w:spacing w:after="0"/>
            </w:pPr>
            <w:r>
              <w:rPr>
                <w:b/>
                <w:sz w:val="17"/>
              </w:rPr>
              <w:t>Besonderheit</w:t>
            </w:r>
          </w:p>
        </w:tc>
      </w:tr>
      <w:tr>
        <w:tc>
          <w:tcPr>
            <w:tcW w:type="dxa" w:w="1182"/>
          </w:tcPr>
          <w:p>
            <w:pPr>
              <w:spacing w:after="0" w:line="252" w:lineRule="auto"/>
            </w:pPr>
            <w:r>
              <w:rPr>
                <w:sz w:val="17"/>
              </w:rPr>
              <w:t>Klient</w:t>
            </w:r>
          </w:p>
        </w:tc>
        <w:tc>
          <w:tcPr>
            <w:tcW w:type="dxa" w:w="4171"/>
          </w:tcPr>
          <w:p>
            <w:pPr>
              <w:spacing w:after="0" w:line="252" w:lineRule="auto"/>
            </w:pPr>
            <w:r>
              <w:rPr>
                <w:b/>
                <w:sz w:val="17"/>
              </w:rPr>
              <w:t>MD017</w:t>
            </w:r>
            <w:r>
              <w:rPr>
                <w:sz w:val="17"/>
              </w:rPr>
              <w:t xml:space="preserve">, Registerkarte </w:t>
            </w:r>
            <w:r>
              <w:rPr>
                <w:b/>
                <w:sz w:val="17"/>
              </w:rPr>
              <w:t>Klient</w:t>
            </w:r>
            <w:r>
              <w:rPr>
                <w:sz w:val="17"/>
              </w:rPr>
              <w:t xml:space="preserve">, Bereich </w:t>
            </w:r>
            <w:r>
              <w:rPr>
                <w:b/>
                <w:sz w:val="17"/>
              </w:rPr>
              <w:t>Adresse</w:t>
            </w:r>
          </w:p>
        </w:tc>
        <w:tc>
          <w:tcPr>
            <w:tcW w:type="dxa" w:w="4171"/>
          </w:tcPr>
          <w:p>
            <w:pPr>
              <w:spacing w:after="0" w:line="252" w:lineRule="auto"/>
            </w:pPr>
            <w:r>
              <w:rPr>
                <w:sz w:val="17"/>
              </w:rPr>
              <w:t xml:space="preserve">zusätzlich </w:t>
            </w:r>
            <w:r>
              <w:rPr>
                <w:b/>
                <w:sz w:val="17"/>
              </w:rPr>
              <w:t>Sprache</w:t>
            </w:r>
            <w:r>
              <w:rPr>
                <w:sz w:val="17"/>
              </w:rPr>
              <w:t xml:space="preserve"> und </w:t>
            </w:r>
            <w:r>
              <w:rPr>
                <w:b/>
                <w:sz w:val="17"/>
              </w:rPr>
              <w:t>Zeitzone</w:t>
            </w:r>
          </w:p>
        </w:tc>
      </w:tr>
      <w:tr>
        <w:tc>
          <w:tcPr>
            <w:tcW w:type="dxa" w:w="1182"/>
          </w:tcPr>
          <w:p>
            <w:pPr>
              <w:spacing w:after="0" w:line="252" w:lineRule="auto"/>
            </w:pPr>
            <w:r>
              <w:rPr>
                <w:sz w:val="17"/>
              </w:rPr>
              <w:t>Partner</w:t>
            </w:r>
          </w:p>
        </w:tc>
        <w:tc>
          <w:tcPr>
            <w:tcW w:type="dxa" w:w="4171"/>
          </w:tcPr>
          <w:p>
            <w:pPr>
              <w:spacing w:after="0" w:line="252" w:lineRule="auto"/>
            </w:pPr>
            <w:r>
              <w:rPr>
                <w:b/>
                <w:sz w:val="17"/>
              </w:rPr>
              <w:t>MD018</w:t>
            </w:r>
            <w:r>
              <w:rPr>
                <w:sz w:val="17"/>
              </w:rPr>
              <w:t xml:space="preserve">, Registerkarte </w:t>
            </w:r>
            <w:r>
              <w:rPr>
                <w:b/>
                <w:sz w:val="17"/>
              </w:rPr>
              <w:t>Adresse</w:t>
            </w:r>
          </w:p>
        </w:tc>
        <w:tc>
          <w:tcPr>
            <w:tcW w:type="dxa" w:w="4171"/>
          </w:tcPr>
          <w:p>
            <w:pPr>
              <w:spacing w:after="0" w:line="252" w:lineRule="auto"/>
            </w:pPr>
            <w:r>
              <w:rPr>
                <w:b/>
                <w:sz w:val="17"/>
              </w:rPr>
              <w:t>Art der Adresse</w:t>
            </w:r>
            <w:r>
              <w:rPr>
                <w:sz w:val="17"/>
              </w:rPr>
              <w:t xml:space="preserve">: Partner (Hauptadresse), Lieferung, Rechnung; dazu </w:t>
            </w:r>
            <w:r>
              <w:rPr>
                <w:b/>
                <w:sz w:val="17"/>
              </w:rPr>
              <w:t>Zeitzone</w:t>
            </w:r>
          </w:p>
        </w:tc>
      </w:tr>
      <w:tr>
        <w:tc>
          <w:tcPr>
            <w:tcW w:type="dxa" w:w="1182"/>
          </w:tcPr>
          <w:p>
            <w:pPr>
              <w:spacing w:after="0" w:line="252" w:lineRule="auto"/>
            </w:pPr>
            <w:r>
              <w:rPr>
                <w:sz w:val="17"/>
              </w:rPr>
              <w:t>Partner im Bedarf</w:t>
            </w:r>
          </w:p>
        </w:tc>
        <w:tc>
          <w:tcPr>
            <w:tcW w:type="dxa" w:w="4171"/>
          </w:tcPr>
          <w:p>
            <w:pPr>
              <w:spacing w:after="0" w:line="252" w:lineRule="auto"/>
            </w:pPr>
            <w:r>
              <w:rPr>
                <w:b/>
                <w:sz w:val="17"/>
              </w:rPr>
              <w:t>LM079 Kommissionierbedarfspartnerrolle bearbeiten</w:t>
            </w:r>
            <w:r>
              <w:rPr>
                <w:sz w:val="17"/>
              </w:rPr>
              <w:t xml:space="preserve"> bzw. Satzart </w:t>
            </w:r>
            <w:r>
              <w:rPr>
                <w:rFonts w:ascii="Consolas" w:hAnsi="Consolas" w:cs="Consolas" w:eastAsia="Consolas"/>
                <w:sz w:val="15"/>
              </w:rPr>
              <w:t>WLS*PARTNER001</w:t>
            </w:r>
          </w:p>
        </w:tc>
        <w:tc>
          <w:tcPr>
            <w:tcW w:type="dxa" w:w="4171"/>
          </w:tcPr>
          <w:p>
            <w:pPr>
              <w:spacing w:after="0" w:line="252" w:lineRule="auto"/>
            </w:pPr>
            <w:r>
              <w:rPr>
                <w:sz w:val="17"/>
              </w:rPr>
              <w:t>Adresse und Zeitzone pro Bedarf und Partnerrolle</w:t>
            </w:r>
          </w:p>
        </w:tc>
      </w:tr>
      <w:tr>
        <w:tc>
          <w:tcPr>
            <w:tcW w:type="dxa" w:w="1182"/>
          </w:tcPr>
          <w:p>
            <w:pPr>
              <w:spacing w:after="0" w:line="252" w:lineRule="auto"/>
            </w:pPr>
            <w:r>
              <w:rPr>
                <w:sz w:val="17"/>
              </w:rPr>
              <w:t>Lagerstandort</w:t>
            </w:r>
          </w:p>
        </w:tc>
        <w:tc>
          <w:tcPr>
            <w:tcW w:type="dxa" w:w="4171"/>
          </w:tcPr>
          <w:p>
            <w:pPr>
              <w:spacing w:after="0" w:line="252" w:lineRule="auto"/>
            </w:pPr>
            <w:r>
              <w:rPr>
                <w:b/>
                <w:sz w:val="17"/>
              </w:rPr>
              <w:t>WH018 Lagerstandort pflegen</w:t>
            </w:r>
            <w:r>
              <w:rPr>
                <w:sz w:val="17"/>
              </w:rPr>
              <w:t xml:space="preserve">, Bereich </w:t>
            </w:r>
            <w:r>
              <w:rPr>
                <w:b/>
                <w:sz w:val="17"/>
              </w:rPr>
              <w:t>Adresse</w:t>
            </w:r>
          </w:p>
        </w:tc>
        <w:tc>
          <w:tcPr>
            <w:tcW w:type="dxa" w:w="4171"/>
          </w:tcPr>
          <w:p>
            <w:pPr>
              <w:spacing w:after="0" w:line="252" w:lineRule="auto"/>
            </w:pPr>
            <w:r>
              <w:rPr>
                <w:sz w:val="17"/>
              </w:rPr>
              <w:t>Zeitzone gilt für Zeitstempel am Mobil-Client</w:t>
            </w:r>
          </w:p>
        </w:tc>
      </w:tr>
    </w:tbl>
    <w:p>
      <w:pPr>
        <w:pStyle w:val="BeschriftungSSI"/>
      </w:pPr>
      <w:r>
        <w:t>Tab. 2: Wo Adressen gepflegt werden</w:t>
      </w:r>
    </w:p>
    <w:p>
      <w:r>
        <w:t xml:space="preserve">Länder für Adressen werden im Dialog </w:t>
      </w:r>
      <w:r>
        <w:rPr>
          <w:b/>
        </w:rPr>
        <w:t>MD016 Land pflegen</w:t>
      </w:r>
      <w:r>
        <w:t xml:space="preserve"> gepflegt (internationale Abkürzung, Bezeichnung, optional Landes-Alias).</w:t>
      </w:r>
    </w:p>
    <w:p>
      <w:pPr>
        <w:pStyle w:val="Quelle"/>
      </w:pPr>
      <w:r>
        <w:rPr>
          <w:b/>
        </w:rPr>
        <w:t xml:space="preserve">Quelle: </w:t>
      </w:r>
      <w:r>
        <w:rPr>
          <w:sz w:val="17"/>
        </w:rPr>
        <w:t>AH 2.7, Kap. 3.2.7, 3.4.1, 3.6.1.1, 3.6.2.2; BH 2.7, Kap. 6.2.2.1.2</w:t>
      </w:r>
    </w:p>
    <w:p>
      <w:pPr>
        <w:pStyle w:val="Heading2"/>
      </w:pPr>
      <w:r>
        <w:t>2.5 Systempartner – nicht verwechseln</w:t>
      </w:r>
    </w:p>
    <w:p>
      <w:r>
        <w:t xml:space="preserve">Ein </w:t>
      </w:r>
      <w:r>
        <w:rPr>
          <w:b/>
        </w:rPr>
        <w:t>Systempartner</w:t>
      </w:r>
      <w:r>
        <w:t xml:space="preserve"> ist kein Geschäftspartner, sondern ein extern verbundenes IT-System, z. B. ein übergeordnetes ERP oder ein untergeordnetes WCS. Systempartner werden im Dialog </w:t>
      </w:r>
      <w:r>
        <w:rPr>
          <w:b/>
        </w:rPr>
        <w:t>MD021 Systempartner pflegen</w:t>
      </w:r>
      <w:r>
        <w:t xml:space="preserve"> gepflegt. Artikel, Partner und Bedarfe verweisen auf einen Systempartner.</w:t>
      </w:r>
    </w:p>
    <w:p>
      <w:pPr>
        <w:pStyle w:val="Quelle"/>
      </w:pPr>
      <w:r>
        <w:rPr>
          <w:b/>
        </w:rPr>
        <w:t xml:space="preserve">Quelle: </w:t>
      </w:r>
      <w:r>
        <w:rPr>
          <w:sz w:val="17"/>
        </w:rPr>
        <w:t>AH 2.7, Kap. 3.5.1</w:t>
      </w:r>
    </w:p>
    <w:p>
      <w:pPr>
        <w:pStyle w:val="Heading2"/>
      </w:pPr>
      <w:r>
        <w:t>2.6 Beziehungsmodell</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Systempartner (MD021, z. B. HOST)</w:t>
            </w:r>
          </w:p>
          <w:p>
            <w:pPr>
              <w:pStyle w:val="Code"/>
            </w:pPr>
            <w:r>
              <w:t xml:space="preserve">      |  Hauptsystempartner</w:t>
            </w:r>
          </w:p>
          <w:p>
            <w:pPr>
              <w:pStyle w:val="Code"/>
            </w:pPr>
            <w:r>
              <w:t xml:space="preserve">      v</w:t>
            </w:r>
          </w:p>
          <w:p>
            <w:pPr>
              <w:pStyle w:val="Code"/>
            </w:pPr>
            <w:r>
              <w:t>Klient (MD017) --- Adresse, Sprache, Zeitzone, UID-Nr.</w:t>
            </w:r>
          </w:p>
          <w:p>
            <w:pPr>
              <w:pStyle w:val="Code"/>
            </w:pPr>
            <w:r>
              <w:t xml:space="preserve">  |</w:t>
            </w:r>
          </w:p>
          <w:p>
            <w:pPr>
              <w:pStyle w:val="Code"/>
            </w:pPr>
            <w:r>
              <w:t xml:space="preserve">  +-- 1..n Partner (MD018) --- Partnerart: Lieferant / Kunde / Frachtführer / Lagerstandort</w:t>
            </w:r>
          </w:p>
          <w:p>
            <w:pPr>
              <w:pStyle w:val="Code"/>
            </w:pPr>
            <w:r>
              <w:t xml:space="preserve">  |      +-- Adressen: Partner | Lieferung | Rechnung (+ Zeitzone)</w:t>
            </w:r>
          </w:p>
          <w:p>
            <w:pPr>
              <w:pStyle w:val="Code"/>
            </w:pPr>
            <w:r>
              <w:t xml:space="preserve">  |</w:t>
            </w:r>
          </w:p>
          <w:p>
            <w:pPr>
              <w:pStyle w:val="Code"/>
            </w:pPr>
            <w:r>
              <w:t xml:space="preserve">  +-- Wareneigentümer (Registerkarte in MD017) -&gt; verweist auf Partner</w:t>
            </w:r>
          </w:p>
          <w:p>
            <w:pPr>
              <w:pStyle w:val="Code"/>
            </w:pPr>
            <w:r>
              <w:t xml:space="preserve">  +-- Artikel (MD002): Klient + Artikelnummer + Variante</w:t>
            </w:r>
          </w:p>
          <w:p>
            <w:pPr>
              <w:pStyle w:val="Code"/>
            </w:pPr>
            <w:r>
              <w:t xml:space="preserve">  +-- Bedarfe (LM072 / LM081 / Inventur): Klient + Lagerstandort + Systempartner</w:t>
            </w:r>
          </w:p>
          <w:p>
            <w:pPr>
              <w:pStyle w:val="Code"/>
            </w:pPr>
            <w:r>
              <w:t xml:space="preserve">         +-- Partnerrolle (LM079 bzw. WLS*PARTNER001) -&gt; Partner + Adresse</w:t>
            </w:r>
          </w:p>
        </w:tc>
      </w:tr>
    </w:tbl>
    <w:p>
      <w:pPr>
        <w:pStyle w:val="BeschriftungSSI"/>
      </w:pPr>
      <w:r>
        <w:t>Abb. 1: Zusammenhang der Objekte (aus den Handbuchtexten abgeleitet)</w:t>
      </w:r>
    </w:p>
    <w:p>
      <w:pPr>
        <w:pStyle w:val="Quelle"/>
      </w:pPr>
      <w:r>
        <w:rPr>
          <w:b/>
        </w:rPr>
        <w:t xml:space="preserve">Quelle: </w:t>
      </w:r>
      <w:r>
        <w:rPr>
          <w:sz w:val="17"/>
        </w:rPr>
        <w:t>AH 2.7, Kap. 3.5.1, 3.6.1, 3.6.2, 3.6.3; BH 2.7, Kap. 6.2</w:t>
      </w:r>
    </w:p>
    <w:p>
      <w:pPr>
        <w:pStyle w:val="Heading1"/>
      </w:pPr>
      <w:r>
        <w:t>3 Mandanten – Begriff und Abgrenzung</w:t>
      </w:r>
    </w:p>
    <w:p>
      <w:pPr>
        <w:pStyle w:val="Heading2"/>
      </w:pPr>
      <w:r>
        <w:t>3.1 Der Begriff „Mandant“ in den Quellen</w:t>
      </w:r>
    </w:p>
    <w:p>
      <w:r>
        <w:t xml:space="preserve">Die Begriffe „Mandant“ und „Mandantenfähigkeit“ kommen in keiner der ausgewerteten Quellen vor. Durchsucht wurden die Administrator- und Benutzerhandbücher 2.7 (deDE) und 2.8 (enUS), die Interface Manuals 2.7/2.8 und die Schulungsunterlagen. Das deutsche Handbuch verwendet stattdessen </w:t>
      </w:r>
      <w:r>
        <w:rPr>
          <w:b/>
        </w:rPr>
        <w:t>Klient</w:t>
      </w:r>
      <w:r>
        <w:t xml:space="preserve"> und </w:t>
      </w:r>
      <w:r>
        <w:rPr>
          <w:b/>
        </w:rPr>
        <w:t>Klientenfähigkeit</w:t>
      </w:r>
      <w:r>
        <w:t>, das englische *client* und *multi-client capability*:</w:t>
      </w:r>
    </w:p>
    <w:p>
      <w:pPr>
        <w:pStyle w:val="ListBullet"/>
      </w:pPr>
      <w:r>
        <w:t>„Der Klient ist der Vertragspartner des Lagers oder der Lagerbetreiber selbst. Neben einem Lagerbetreiber kann es in einem Lager mehrere Klienten geben (Klientenfähigkeit).“</w:t>
      </w:r>
    </w:p>
    <w:p>
      <w:pPr>
        <w:pStyle w:val="ListBullet"/>
      </w:pPr>
      <w:r>
        <w:t>„There is one warehouse operator and there can be more clients in one warehouse (multi-client capability).“</w:t>
      </w:r>
    </w:p>
    <w:p>
      <w:r>
        <w:t xml:space="preserve">Was im Projektalltag „Mandant“ genannt wird, also mehrere Besitzer von Ware in einem gemeinsamen Lager, entspricht damit dem </w:t>
      </w:r>
      <w:r>
        <w:rPr>
          <w:b/>
        </w:rPr>
        <w:t>Klienten</w:t>
      </w:r>
      <w:r>
        <w:t>. Diese Zuordnung ist eine Übersetzung des Begriffs. Die Handbücher stellen sie nicht selbst her.</w:t>
      </w:r>
    </w:p>
    <w:p>
      <w:pPr>
        <w:pStyle w:val="Quelle"/>
      </w:pPr>
      <w:r>
        <w:rPr>
          <w:b/>
        </w:rPr>
        <w:t xml:space="preserve">Quelle: </w:t>
      </w:r>
      <w:r>
        <w:rPr>
          <w:sz w:val="17"/>
        </w:rPr>
        <w:t>AH 2.7, Kap. 3.6.1, S. 99; AH 2.8, Kap. 3.6.1, S. 98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Begriff Mandant</w:t>
            </w:r>
          </w:p>
          <w:p>
            <w:pPr>
              <w:spacing w:after="40"/>
            </w:pPr>
            <w:r>
              <w:rPr>
                <w:sz w:val="19"/>
              </w:rPr>
              <w:t>Keine Quelle definiert „Mandant“. Ob SSI SCHÄFER den Begriff intern oder gegenüber Kunden als Synonym für „Klient“ verwendet, ist nicht dokumentiert.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Doppelbedeutung von „Client“</w:t>
            </w:r>
          </w:p>
          <w:p>
            <w:pPr>
              <w:spacing w:after="40"/>
            </w:pPr>
            <w:r>
              <w:rPr>
                <w:sz w:val="19"/>
              </w:rPr>
              <w:t>„Client“ bezeichnet in WAMAS auch die Software-Oberflächen (</w:t>
            </w:r>
            <w:r>
              <w:rPr>
                <w:b/>
                <w:sz w:val="19"/>
              </w:rPr>
              <w:t>Desktop-Client</w:t>
            </w:r>
            <w:r>
              <w:rPr>
                <w:sz w:val="19"/>
              </w:rPr>
              <w:t xml:space="preserve">, </w:t>
            </w:r>
            <w:r>
              <w:rPr>
                <w:b/>
                <w:sz w:val="19"/>
              </w:rPr>
              <w:t>Touch-Client</w:t>
            </w:r>
            <w:r>
              <w:rPr>
                <w:sz w:val="19"/>
              </w:rPr>
              <w:t xml:space="preserve">, </w:t>
            </w:r>
            <w:r>
              <w:rPr>
                <w:b/>
                <w:sz w:val="19"/>
              </w:rPr>
              <w:t>Mobil-Client</w:t>
            </w:r>
            <w:r>
              <w:rPr>
                <w:sz w:val="19"/>
              </w:rPr>
              <w:t xml:space="preserve">). Im Dialog </w:t>
            </w:r>
            <w:r>
              <w:rPr>
                <w:b/>
                <w:sz w:val="19"/>
              </w:rPr>
              <w:t>Einstellungen</w:t>
            </w:r>
            <w:r>
              <w:rPr>
                <w:sz w:val="19"/>
              </w:rPr>
              <w:t xml:space="preserve"> am Touch-Client werden „Klientenparameter und Informationen über den Anwendungsserver“ angezeigt (BH 2.7, Kap. 2.4). Ob hier der Klient oder der Software-Client gemeint ist, erklärt das Handbuch nicht.</w:t>
            </w:r>
          </w:p>
        </w:tc>
      </w:tr>
    </w:tbl>
    <w:p>
      <w:pPr>
        <w:spacing w:after="40"/>
      </w:pPr>
    </w:p>
    <w:p>
      <w:pPr>
        <w:pStyle w:val="Heading2"/>
      </w:pPr>
      <w:r>
        <w:t>3.2 Abgrenzung Klient, Wareneigentümer, Partner und Systempartner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18"/>
        <w:gridCol w:w="4053"/>
        <w:gridCol w:w="4053"/>
      </w:tblGrid>
      <w:tr>
        <w:trPr>
          <w:tblHeader w:val="true"/>
        </w:trPr>
        <w:tc>
          <w:tcPr>
            <w:tcW w:type="dxa" w:w="1419"/>
            <w:shd w:val="clear" w:color="auto" w:fill="FEEE19"/>
          </w:tcPr>
          <w:p>
            <w:pPr>
              <w:spacing w:after="0"/>
            </w:pPr>
            <w:r>
              <w:rPr>
                <w:b/>
                <w:sz w:val="17"/>
              </w:rPr>
              <w:t>Begriff</w:t>
            </w:r>
          </w:p>
        </w:tc>
        <w:tc>
          <w:tcPr>
            <w:tcW w:type="dxa" w:w="4053"/>
            <w:shd w:val="clear" w:color="auto" w:fill="FEEE19"/>
          </w:tcPr>
          <w:p>
            <w:pPr>
              <w:spacing w:after="0"/>
            </w:pPr>
            <w:r>
              <w:rPr>
                <w:b/>
                <w:sz w:val="17"/>
              </w:rPr>
              <w:t>Aussage der Handbücher</w:t>
            </w:r>
          </w:p>
        </w:tc>
        <w:tc>
          <w:tcPr>
            <w:tcW w:type="dxa" w:w="4053"/>
            <w:shd w:val="clear" w:color="auto" w:fill="FEEE19"/>
          </w:tcPr>
          <w:p>
            <w:pPr>
              <w:spacing w:after="0"/>
            </w:pPr>
            <w:r>
              <w:rPr>
                <w:b/>
                <w:sz w:val="17"/>
              </w:rPr>
              <w:t>Dialog</w:t>
            </w:r>
          </w:p>
        </w:tc>
      </w:tr>
      <w:tr>
        <w:tc>
          <w:tcPr>
            <w:tcW w:type="dxa" w:w="1419"/>
          </w:tcPr>
          <w:p>
            <w:pPr>
              <w:spacing w:after="0" w:line="252" w:lineRule="auto"/>
            </w:pPr>
            <w:r>
              <w:rPr>
                <w:b/>
                <w:sz w:val="17"/>
              </w:rPr>
              <w:t>Klient</w:t>
            </w:r>
          </w:p>
        </w:tc>
        <w:tc>
          <w:tcPr>
            <w:tcW w:type="dxa" w:w="4053"/>
          </w:tcPr>
          <w:p>
            <w:pPr>
              <w:spacing w:after="0" w:line="252" w:lineRule="auto"/>
            </w:pPr>
            <w:r>
              <w:rPr>
                <w:sz w:val="17"/>
              </w:rPr>
              <w:t>Vertragspartner des Lagers oder Lagerbetreiber; mehrere Klienten pro Lager möglich</w:t>
            </w:r>
          </w:p>
        </w:tc>
        <w:tc>
          <w:tcPr>
            <w:tcW w:type="dxa" w:w="4053"/>
          </w:tcPr>
          <w:p>
            <w:pPr>
              <w:spacing w:after="0" w:line="252" w:lineRule="auto"/>
            </w:pPr>
            <w:r>
              <w:rPr>
                <w:b/>
                <w:sz w:val="17"/>
              </w:rPr>
              <w:t>MD017</w:t>
            </w:r>
          </w:p>
        </w:tc>
      </w:tr>
      <w:tr>
        <w:tc>
          <w:tcPr>
            <w:tcW w:type="dxa" w:w="1419"/>
          </w:tcPr>
          <w:p>
            <w:pPr>
              <w:spacing w:after="0" w:line="252" w:lineRule="auto"/>
            </w:pPr>
            <w:r>
              <w:rPr>
                <w:b/>
                <w:sz w:val="17"/>
              </w:rPr>
              <w:t>Partner</w:t>
            </w:r>
          </w:p>
        </w:tc>
        <w:tc>
          <w:tcPr>
            <w:tcW w:type="dxa" w:w="4053"/>
          </w:tcPr>
          <w:p>
            <w:pPr>
              <w:spacing w:after="0" w:line="252" w:lineRule="auto"/>
            </w:pPr>
            <w:r>
              <w:rPr>
                <w:sz w:val="17"/>
              </w:rPr>
              <w:t>Jeder Klient hat mindestens einen; „Wareneigentümer wie Kunden, Lieferanten, Frachtführer, Lagerstandorte“; wird unter einem Klienten angelegt</w:t>
            </w:r>
          </w:p>
        </w:tc>
        <w:tc>
          <w:tcPr>
            <w:tcW w:type="dxa" w:w="4053"/>
          </w:tcPr>
          <w:p>
            <w:pPr>
              <w:spacing w:after="0" w:line="252" w:lineRule="auto"/>
            </w:pPr>
            <w:r>
              <w:rPr>
                <w:b/>
                <w:sz w:val="17"/>
              </w:rPr>
              <w:t>MD018</w:t>
            </w:r>
          </w:p>
        </w:tc>
      </w:tr>
      <w:tr>
        <w:tc>
          <w:tcPr>
            <w:tcW w:type="dxa" w:w="1419"/>
          </w:tcPr>
          <w:p>
            <w:pPr>
              <w:spacing w:after="0" w:line="252" w:lineRule="auto"/>
            </w:pPr>
            <w:r>
              <w:rPr>
                <w:b/>
                <w:sz w:val="17"/>
              </w:rPr>
              <w:t>Wareneigentümer</w:t>
            </w:r>
          </w:p>
        </w:tc>
        <w:tc>
          <w:tcPr>
            <w:tcW w:type="dxa" w:w="4053"/>
          </w:tcPr>
          <w:p>
            <w:pPr>
              <w:spacing w:after="0" w:line="252" w:lineRule="auto"/>
            </w:pPr>
            <w:r>
              <w:rPr>
                <w:sz w:val="17"/>
              </w:rPr>
              <w:t>Partner, mit denen der Klient arbeitet; nur zu pflegen, wenn der Klient nicht selbst Eigentümer ist; ein Klient kann mehrere haben, einer davon Standard</w:t>
            </w:r>
          </w:p>
        </w:tc>
        <w:tc>
          <w:tcPr>
            <w:tcW w:type="dxa" w:w="4053"/>
          </w:tcPr>
          <w:p>
            <w:pPr>
              <w:spacing w:after="0" w:line="252" w:lineRule="auto"/>
            </w:pPr>
            <w:r>
              <w:rPr>
                <w:b/>
                <w:sz w:val="17"/>
              </w:rPr>
              <w:t>MD017</w:t>
            </w:r>
            <w:r>
              <w:rPr>
                <w:sz w:val="17"/>
              </w:rPr>
              <w:t xml:space="preserve">, Registerkarte </w:t>
            </w:r>
            <w:r>
              <w:rPr>
                <w:b/>
                <w:sz w:val="17"/>
              </w:rPr>
              <w:t>Wareneigentümer</w:t>
            </w:r>
            <w:r>
              <w:rPr>
                <w:sz w:val="17"/>
              </w:rPr>
              <w:t xml:space="preserve">; Bedarfszeile; Feld </w:t>
            </w:r>
            <w:r>
              <w:rPr>
                <w:rFonts w:ascii="Consolas" w:hAnsi="Consolas" w:cs="Consolas" w:eastAsia="Consolas"/>
                <w:sz w:val="15"/>
              </w:rPr>
              <w:t>gow</w:t>
            </w:r>
          </w:p>
        </w:tc>
      </w:tr>
      <w:tr>
        <w:tc>
          <w:tcPr>
            <w:tcW w:type="dxa" w:w="1419"/>
          </w:tcPr>
          <w:p>
            <w:pPr>
              <w:spacing w:after="0" w:line="252" w:lineRule="auto"/>
            </w:pPr>
            <w:r>
              <w:rPr>
                <w:b/>
                <w:sz w:val="17"/>
              </w:rPr>
              <w:t>Lieferant / Kunde</w:t>
            </w:r>
          </w:p>
        </w:tc>
        <w:tc>
          <w:tcPr>
            <w:tcW w:type="dxa" w:w="4053"/>
          </w:tcPr>
          <w:p>
            <w:pPr>
              <w:spacing w:after="0" w:line="252" w:lineRule="auto"/>
            </w:pPr>
            <w:r>
              <w:rPr>
                <w:sz w:val="17"/>
              </w:rPr>
              <w:t>Partnerart (Checkbox) am Partner, kein eigenes Objekt</w:t>
            </w:r>
          </w:p>
        </w:tc>
        <w:tc>
          <w:tcPr>
            <w:tcW w:type="dxa" w:w="4053"/>
          </w:tcPr>
          <w:p>
            <w:pPr>
              <w:spacing w:after="0" w:line="252" w:lineRule="auto"/>
            </w:pPr>
            <w:r>
              <w:rPr>
                <w:b/>
                <w:sz w:val="17"/>
              </w:rPr>
              <w:t>MD018</w:t>
            </w:r>
            <w:r>
              <w:rPr>
                <w:sz w:val="17"/>
              </w:rPr>
              <w:t xml:space="preserve">, Registerkarte </w:t>
            </w:r>
            <w:r>
              <w:rPr>
                <w:b/>
                <w:sz w:val="17"/>
              </w:rPr>
              <w:t>Partner</w:t>
            </w:r>
          </w:p>
        </w:tc>
      </w:tr>
      <w:tr>
        <w:tc>
          <w:tcPr>
            <w:tcW w:type="dxa" w:w="1419"/>
          </w:tcPr>
          <w:p>
            <w:pPr>
              <w:spacing w:after="0" w:line="252" w:lineRule="auto"/>
            </w:pPr>
            <w:r>
              <w:rPr>
                <w:b/>
                <w:sz w:val="17"/>
              </w:rPr>
              <w:t>Systempartner</w:t>
            </w:r>
          </w:p>
        </w:tc>
        <w:tc>
          <w:tcPr>
            <w:tcW w:type="dxa" w:w="4053"/>
          </w:tcPr>
          <w:p>
            <w:pPr>
              <w:spacing w:after="0" w:line="252" w:lineRule="auto"/>
            </w:pPr>
            <w:r>
              <w:rPr>
                <w:sz w:val="17"/>
              </w:rPr>
              <w:t>extern verbundenes IT-System (ERP, WCS), kein Geschäftspartner</w:t>
            </w:r>
          </w:p>
        </w:tc>
        <w:tc>
          <w:tcPr>
            <w:tcW w:type="dxa" w:w="4053"/>
          </w:tcPr>
          <w:p>
            <w:pPr>
              <w:spacing w:after="0" w:line="252" w:lineRule="auto"/>
            </w:pPr>
            <w:r>
              <w:rPr>
                <w:b/>
                <w:sz w:val="17"/>
              </w:rPr>
              <w:t>MD021</w:t>
            </w:r>
          </w:p>
        </w:tc>
      </w:tr>
      <w:tr>
        <w:tc>
          <w:tcPr>
            <w:tcW w:type="dxa" w:w="1419"/>
          </w:tcPr>
          <w:p>
            <w:pPr>
              <w:spacing w:after="0" w:line="252" w:lineRule="auto"/>
            </w:pPr>
            <w:r>
              <w:rPr>
                <w:b/>
                <w:sz w:val="17"/>
              </w:rPr>
              <w:t>Lagerstandort</w:t>
            </w:r>
          </w:p>
        </w:tc>
        <w:tc>
          <w:tcPr>
            <w:tcW w:type="dxa" w:w="4053"/>
          </w:tcPr>
          <w:p>
            <w:pPr>
              <w:spacing w:after="0" w:line="252" w:lineRule="auto"/>
            </w:pPr>
            <w:r>
              <w:rPr>
                <w:sz w:val="17"/>
              </w:rPr>
              <w:t>eigenes Objekt; kann zusätzlich als Partnerart für Umlagerungen dienen</w:t>
            </w:r>
          </w:p>
        </w:tc>
        <w:tc>
          <w:tcPr>
            <w:tcW w:type="dxa" w:w="4053"/>
          </w:tcPr>
          <w:p>
            <w:pPr>
              <w:spacing w:after="0" w:line="252" w:lineRule="auto"/>
            </w:pPr>
            <w:r>
              <w:rPr>
                <w:b/>
                <w:sz w:val="17"/>
              </w:rPr>
              <w:t>WH018</w:t>
            </w:r>
            <w:r>
              <w:rPr>
                <w:sz w:val="17"/>
              </w:rPr>
              <w:t xml:space="preserve">, </w:t>
            </w:r>
            <w:r>
              <w:rPr>
                <w:b/>
                <w:sz w:val="17"/>
              </w:rPr>
              <w:t>MD018</w:t>
            </w:r>
          </w:p>
        </w:tc>
      </w:tr>
    </w:tbl>
    <w:p>
      <w:pPr>
        <w:pStyle w:val="BeschriftungSSI"/>
      </w:pPr>
      <w:r>
        <w:t>Tab. 3: Begriffsabgrenzung</w:t>
      </w:r>
    </w:p>
    <w:p>
      <w:r>
        <w:t>Die Handbücher verwenden „Partner“ und „Wareneigentümer“ teilweise fast gleichbedeutend („Partner. Dies sind Wareneigentümer wie Kunden, Lieferanten …“). Technisch ist der Wareneigentümer ein Partner, der beim Klienten als Eigentümer hinterlegt ist und im Bestand bzw. in der Bedarfszeile mitgeführt wird.</w:t>
      </w:r>
    </w:p>
    <w:p>
      <w:pPr>
        <w:pStyle w:val="Quelle"/>
      </w:pPr>
      <w:r>
        <w:rPr>
          <w:b/>
        </w:rPr>
        <w:t xml:space="preserve">Quelle: </w:t>
      </w:r>
      <w:r>
        <w:rPr>
          <w:sz w:val="17"/>
        </w:rPr>
        <w:t>AH 2.7, Kap. 3.4.1, 3.5.1, 3.6.1, 3.6.1.2, 3.6.2; IF 2.7, Kap. 6.1.2.2, 11.1</w:t>
      </w:r>
    </w:p>
    <w:p>
      <w:pPr>
        <w:pStyle w:val="Heading2"/>
      </w:pPr>
      <w:r>
        <w:t>3.3 Was pro Klient getrennt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05"/>
        <w:gridCol w:w="7520"/>
      </w:tblGrid>
      <w:tr>
        <w:trPr>
          <w:tblHeader w:val="true"/>
        </w:trPr>
        <w:tc>
          <w:tcPr>
            <w:tcW w:type="dxa" w:w="2005"/>
            <w:shd w:val="clear" w:color="auto" w:fill="FEEE19"/>
          </w:tcPr>
          <w:p>
            <w:pPr>
              <w:spacing w:after="0"/>
            </w:pPr>
            <w:r>
              <w:rPr>
                <w:b/>
                <w:sz w:val="17"/>
              </w:rPr>
              <w:t>Bereich</w:t>
            </w:r>
          </w:p>
        </w:tc>
        <w:tc>
          <w:tcPr>
            <w:tcW w:type="dxa" w:w="7519"/>
            <w:shd w:val="clear" w:color="auto" w:fill="FEEE19"/>
          </w:tcPr>
          <w:p>
            <w:pPr>
              <w:spacing w:after="0"/>
            </w:pPr>
            <w:r>
              <w:rPr>
                <w:b/>
                <w:sz w:val="17"/>
              </w:rPr>
              <w:t>Klientenbezug laut Quelle</w:t>
            </w:r>
          </w:p>
        </w:tc>
      </w:tr>
      <w:tr>
        <w:tc>
          <w:tcPr>
            <w:tcW w:type="dxa" w:w="2005"/>
          </w:tcPr>
          <w:p>
            <w:pPr>
              <w:spacing w:after="0" w:line="252" w:lineRule="auto"/>
            </w:pPr>
            <w:r>
              <w:rPr>
                <w:sz w:val="17"/>
              </w:rPr>
              <w:t>Stammdaten</w:t>
            </w:r>
          </w:p>
        </w:tc>
        <w:tc>
          <w:tcPr>
            <w:tcW w:type="dxa" w:w="7519"/>
          </w:tcPr>
          <w:p>
            <w:pPr>
              <w:spacing w:after="0" w:line="252" w:lineRule="auto"/>
            </w:pPr>
            <w:r>
              <w:rPr>
                <w:sz w:val="17"/>
              </w:rPr>
              <w:t xml:space="preserve">Artikeltyp, Sortiment, Warengruppe, Mengeneinheit, ABIA, Buchungsschlüssel, Bestandsklassifizierung und Bedarfstypen sind Registerkarten in </w:t>
            </w:r>
            <w:r>
              <w:rPr>
                <w:b/>
                <w:sz w:val="17"/>
              </w:rPr>
              <w:t>MD017</w:t>
            </w:r>
            <w:r>
              <w:rPr>
                <w:sz w:val="17"/>
              </w:rPr>
              <w:t>. Partner werden unter einem Klienten angelegt.</w:t>
            </w:r>
          </w:p>
        </w:tc>
      </w:tr>
      <w:tr>
        <w:tc>
          <w:tcPr>
            <w:tcW w:type="dxa" w:w="2005"/>
          </w:tcPr>
          <w:p>
            <w:pPr>
              <w:spacing w:after="0" w:line="252" w:lineRule="auto"/>
            </w:pPr>
            <w:r>
              <w:rPr>
                <w:sz w:val="17"/>
              </w:rPr>
              <w:t>Artikel</w:t>
            </w:r>
          </w:p>
        </w:tc>
        <w:tc>
          <w:tcPr>
            <w:tcW w:type="dxa" w:w="7519"/>
          </w:tcPr>
          <w:p>
            <w:pPr>
              <w:spacing w:after="0" w:line="252" w:lineRule="auto"/>
            </w:pPr>
            <w:r>
              <w:rPr>
                <w:sz w:val="17"/>
              </w:rPr>
              <w:t xml:space="preserve">eindeutig über </w:t>
            </w:r>
            <w:r>
              <w:rPr>
                <w:b/>
                <w:sz w:val="17"/>
              </w:rPr>
              <w:t>Klient + Artikelnummer + Variante</w:t>
            </w:r>
            <w:r>
              <w:rPr>
                <w:sz w:val="17"/>
              </w:rPr>
              <w:t xml:space="preserve"> (</w:t>
            </w:r>
            <w:r>
              <w:rPr>
                <w:b/>
                <w:sz w:val="17"/>
              </w:rPr>
              <w:t>MD002</w:t>
            </w:r>
            <w:r>
              <w:rPr>
                <w:sz w:val="17"/>
              </w:rPr>
              <w:t>)</w:t>
            </w:r>
          </w:p>
        </w:tc>
      </w:tr>
      <w:tr>
        <w:tc>
          <w:tcPr>
            <w:tcW w:type="dxa" w:w="2005"/>
          </w:tcPr>
          <w:p>
            <w:pPr>
              <w:spacing w:after="0" w:line="252" w:lineRule="auto"/>
            </w:pPr>
            <w:r>
              <w:rPr>
                <w:sz w:val="17"/>
              </w:rPr>
              <w:t>Bestand</w:t>
            </w:r>
          </w:p>
        </w:tc>
        <w:tc>
          <w:tcPr>
            <w:tcW w:type="dxa" w:w="7519"/>
          </w:tcPr>
          <w:p>
            <w:pPr>
              <w:spacing w:after="0" w:line="252" w:lineRule="auto"/>
            </w:pPr>
            <w:r>
              <w:rPr>
                <w:sz w:val="17"/>
              </w:rPr>
              <w:t>Der Artikelschlüssel des Bestandsobjekts enthält den Klienten (</w:t>
            </w:r>
            <w:r>
              <w:rPr>
                <w:rFonts w:ascii="Consolas" w:hAnsi="Consolas" w:cs="Consolas" w:eastAsia="Consolas"/>
                <w:sz w:val="15"/>
              </w:rPr>
              <w:t>sia.pkv.Item.Client.clientId</w:t>
            </w:r>
            <w:r>
              <w:rPr>
                <w:sz w:val="17"/>
              </w:rPr>
              <w:t>), dazu der Wareneigentümer (</w:t>
            </w:r>
            <w:r>
              <w:rPr>
                <w:rFonts w:ascii="Consolas" w:hAnsi="Consolas" w:cs="Consolas" w:eastAsia="Consolas"/>
                <w:sz w:val="15"/>
              </w:rPr>
              <w:t>gow</w:t>
            </w:r>
            <w:r>
              <w:rPr>
                <w:sz w:val="17"/>
              </w:rPr>
              <w:t>). Differenznachweise werden je Klient, Artikel, Variante, Verpackungsversion, Wareneigentümer und Bestandsklassifizierung konsolidiert.</w:t>
            </w:r>
          </w:p>
        </w:tc>
      </w:tr>
      <w:tr>
        <w:tc>
          <w:tcPr>
            <w:tcW w:type="dxa" w:w="2005"/>
          </w:tcPr>
          <w:p>
            <w:pPr>
              <w:spacing w:after="0" w:line="252" w:lineRule="auto"/>
            </w:pPr>
            <w:r>
              <w:rPr>
                <w:sz w:val="17"/>
              </w:rPr>
              <w:t>Lagerhomogenität</w:t>
            </w:r>
          </w:p>
        </w:tc>
        <w:tc>
          <w:tcPr>
            <w:tcW w:type="dxa" w:w="7519"/>
          </w:tcPr>
          <w:p>
            <w:pPr>
              <w:spacing w:after="0" w:line="252" w:lineRule="auto"/>
            </w:pPr>
            <w:r>
              <w:rPr>
                <w:sz w:val="17"/>
              </w:rPr>
              <w:t xml:space="preserve">Über </w:t>
            </w:r>
            <w:r>
              <w:rPr>
                <w:b/>
                <w:sz w:val="17"/>
              </w:rPr>
              <w:t>SM041</w:t>
            </w:r>
            <w:r>
              <w:rPr>
                <w:sz w:val="17"/>
              </w:rPr>
              <w:t xml:space="preserve"> kann festgelegt werden, dass nur Bestand desselben Klienten als homogen gilt. </w:t>
            </w:r>
            <w:r>
              <w:rPr>
                <w:b/>
                <w:sz w:val="17"/>
              </w:rPr>
              <w:t>SM042</w:t>
            </w:r>
            <w:r>
              <w:rPr>
                <w:sz w:val="17"/>
              </w:rPr>
              <w:t xml:space="preserve"> kann die Zuordnung zusätzlich auf einen Klienten einschränken.</w:t>
            </w:r>
          </w:p>
        </w:tc>
      </w:tr>
      <w:tr>
        <w:tc>
          <w:tcPr>
            <w:tcW w:type="dxa" w:w="2005"/>
          </w:tcPr>
          <w:p>
            <w:pPr>
              <w:spacing w:after="0" w:line="252" w:lineRule="auto"/>
            </w:pPr>
            <w:r>
              <w:rPr>
                <w:sz w:val="17"/>
              </w:rPr>
              <w:t>Bedarfe</w:t>
            </w:r>
          </w:p>
        </w:tc>
        <w:tc>
          <w:tcPr>
            <w:tcW w:type="dxa" w:w="7519"/>
          </w:tcPr>
          <w:p>
            <w:pPr>
              <w:spacing w:after="0" w:line="252" w:lineRule="auto"/>
            </w:pPr>
            <w:r>
              <w:rPr>
                <w:sz w:val="17"/>
              </w:rPr>
              <w:t>Jeder Einlager-, Kommissionier- und Inventurbedarf gehört zu einem Klienten, einem Lagerstandort und einem Systempartner. Auch Bedarfsvorlagen (</w:t>
            </w:r>
            <w:r>
              <w:rPr>
                <w:b/>
                <w:sz w:val="17"/>
              </w:rPr>
              <w:t>LM116</w:t>
            </w:r>
            <w:r>
              <w:rPr>
                <w:sz w:val="17"/>
              </w:rPr>
              <w:t>) haben einen Klienten.</w:t>
            </w:r>
          </w:p>
        </w:tc>
      </w:tr>
      <w:tr>
        <w:tc>
          <w:tcPr>
            <w:tcW w:type="dxa" w:w="2005"/>
          </w:tcPr>
          <w:p>
            <w:pPr>
              <w:spacing w:after="0" w:line="252" w:lineRule="auto"/>
            </w:pPr>
            <w:r>
              <w:rPr>
                <w:sz w:val="17"/>
              </w:rPr>
              <w:t>Schnittstelle</w:t>
            </w:r>
          </w:p>
        </w:tc>
        <w:tc>
          <w:tcPr>
            <w:tcW w:type="dxa" w:w="7519"/>
          </w:tcPr>
          <w:p>
            <w:pPr>
              <w:spacing w:after="0" w:line="252" w:lineRule="auto"/>
            </w:pPr>
            <w:r>
              <w:rPr>
                <w:rFonts w:ascii="Consolas" w:hAnsi="Consolas" w:cs="Consolas" w:eastAsia="Consolas"/>
                <w:sz w:val="15"/>
              </w:rPr>
              <w:t>clientId</w:t>
            </w:r>
            <w:r>
              <w:rPr>
                <w:sz w:val="17"/>
              </w:rPr>
              <w:t xml:space="preserve"> in Bedarfen, Bestandsanforderung (</w:t>
            </w:r>
            <w:r>
              <w:rPr>
                <w:rFonts w:ascii="Consolas" w:hAnsi="Consolas" w:cs="Consolas" w:eastAsia="Consolas"/>
                <w:sz w:val="15"/>
              </w:rPr>
              <w:t>WLSSTOCKREQ001</w:t>
            </w:r>
            <w:r>
              <w:rPr>
                <w:sz w:val="17"/>
              </w:rPr>
              <w:t>), Bestandsimport (</w:t>
            </w:r>
            <w:r>
              <w:rPr>
                <w:rFonts w:ascii="Consolas" w:hAnsi="Consolas" w:cs="Consolas" w:eastAsia="Consolas"/>
                <w:sz w:val="15"/>
              </w:rPr>
              <w:t>WLSSTOCKIMPORT001</w:t>
            </w:r>
            <w:r>
              <w:rPr>
                <w:sz w:val="17"/>
              </w:rPr>
              <w:t xml:space="preserve">) und Bestandskorrektur. Initialwert ist </w:t>
            </w:r>
            <w:r>
              <w:rPr>
                <w:rFonts w:ascii="Consolas" w:hAnsi="Consolas" w:cs="Consolas" w:eastAsia="Consolas"/>
                <w:sz w:val="15"/>
              </w:rPr>
              <w:t>DEFAULT</w:t>
            </w:r>
            <w:r>
              <w:rPr>
                <w:sz w:val="17"/>
              </w:rPr>
              <w:t>.</w:t>
            </w:r>
          </w:p>
        </w:tc>
      </w:tr>
      <w:tr>
        <w:tc>
          <w:tcPr>
            <w:tcW w:type="dxa" w:w="2005"/>
          </w:tcPr>
          <w:p>
            <w:pPr>
              <w:spacing w:after="0" w:line="252" w:lineRule="auto"/>
            </w:pPr>
            <w:r>
              <w:rPr>
                <w:sz w:val="17"/>
              </w:rPr>
              <w:t>Nummernkreise</w:t>
            </w:r>
          </w:p>
        </w:tc>
        <w:tc>
          <w:tcPr>
            <w:tcW w:type="dxa" w:w="7519"/>
          </w:tcPr>
          <w:p>
            <w:pPr>
              <w:spacing w:after="0" w:line="252" w:lineRule="auto"/>
            </w:pPr>
            <w:r>
              <w:rPr>
                <w:sz w:val="17"/>
              </w:rPr>
              <w:t>Zuordnung für Auftragsnummern und LE-IDs optional auf einen Lagerstandort und/oder Klienten einschränkbar</w:t>
            </w:r>
          </w:p>
        </w:tc>
      </w:tr>
      <w:tr>
        <w:tc>
          <w:tcPr>
            <w:tcW w:type="dxa" w:w="2005"/>
          </w:tcPr>
          <w:p>
            <w:pPr>
              <w:spacing w:after="0" w:line="252" w:lineRule="auto"/>
            </w:pPr>
            <w:r>
              <w:rPr>
                <w:sz w:val="17"/>
              </w:rPr>
              <w:t>Dokumente</w:t>
            </w:r>
          </w:p>
        </w:tc>
        <w:tc>
          <w:tcPr>
            <w:tcW w:type="dxa" w:w="7519"/>
          </w:tcPr>
          <w:p>
            <w:pPr>
              <w:spacing w:after="0" w:line="252" w:lineRule="auto"/>
            </w:pPr>
            <w:r>
              <w:rPr>
                <w:sz w:val="17"/>
              </w:rPr>
              <w:t>Dokumentkonfiguration pro Klient oder Partner (</w:t>
            </w:r>
            <w:r>
              <w:rPr>
                <w:b/>
                <w:sz w:val="17"/>
              </w:rPr>
              <w:t>RM010</w:t>
            </w:r>
            <w:r>
              <w:rPr>
                <w:sz w:val="17"/>
              </w:rPr>
              <w:t>); Aufbewahrungsdauern pro Klient (</w:t>
            </w:r>
            <w:r>
              <w:rPr>
                <w:b/>
                <w:sz w:val="17"/>
              </w:rPr>
              <w:t>MD017</w:t>
            </w:r>
            <w:r>
              <w:rPr>
                <w:sz w:val="17"/>
              </w:rPr>
              <w:t>)</w:t>
            </w:r>
          </w:p>
        </w:tc>
      </w:tr>
      <w:tr>
        <w:tc>
          <w:tcPr>
            <w:tcW w:type="dxa" w:w="2005"/>
          </w:tcPr>
          <w:p>
            <w:pPr>
              <w:spacing w:after="0" w:line="252" w:lineRule="auto"/>
            </w:pPr>
            <w:r>
              <w:rPr>
                <w:sz w:val="17"/>
              </w:rPr>
              <w:t>Benutzer</w:t>
            </w:r>
          </w:p>
        </w:tc>
        <w:tc>
          <w:tcPr>
            <w:tcW w:type="dxa" w:w="7519"/>
          </w:tcPr>
          <w:p>
            <w:pPr>
              <w:spacing w:after="0" w:line="252" w:lineRule="auto"/>
            </w:pPr>
            <w:r>
              <w:rPr>
                <w:sz w:val="17"/>
              </w:rPr>
              <w:t xml:space="preserve">Standard-Klient in den </w:t>
            </w:r>
            <w:r>
              <w:rPr>
                <w:b/>
                <w:sz w:val="17"/>
              </w:rPr>
              <w:t>Benutzereinstellungen</w:t>
            </w:r>
            <w:r>
              <w:rPr>
                <w:sz w:val="17"/>
              </w:rPr>
              <w:t>. Datenzugriffsprofil am Login (siehe Lücke).</w:t>
            </w:r>
          </w:p>
        </w:tc>
      </w:tr>
    </w:tbl>
    <w:p>
      <w:pPr>
        <w:pStyle w:val="BeschriftungSSI"/>
      </w:pPr>
      <w:r>
        <w:t>Tab. 4: Klientenbezogene Trennung</w:t>
      </w:r>
    </w:p>
    <w:p>
      <w:pPr>
        <w:pStyle w:val="Quelle"/>
      </w:pPr>
      <w:r>
        <w:rPr>
          <w:b/>
        </w:rPr>
        <w:t xml:space="preserve">Quelle: </w:t>
      </w:r>
      <w:r>
        <w:rPr>
          <w:sz w:val="17"/>
        </w:rPr>
        <w:t>AH 2.7, Kap. 3.1.9.2.1, 3.3.2.2, 3.6.1, 3.6.6, 3.6.7, 3.6.9, 3.7.2.5; BH 2.7, Kap. 3.2.3, 5.3.1, 6.2; IF 2.7, Kap. 9.1, 10.1, 11.1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Datenzugriff pro Klient</w:t>
            </w:r>
          </w:p>
          <w:p>
            <w:pPr>
              <w:spacing w:after="40"/>
            </w:pPr>
            <w:r>
              <w:rPr>
                <w:sz w:val="19"/>
              </w:rPr>
              <w:t>Laut Handbuch legt ein Datenzugriffsprofil fest, „auf welche Datensätze ein Benutzer zugreifen kann“. Wie ein Profil auf einen Klienten eingeschränkt wird und welcher Dialog dafür zuständig ist, ist weder in 2.7 noch in 2.8 beschrieben. Damit ist auch nicht belegt, dass ein Benutzer von Klient A den Bestand von Klient B nicht sieht.</w:t>
            </w:r>
          </w:p>
        </w:tc>
      </w:tr>
    </w:tbl>
    <w:p>
      <w:pPr>
        <w:spacing w:after="40"/>
      </w:pPr>
    </w:p>
    <w:p>
      <w:pPr>
        <w:pStyle w:val="Heading2"/>
      </w:pPr>
      <w:r>
        <w:t>3.4 Was gemeinsam genutzt wird</w:t>
      </w:r>
    </w:p>
    <w:p>
      <w:pPr>
        <w:pStyle w:val="ListBullet"/>
      </w:pPr>
      <w:r>
        <w:rPr>
          <w:b/>
        </w:rPr>
        <w:t>Lagerstandort, SSI LOGIMAT, Zonen, Tablare und Lagerplätze:</w:t>
      </w:r>
      <w:r>
        <w:t xml:space="preserve"> Für den Lagerstandort (</w:t>
      </w:r>
      <w:r>
        <w:rPr>
          <w:b/>
        </w:rPr>
        <w:t>WH018</w:t>
      </w:r>
      <w:r>
        <w:t>) ist kein Klientenfeld beschrieben. Systemparameter (</w:t>
      </w:r>
      <w:r>
        <w:rPr>
          <w:b/>
        </w:rPr>
        <w:t>LM053</w:t>
      </w:r>
      <w:r>
        <w:t xml:space="preserve">) werden je </w:t>
      </w:r>
      <w:r>
        <w:rPr>
          <w:b/>
        </w:rPr>
        <w:t>Lagerstandort</w:t>
      </w:r>
      <w:r>
        <w:t xml:space="preserve"> gepflegt, nicht je Klient. Dort wird auch ein Standard-Klient für neue Artikel gesetzt.</w:t>
      </w:r>
    </w:p>
    <w:p>
      <w:pPr>
        <w:pStyle w:val="ListBullet"/>
      </w:pPr>
      <w:r>
        <w:rPr>
          <w:b/>
        </w:rPr>
        <w:t>Tablare:</w:t>
      </w:r>
      <w:r>
        <w:t xml:space="preserve"> Über die </w:t>
      </w:r>
      <w:r>
        <w:rPr>
          <w:b/>
        </w:rPr>
        <w:t>Tablar-zu-Klient-Einschränkung</w:t>
      </w:r>
      <w:r>
        <w:t xml:space="preserve"> (</w:t>
      </w:r>
      <w:r>
        <w:rPr>
          <w:b/>
        </w:rPr>
        <w:t>MD017</w:t>
      </w:r>
      <w:r>
        <w:t>) lassen sich Einlagerbedarfsreservierungen auf bestimmte Tablare beschränken. Ohne Eintrag werden für einen Klienten nur Tablare berücksichtigt, die nicht für andere Klienten gepflegt sind. Daraus folgt: Tablare sind standardmäßig gemeinsam und werden nur per Einschränkung exklusiv.</w:t>
      </w:r>
    </w:p>
    <w:p>
      <w:pPr>
        <w:pStyle w:val="ListBullet"/>
      </w:pPr>
      <w:r>
        <w:rPr>
          <w:b/>
        </w:rPr>
        <w:t>Systempartner:</w:t>
      </w:r>
      <w:r>
        <w:t xml:space="preserve"> Ein Systempartner wie HOST kann Daten für mehrere Klienten übertragen, denn der Klient steht in jeder Satzart. Die Lift-&amp;-Store-Quittierungen in </w:t>
      </w:r>
      <w:r>
        <w:rPr>
          <w:b/>
        </w:rPr>
        <w:t>MD021</w:t>
      </w:r>
      <w:r>
        <w:t xml:space="preserve"> (Kommissionier-, Einlager-, Inventurbedarfsquittierung) sind laut Handbuch nur auf einen </w:t>
      </w:r>
      <w:r>
        <w:rPr>
          <w:b/>
        </w:rPr>
        <w:t>Lagerstandort</w:t>
      </w:r>
      <w:r>
        <w:t xml:space="preserve"> einschränkbar. Die Filter auf Klient und Wareneigentümer sind nur für </w:t>
      </w:r>
      <w:r>
        <w:rPr>
          <w:b/>
        </w:rPr>
        <w:t>MD096</w:t>
      </w:r>
      <w:r>
        <w:t xml:space="preserve"> (WAMAS als WMS zum ERP) beschrieben.</w:t>
      </w:r>
    </w:p>
    <w:p>
      <w:pPr>
        <w:pStyle w:val="ListBullet"/>
      </w:pPr>
      <w:r>
        <w:rPr>
          <w:b/>
        </w:rPr>
        <w:t>Benutzer, Rollen, Zugriffsprofile:</w:t>
      </w:r>
      <w:r>
        <w:t xml:space="preserve"> Sie werden zentral gepflegt (</w:t>
      </w:r>
      <w:r>
        <w:rPr>
          <w:b/>
        </w:rPr>
        <w:t>UM002</w:t>
      </w:r>
      <w:r>
        <w:t>–</w:t>
      </w:r>
      <w:r>
        <w:rPr>
          <w:b/>
        </w:rPr>
        <w:t>UM004</w:t>
      </w:r>
      <w:r>
        <w:t>). Ein Klientenbezug ist nur über Datenzugriffsprofil und Benutzereinstellungen erwähnt.</w:t>
      </w:r>
    </w:p>
    <w:p>
      <w:pPr>
        <w:pStyle w:val="Quelle"/>
      </w:pPr>
      <w:r>
        <w:rPr>
          <w:b/>
        </w:rPr>
        <w:t xml:space="preserve">Quelle: </w:t>
      </w:r>
      <w:r>
        <w:rPr>
          <w:sz w:val="17"/>
        </w:rPr>
        <w:t>AH 2.7, Kap. 3.1.3, 3.1.3.1, 3.3, 3.4.1, 3.5.1.6, 3.5.2.9, 3.6.1.13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Gemeinsame Nutzung</w:t>
            </w:r>
          </w:p>
          <w:p>
            <w:pPr>
              <w:spacing w:after="40"/>
            </w:pPr>
            <w:r>
              <w:rPr>
                <w:sz w:val="19"/>
              </w:rPr>
              <w:t>Die Handbücher sagen nicht ausdrücklich, dass Lagerplätze und Tablare von allen Klienten gemeinsam genutzt werden. Das ist aus der Logik der Tablar-zu-Klient-Einschränkung abgeleitet. Ob Lift-&amp;-Store-Quittierungen pro Klient an verschiedene Systempartner gehen können, ist ebenfalls nicht beschrieben.</w:t>
            </w:r>
          </w:p>
        </w:tc>
      </w:tr>
    </w:tbl>
    <w:p>
      <w:pPr>
        <w:spacing w:after="40"/>
      </w:pPr>
    </w:p>
    <w:p>
      <w:pPr>
        <w:pStyle w:val="Heading2"/>
      </w:pPr>
      <w:r>
        <w:t>3.5 Der Klient DEFAULT</w:t>
      </w:r>
    </w:p>
    <w:p>
      <w:r>
        <w:t xml:space="preserve">Im Interface Manual steht beim Feld </w:t>
      </w:r>
      <w:r>
        <w:rPr>
          <w:rFonts w:ascii="Consolas" w:hAnsi="Consolas" w:cs="Consolas" w:eastAsia="Consolas"/>
          <w:sz w:val="18"/>
        </w:rPr>
        <w:t>clientId</w:t>
      </w:r>
      <w:r>
        <w:t xml:space="preserve"> mehrfach: „The initial value of this field is DEFAULT.“ Die offiziellen Telegrammbeispiele 2.7 und die Kurzanleitung Inventur verwenden den Klienten </w:t>
      </w:r>
      <w:r>
        <w:rPr>
          <w:rFonts w:ascii="Consolas" w:hAnsi="Consolas" w:cs="Consolas" w:eastAsia="Consolas"/>
          <w:sz w:val="18"/>
        </w:rPr>
        <w:t>DEFAULT</w:t>
      </w:r>
      <w:r>
        <w:t xml:space="preserve"> mit dem Wareneigentümer </w:t>
      </w:r>
      <w:r>
        <w:rPr>
          <w:rFonts w:ascii="Consolas" w:hAnsi="Consolas" w:cs="Consolas" w:eastAsia="Consolas"/>
          <w:sz w:val="18"/>
        </w:rPr>
        <w:t>pDEFAULT</w:t>
      </w:r>
      <w:r>
        <w:t>.</w:t>
      </w:r>
    </w:p>
    <w:p>
      <w:pPr>
        <w:pStyle w:val="Quelle"/>
      </w:pPr>
      <w:r>
        <w:rPr>
          <w:b/>
        </w:rPr>
        <w:t xml:space="preserve">Quelle: </w:t>
      </w:r>
      <w:r>
        <w:rPr>
          <w:sz w:val="17"/>
        </w:rPr>
        <w:t>IF 2.7, Kap. 5.1.2, 6.1.2, 7.1.2, 8.2.2, 9.1.2; Telegrammbeispiele 2.7 (SD, PD, STOCK_IMPORT); QG_INVENTUR_20231220.pdf</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DEFAULT-Klient</w:t>
            </w:r>
          </w:p>
          <w:p>
            <w:pPr>
              <w:spacing w:after="40"/>
            </w:pPr>
            <w:r>
              <w:rPr>
                <w:sz w:val="19"/>
              </w:rPr>
              <w:t xml:space="preserve">Ob ein Klient </w:t>
            </w:r>
            <w:r>
              <w:rPr>
                <w:rFonts w:ascii="Consolas" w:hAnsi="Consolas" w:cs="Consolas" w:eastAsia="Consolas"/>
                <w:sz w:val="17"/>
              </w:rPr>
              <w:t>DEFAULT</w:t>
            </w:r>
            <w:r>
              <w:rPr>
                <w:sz w:val="19"/>
              </w:rPr>
              <w:t xml:space="preserve"> bzw. ein Partner </w:t>
            </w:r>
            <w:r>
              <w:rPr>
                <w:rFonts w:ascii="Consolas" w:hAnsi="Consolas" w:cs="Consolas" w:eastAsia="Consolas"/>
                <w:sz w:val="17"/>
              </w:rPr>
              <w:t>pDEFAULT</w:t>
            </w:r>
            <w:r>
              <w:rPr>
                <w:sz w:val="19"/>
              </w:rPr>
              <w:t xml:space="preserve"> nach der Installation vorhanden ist, was er enthält und ob ein Projekt ihn umbenennen oder weiterverwenden soll, ist nicht dokumentiert.</w:t>
            </w:r>
          </w:p>
        </w:tc>
      </w:tr>
    </w:tbl>
    <w:p>
      <w:pPr>
        <w:spacing w:after="40"/>
      </w:pPr>
    </w:p>
    <w:p>
      <w:pPr>
        <w:pStyle w:val="Heading2"/>
      </w:pPr>
      <w:r>
        <w:t>3.6 Ein Klient oder mehrere? Entscheidungshilfe</w:t>
      </w:r>
    </w:p>
    <w:p>
      <w:r>
        <w:t>Die Handbücher geben keine Empfehlung. Die Tabelle stellt nur gegenüber, welche dokumentierten Funktionen auf Ebene Klient und welche auf Ebene Wareneigentümer wirken.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96"/>
        <w:gridCol w:w="3663"/>
        <w:gridCol w:w="1865"/>
      </w:tblGrid>
      <w:tr>
        <w:trPr>
          <w:tblHeader w:val="true"/>
        </w:trPr>
        <w:tc>
          <w:tcPr>
            <w:tcW w:type="dxa" w:w="3996"/>
            <w:shd w:val="clear" w:color="auto" w:fill="FEEE19"/>
          </w:tcPr>
          <w:p>
            <w:pPr>
              <w:spacing w:after="0"/>
            </w:pPr>
            <w:r>
              <w:rPr>
                <w:b/>
                <w:sz w:val="17"/>
              </w:rPr>
              <w:t>Anforderung</w:t>
            </w:r>
          </w:p>
        </w:tc>
        <w:tc>
          <w:tcPr>
            <w:tcW w:type="dxa" w:w="3663"/>
            <w:shd w:val="clear" w:color="auto" w:fill="FEEE19"/>
          </w:tcPr>
          <w:p>
            <w:pPr>
              <w:spacing w:after="0"/>
            </w:pPr>
            <w:r>
              <w:rPr>
                <w:b/>
                <w:sz w:val="17"/>
              </w:rPr>
              <w:t>Ein Klient, mehrere Wareneigentümer</w:t>
            </w:r>
          </w:p>
        </w:tc>
        <w:tc>
          <w:tcPr>
            <w:tcW w:type="dxa" w:w="1865"/>
            <w:shd w:val="clear" w:color="auto" w:fill="FEEE19"/>
          </w:tcPr>
          <w:p>
            <w:pPr>
              <w:spacing w:after="0"/>
            </w:pPr>
            <w:r>
              <w:rPr>
                <w:b/>
                <w:sz w:val="17"/>
              </w:rPr>
              <w:t>Mehrere Klienten</w:t>
            </w:r>
          </w:p>
        </w:tc>
      </w:tr>
      <w:tr>
        <w:tc>
          <w:tcPr>
            <w:tcW w:type="dxa" w:w="3996"/>
          </w:tcPr>
          <w:p>
            <w:pPr>
              <w:spacing w:after="0" w:line="252" w:lineRule="auto"/>
            </w:pPr>
            <w:r>
              <w:rPr>
                <w:sz w:val="17"/>
              </w:rPr>
              <w:t>Gleiche Artikelnummer mit unterschiedlichen Stammdaten</w:t>
            </w:r>
          </w:p>
        </w:tc>
        <w:tc>
          <w:tcPr>
            <w:tcW w:type="dxa" w:w="3663"/>
          </w:tcPr>
          <w:p>
            <w:pPr>
              <w:spacing w:after="0" w:line="252" w:lineRule="auto"/>
            </w:pPr>
            <w:r>
              <w:rPr>
                <w:sz w:val="17"/>
              </w:rPr>
              <w:t>nicht möglich (Artikel je Klient eindeutig)</w:t>
            </w:r>
          </w:p>
        </w:tc>
        <w:tc>
          <w:tcPr>
            <w:tcW w:type="dxa" w:w="1865"/>
          </w:tcPr>
          <w:p>
            <w:pPr>
              <w:spacing w:after="0" w:line="252" w:lineRule="auto"/>
            </w:pPr>
            <w:r>
              <w:rPr>
                <w:sz w:val="17"/>
              </w:rPr>
              <w:t>möglich</w:t>
            </w:r>
          </w:p>
        </w:tc>
      </w:tr>
      <w:tr>
        <w:tc>
          <w:tcPr>
            <w:tcW w:type="dxa" w:w="3996"/>
          </w:tcPr>
          <w:p>
            <w:pPr>
              <w:spacing w:after="0" w:line="252" w:lineRule="auto"/>
            </w:pPr>
            <w:r>
              <w:rPr>
                <w:sz w:val="17"/>
              </w:rPr>
              <w:t>Bestand je Besitzer ausweisen</w:t>
            </w:r>
          </w:p>
        </w:tc>
        <w:tc>
          <w:tcPr>
            <w:tcW w:type="dxa" w:w="3663"/>
          </w:tcPr>
          <w:p>
            <w:pPr>
              <w:spacing w:after="0" w:line="252" w:lineRule="auto"/>
            </w:pPr>
            <w:r>
              <w:rPr>
                <w:sz w:val="17"/>
              </w:rPr>
              <w:t xml:space="preserve">ja: Wareneigentümer in Bedarfszeile, </w:t>
            </w:r>
            <w:r>
              <w:rPr>
                <w:rFonts w:ascii="Consolas" w:hAnsi="Consolas" w:cs="Consolas" w:eastAsia="Consolas"/>
                <w:sz w:val="15"/>
              </w:rPr>
              <w:t>gow</w:t>
            </w:r>
            <w:r>
              <w:rPr>
                <w:sz w:val="17"/>
              </w:rPr>
              <w:t>, Homogenität</w:t>
            </w:r>
          </w:p>
        </w:tc>
        <w:tc>
          <w:tcPr>
            <w:tcW w:type="dxa" w:w="1865"/>
          </w:tcPr>
          <w:p>
            <w:pPr>
              <w:spacing w:after="0" w:line="252" w:lineRule="auto"/>
            </w:pPr>
            <w:r>
              <w:rPr>
                <w:sz w:val="17"/>
              </w:rPr>
              <w:t>ja: Klient</w:t>
            </w:r>
          </w:p>
        </w:tc>
      </w:tr>
      <w:tr>
        <w:tc>
          <w:tcPr>
            <w:tcW w:type="dxa" w:w="3996"/>
          </w:tcPr>
          <w:p>
            <w:pPr>
              <w:spacing w:after="0" w:line="252" w:lineRule="auto"/>
            </w:pPr>
            <w:r>
              <w:rPr>
                <w:sz w:val="17"/>
              </w:rPr>
              <w:t>Eigene Bedarfstypen, Strategien, Buchungsschlüssel, Mengeneinheiten</w:t>
            </w:r>
          </w:p>
        </w:tc>
        <w:tc>
          <w:tcPr>
            <w:tcW w:type="dxa" w:w="3663"/>
          </w:tcPr>
          <w:p>
            <w:pPr>
              <w:spacing w:after="0" w:line="252" w:lineRule="auto"/>
            </w:pPr>
            <w:r>
              <w:rPr>
                <w:sz w:val="17"/>
              </w:rPr>
              <w:t>nein (pro Klient)</w:t>
            </w:r>
          </w:p>
        </w:tc>
        <w:tc>
          <w:tcPr>
            <w:tcW w:type="dxa" w:w="1865"/>
          </w:tcPr>
          <w:p>
            <w:pPr>
              <w:spacing w:after="0" w:line="252" w:lineRule="auto"/>
            </w:pPr>
            <w:r>
              <w:rPr>
                <w:sz w:val="17"/>
              </w:rPr>
              <w:t>ja</w:t>
            </w:r>
          </w:p>
        </w:tc>
      </w:tr>
      <w:tr>
        <w:tc>
          <w:tcPr>
            <w:tcW w:type="dxa" w:w="3996"/>
          </w:tcPr>
          <w:p>
            <w:pPr>
              <w:spacing w:after="0" w:line="252" w:lineRule="auto"/>
            </w:pPr>
            <w:r>
              <w:rPr>
                <w:sz w:val="17"/>
              </w:rPr>
              <w:t>Eigene Tablare reservieren</w:t>
            </w:r>
          </w:p>
        </w:tc>
        <w:tc>
          <w:tcPr>
            <w:tcW w:type="dxa" w:w="3663"/>
          </w:tcPr>
          <w:p>
            <w:pPr>
              <w:spacing w:after="0" w:line="252" w:lineRule="auto"/>
            </w:pPr>
            <w:r>
              <w:rPr>
                <w:sz w:val="17"/>
              </w:rPr>
              <w:t>nein (Tablar-zu-</w:t>
            </w:r>
            <w:r>
              <w:rPr>
                <w:b/>
                <w:sz w:val="17"/>
              </w:rPr>
              <w:t>Klient</w:t>
            </w:r>
            <w:r>
              <w:rPr>
                <w:sz w:val="17"/>
              </w:rPr>
              <w:t>)</w:t>
            </w:r>
          </w:p>
        </w:tc>
        <w:tc>
          <w:tcPr>
            <w:tcW w:type="dxa" w:w="1865"/>
          </w:tcPr>
          <w:p>
            <w:pPr>
              <w:spacing w:after="0" w:line="252" w:lineRule="auto"/>
            </w:pPr>
            <w:r>
              <w:rPr>
                <w:sz w:val="17"/>
              </w:rPr>
              <w:t>ja</w:t>
            </w:r>
          </w:p>
        </w:tc>
      </w:tr>
      <w:tr>
        <w:tc>
          <w:tcPr>
            <w:tcW w:type="dxa" w:w="3996"/>
          </w:tcPr>
          <w:p>
            <w:pPr>
              <w:spacing w:after="0" w:line="252" w:lineRule="auto"/>
            </w:pPr>
            <w:r>
              <w:rPr>
                <w:sz w:val="17"/>
              </w:rPr>
              <w:t>Eigene Nummernkreise</w:t>
            </w:r>
          </w:p>
        </w:tc>
        <w:tc>
          <w:tcPr>
            <w:tcW w:type="dxa" w:w="3663"/>
          </w:tcPr>
          <w:p>
            <w:pPr>
              <w:spacing w:after="0" w:line="252" w:lineRule="auto"/>
            </w:pPr>
            <w:r>
              <w:rPr>
                <w:sz w:val="17"/>
              </w:rPr>
              <w:t>nein (Zuordnung je Klient)</w:t>
            </w:r>
          </w:p>
        </w:tc>
        <w:tc>
          <w:tcPr>
            <w:tcW w:type="dxa" w:w="1865"/>
          </w:tcPr>
          <w:p>
            <w:pPr>
              <w:spacing w:after="0" w:line="252" w:lineRule="auto"/>
            </w:pPr>
            <w:r>
              <w:rPr>
                <w:sz w:val="17"/>
              </w:rPr>
              <w:t>ja</w:t>
            </w:r>
          </w:p>
        </w:tc>
      </w:tr>
      <w:tr>
        <w:tc>
          <w:tcPr>
            <w:tcW w:type="dxa" w:w="3996"/>
          </w:tcPr>
          <w:p>
            <w:pPr>
              <w:spacing w:after="0" w:line="252" w:lineRule="auto"/>
            </w:pPr>
            <w:r>
              <w:rPr>
                <w:sz w:val="17"/>
              </w:rPr>
              <w:t>Eigene Dokumentlayouts</w:t>
            </w:r>
          </w:p>
        </w:tc>
        <w:tc>
          <w:tcPr>
            <w:tcW w:type="dxa" w:w="3663"/>
          </w:tcPr>
          <w:p>
            <w:pPr>
              <w:spacing w:after="0" w:line="252" w:lineRule="auto"/>
            </w:pPr>
            <w:r>
              <w:rPr>
                <w:sz w:val="17"/>
              </w:rPr>
              <w:t xml:space="preserve">ja, über Partner in </w:t>
            </w:r>
            <w:r>
              <w:rPr>
                <w:b/>
                <w:sz w:val="17"/>
              </w:rPr>
              <w:t>RM010</w:t>
            </w:r>
          </w:p>
        </w:tc>
        <w:tc>
          <w:tcPr>
            <w:tcW w:type="dxa" w:w="1865"/>
          </w:tcPr>
          <w:p>
            <w:pPr>
              <w:spacing w:after="0" w:line="252" w:lineRule="auto"/>
            </w:pPr>
            <w:r>
              <w:rPr>
                <w:sz w:val="17"/>
              </w:rPr>
              <w:t xml:space="preserve">ja, über Klient in </w:t>
            </w:r>
            <w:r>
              <w:rPr>
                <w:b/>
                <w:sz w:val="17"/>
              </w:rPr>
              <w:t>RM010</w:t>
            </w:r>
          </w:p>
        </w:tc>
      </w:tr>
      <w:tr>
        <w:tc>
          <w:tcPr>
            <w:tcW w:type="dxa" w:w="3996"/>
          </w:tcPr>
          <w:p>
            <w:pPr>
              <w:spacing w:after="0" w:line="252" w:lineRule="auto"/>
            </w:pPr>
            <w:r>
              <w:rPr>
                <w:sz w:val="17"/>
              </w:rPr>
              <w:t>Bestandskorrektur getrennt quittieren (</w:t>
            </w:r>
            <w:r>
              <w:rPr>
                <w:b/>
                <w:sz w:val="17"/>
              </w:rPr>
              <w:t>MD096</w:t>
            </w:r>
            <w:r>
              <w:rPr>
                <w:sz w:val="17"/>
              </w:rPr>
              <w:t>)</w:t>
            </w:r>
          </w:p>
        </w:tc>
        <w:tc>
          <w:tcPr>
            <w:tcW w:type="dxa" w:w="3663"/>
          </w:tcPr>
          <w:p>
            <w:pPr>
              <w:spacing w:after="0" w:line="252" w:lineRule="auto"/>
            </w:pPr>
            <w:r>
              <w:rPr>
                <w:sz w:val="17"/>
              </w:rPr>
              <w:t>Filter Wareneigentümer</w:t>
            </w:r>
          </w:p>
        </w:tc>
        <w:tc>
          <w:tcPr>
            <w:tcW w:type="dxa" w:w="1865"/>
          </w:tcPr>
          <w:p>
            <w:pPr>
              <w:spacing w:after="0" w:line="252" w:lineRule="auto"/>
            </w:pPr>
            <w:r>
              <w:rPr>
                <w:sz w:val="17"/>
              </w:rPr>
              <w:t>Filter Klient</w:t>
            </w:r>
          </w:p>
        </w:tc>
      </w:tr>
    </w:tbl>
    <w:p>
      <w:pPr>
        <w:pStyle w:val="BeschriftungSSI"/>
      </w:pPr>
      <w:r>
        <w:t>Tab. 5: Gegenüberstellung (aus den Funktionen abgeleitet, keine Herstellerempfehlung)</w:t>
      </w:r>
    </w:p>
    <w:p>
      <w:pPr>
        <w:pStyle w:val="Quelle"/>
      </w:pPr>
      <w:r>
        <w:rPr>
          <w:b/>
        </w:rPr>
        <w:t xml:space="preserve">Quelle: </w:t>
      </w:r>
      <w:r>
        <w:rPr>
          <w:sz w:val="17"/>
        </w:rPr>
        <w:t>AH 2.7, Kap. 3.5.2.9, 3.6.1, 3.6.3, 3.6.6, 3.6.9, 3.7.2.5</w:t>
      </w:r>
    </w:p>
    <w:p>
      <w:pPr>
        <w:keepNext/>
      </w:pPr>
      <w:r>
        <w:drawing>
          <wp:inline xmlns:a="http://schemas.openxmlformats.org/drawingml/2006/main" xmlns:pic="http://schemas.openxmlformats.org/drawingml/2006/picture">
            <wp:extent cx="5760000" cy="3283200"/>
            <wp:docPr id="104" name="Picture 104"/>
            <wp:cNvGraphicFramePr>
              <a:graphicFrameLocks noChangeAspect="1"/>
            </wp:cNvGraphicFramePr>
            <a:graphic>
              <a:graphicData uri="http://schemas.openxmlformats.org/drawingml/2006/picture">
                <pic:pic>
                  <pic:nvPicPr>
                    <pic:cNvPr id="0" name="mandant_modell.png"/>
                    <pic:cNvPicPr/>
                  </pic:nvPicPr>
                  <pic:blipFill>
                    <a:blip r:embed="rId14"/>
                    <a:stretch>
                      <a:fillRect/>
                    </a:stretch>
                  </pic:blipFill>
                  <pic:spPr>
                    <a:xfrm>
                      <a:off x="0" y="0"/>
                      <a:ext cx="5760000" cy="3283200"/>
                    </a:xfrm>
                    <a:prstGeom prst="rect"/>
                  </pic:spPr>
                </pic:pic>
              </a:graphicData>
            </a:graphic>
          </wp:inline>
        </w:drawing>
      </w:r>
    </w:p>
    <w:p>
      <w:pPr>
        <w:pStyle w:val="BeschriftungSSI"/>
      </w:pPr>
      <w:r>
        <w:t>Abb. 2: Klientenmodell – was getrennt und was gemeinsam ist (abgeleitet)</w:t>
      </w:r>
    </w:p>
    <w:p>
      <w:pPr>
        <w:pStyle w:val="Heading2"/>
      </w:pPr>
      <w:r>
        <w:t>3.7 Praxisbeispiel (konstruiert, bitte prüfen): Zwei Besitzer in einem Lager</w:t>
      </w:r>
    </w:p>
    <w:p>
      <w:r>
        <w:t>Ausgangslage: Die Muster AG betreibt einen SSI LOGIMAT. Künftig lagert auch die Beispiel GmbH dort eigene Ware. Beide Firmen haben eigene Artikelnummern, die sich teilweise überschneiden. Die Beispiel GmbH möchte feste Tablare. Alle Namen sind erfunden.</w:t>
      </w:r>
    </w:p>
    <w:p>
      <w:pPr>
        <w:tabs>
          <w:tab w:pos="425" w:val="left"/>
        </w:tabs>
        <w:spacing w:after="60"/>
        <w:ind w:left="425" w:hanging="425"/>
      </w:pPr>
      <w:r>
        <w:rPr>
          <w:b/>
        </w:rPr>
        <w:t>1.</w:t>
        <w:tab/>
      </w:r>
      <w:r>
        <w:t xml:space="preserve">Entscheidung: Wegen überschneidender Artikelnummern und fester Tablare werden </w:t>
      </w:r>
      <w:r>
        <w:rPr>
          <w:b/>
        </w:rPr>
        <w:t>zwei Klienten</w:t>
      </w:r>
      <w:r>
        <w:t xml:space="preserve"> angelegt (Tab. 5): </w:t>
      </w:r>
      <w:r>
        <w:rPr>
          <w:rFonts w:ascii="Consolas" w:hAnsi="Consolas" w:cs="Consolas" w:eastAsia="Consolas"/>
          <w:sz w:val="18"/>
        </w:rPr>
        <w:t>MUSTER</w:t>
      </w:r>
      <w:r>
        <w:t xml:space="preserve"> und </w:t>
      </w:r>
      <w:r>
        <w:rPr>
          <w:rFonts w:ascii="Consolas" w:hAnsi="Consolas" w:cs="Consolas" w:eastAsia="Consolas"/>
          <w:sz w:val="18"/>
        </w:rPr>
        <w:t>BEISPIEL</w:t>
      </w:r>
      <w:r>
        <w:t>.</w:t>
      </w:r>
    </w:p>
    <w:p>
      <w:pPr>
        <w:tabs>
          <w:tab w:pos="425" w:val="left"/>
        </w:tabs>
        <w:spacing w:after="60"/>
        <w:ind w:left="425" w:hanging="425"/>
      </w:pPr>
      <w:r>
        <w:rPr>
          <w:b/>
        </w:rPr>
        <w:t>2.</w:t>
        <w:tab/>
      </w:r>
      <w:r>
        <w:rPr>
          <w:b/>
        </w:rPr>
        <w:t>MD017</w:t>
      </w:r>
      <w:r>
        <w:t>: beide Klienten mit Adresse, Zeitzone und den eigenen Mengeneinheiten, Artikeltypen, Bestandsklassifizierungen und Bedarfstypen anlegen.</w:t>
      </w:r>
    </w:p>
    <w:p>
      <w:pPr>
        <w:tabs>
          <w:tab w:pos="425" w:val="left"/>
        </w:tabs>
        <w:spacing w:after="60"/>
        <w:ind w:left="425" w:hanging="425"/>
      </w:pPr>
      <w:r>
        <w:rPr>
          <w:b/>
        </w:rPr>
        <w:t>3.</w:t>
        <w:tab/>
      </w:r>
      <w:r>
        <w:rPr>
          <w:b/>
        </w:rPr>
        <w:t>MD018</w:t>
      </w:r>
      <w:r>
        <w:t>: Lieferanten und Kunden je Klient anlegen (Kapitel 6).</w:t>
      </w:r>
    </w:p>
    <w:p>
      <w:pPr>
        <w:tabs>
          <w:tab w:pos="425" w:val="left"/>
        </w:tabs>
        <w:spacing w:after="60"/>
        <w:ind w:left="425" w:hanging="425"/>
      </w:pPr>
      <w:r>
        <w:rPr>
          <w:b/>
        </w:rPr>
        <w:t>4.</w:t>
        <w:tab/>
      </w:r>
      <w:r>
        <w:rPr>
          <w:b/>
        </w:rPr>
        <w:t>MD017</w:t>
      </w:r>
      <w:r>
        <w:t xml:space="preserve"> beim Klienten </w:t>
      </w:r>
      <w:r>
        <w:rPr>
          <w:rFonts w:ascii="Consolas" w:hAnsi="Consolas" w:cs="Consolas" w:eastAsia="Consolas"/>
          <w:sz w:val="18"/>
        </w:rPr>
        <w:t>BEISPIEL</w:t>
      </w:r>
      <w:r>
        <w:t xml:space="preserve">, Registerkarte </w:t>
      </w:r>
      <w:r>
        <w:rPr>
          <w:b/>
        </w:rPr>
        <w:t>Tablar-zu-Klient-Einschränkung</w:t>
      </w:r>
      <w:r>
        <w:t>: die vereinbarten Tablare eintragen. Einlagerungen der Muster AG nutzen dann nur die übrigen Tablare.</w:t>
      </w:r>
    </w:p>
    <w:p>
      <w:pPr>
        <w:tabs>
          <w:tab w:pos="425" w:val="left"/>
        </w:tabs>
        <w:spacing w:after="60"/>
        <w:ind w:left="425" w:hanging="425"/>
      </w:pPr>
      <w:r>
        <w:rPr>
          <w:b/>
        </w:rPr>
        <w:t>5.</w:t>
        <w:tab/>
      </w:r>
      <w:r>
        <w:rPr>
          <w:b/>
        </w:rPr>
        <w:t>SM041/SM042</w:t>
      </w:r>
      <w:r>
        <w:t xml:space="preserve">: einen Homogenitätstyp mit Kriterium </w:t>
      </w:r>
      <w:r>
        <w:rPr>
          <w:b/>
        </w:rPr>
        <w:t>Klient</w:t>
      </w:r>
      <w:r>
        <w:t xml:space="preserve"> zuordnen, damit kein Bestand beider Klienten im selben Lagerfach gemischt wird.</w:t>
      </w:r>
    </w:p>
    <w:p>
      <w:pPr>
        <w:tabs>
          <w:tab w:pos="425" w:val="left"/>
        </w:tabs>
        <w:spacing w:after="60"/>
        <w:ind w:left="425" w:hanging="425"/>
      </w:pPr>
      <w:r>
        <w:rPr>
          <w:b/>
        </w:rPr>
        <w:t>6.</w:t>
        <w:tab/>
      </w:r>
      <w:r>
        <w:rPr>
          <w:b/>
        </w:rPr>
        <w:t>RM010</w:t>
      </w:r>
      <w:r>
        <w:t>: bei Bedarf eigene Lieferschein- oder Etikettenkonfiguration je Klient zuordnen.</w:t>
      </w:r>
    </w:p>
    <w:p>
      <w:pPr>
        <w:tabs>
          <w:tab w:pos="425" w:val="left"/>
        </w:tabs>
        <w:spacing w:after="60"/>
        <w:ind w:left="425" w:hanging="425"/>
      </w:pPr>
      <w:r>
        <w:rPr>
          <w:b/>
        </w:rPr>
        <w:t>7.</w:t>
        <w:tab/>
      </w:r>
      <w:r>
        <w:rPr>
          <w:b/>
        </w:rPr>
        <w:t>MD027</w:t>
      </w:r>
      <w:r>
        <w:t>: optional eigene Nummernkreise für Auftragsnummern je Klient.</w:t>
      </w:r>
    </w:p>
    <w:p>
      <w:pPr>
        <w:tabs>
          <w:tab w:pos="425" w:val="left"/>
        </w:tabs>
        <w:spacing w:after="60"/>
        <w:ind w:left="425" w:hanging="425"/>
      </w:pPr>
      <w:r>
        <w:rPr>
          <w:b/>
        </w:rPr>
        <w:t>8.</w:t>
        <w:tab/>
      </w:r>
      <w:r>
        <w:t xml:space="preserve">Benutzer: in den </w:t>
      </w:r>
      <w:r>
        <w:rPr>
          <w:b/>
        </w:rPr>
        <w:t>Benutzereinstellungen</w:t>
      </w:r>
      <w:r>
        <w:t xml:space="preserve"> den Standard-Klienten je Bedienergruppe setzen. Die Einschränkung per Datenzugriffsprofil klären (Lücke in 3.3).</w:t>
      </w:r>
    </w:p>
    <w:p>
      <w:pPr>
        <w:tabs>
          <w:tab w:pos="425" w:val="left"/>
        </w:tabs>
        <w:spacing w:after="60"/>
        <w:ind w:left="425" w:hanging="425"/>
      </w:pPr>
      <w:r>
        <w:rPr>
          <w:b/>
        </w:rPr>
        <w:t>9.</w:t>
        <w:tab/>
      </w:r>
      <w:r>
        <w:t xml:space="preserve">ERP: Jeder Bedarf trägt </w:t>
      </w:r>
      <w:r>
        <w:rPr>
          <w:rFonts w:ascii="Consolas" w:hAnsi="Consolas" w:cs="Consolas" w:eastAsia="Consolas"/>
          <w:sz w:val="18"/>
        </w:rPr>
        <w:t>clientId</w:t>
      </w:r>
      <w:r>
        <w:t xml:space="preserve"> = </w:t>
      </w:r>
      <w:r>
        <w:rPr>
          <w:rFonts w:ascii="Consolas" w:hAnsi="Consolas" w:cs="Consolas" w:eastAsia="Consolas"/>
          <w:sz w:val="18"/>
        </w:rPr>
        <w:t>MUSTER</w:t>
      </w:r>
      <w:r>
        <w:t xml:space="preserve"> oder </w:t>
      </w:r>
      <w:r>
        <w:rPr>
          <w:rFonts w:ascii="Consolas" w:hAnsi="Consolas" w:cs="Consolas" w:eastAsia="Consolas"/>
          <w:sz w:val="18"/>
        </w:rPr>
        <w:t>BEISPIEL</w:t>
      </w:r>
      <w:r>
        <w:t>. Bei einem gemeinsamen HOST ist das unproblematisch. Getrennte ERP-Systeme pro Klient müssen geprüft werden (Lücke in 3.4).</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Alternative</w:t>
            </w:r>
          </w:p>
          <w:p>
            <w:pPr>
              <w:spacing w:after="40"/>
            </w:pPr>
            <w:r>
              <w:rPr>
                <w:sz w:val="19"/>
              </w:rPr>
              <w:t>Hätten beide Firmen dieselben Artikelstammdaten und keine eigenen Tablare, reicht laut Tab. 5 ein Klient mit zwei Wareneigentümern (</w:t>
            </w:r>
            <w:r>
              <w:rPr>
                <w:b/>
                <w:sz w:val="19"/>
              </w:rPr>
              <w:t>MD017</w:t>
            </w:r>
            <w:r>
              <w:rPr>
                <w:sz w:val="19"/>
              </w:rPr>
              <w:t xml:space="preserve">, Registerkarte </w:t>
            </w:r>
            <w:r>
              <w:rPr>
                <w:b/>
                <w:sz w:val="19"/>
              </w:rPr>
              <w:t>Wareneigentümer</w:t>
            </w:r>
            <w:r>
              <w:rPr>
                <w:sz w:val="19"/>
              </w:rPr>
              <w:t xml:space="preserve">). Der Besitzer wird dann pro Bedarfszeile im Feld </w:t>
            </w:r>
            <w:r>
              <w:rPr>
                <w:b/>
                <w:sz w:val="19"/>
              </w:rPr>
              <w:t>Wareneigentümer</w:t>
            </w:r>
            <w:r>
              <w:rPr>
                <w:sz w:val="19"/>
              </w:rPr>
              <w:t xml:space="preserve"> bzw. </w:t>
            </w:r>
            <w:r>
              <w:rPr>
                <w:rFonts w:ascii="Consolas" w:hAnsi="Consolas" w:cs="Consolas" w:eastAsia="Consolas"/>
                <w:sz w:val="17"/>
              </w:rPr>
              <w:t>gow</w:t>
            </w:r>
            <w:r>
              <w:rPr>
                <w:sz w:val="19"/>
              </w:rPr>
              <w:t xml:space="preserve"> geführt.</w:t>
            </w:r>
          </w:p>
        </w:tc>
      </w:tr>
    </w:tbl>
    <w:p>
      <w:pPr>
        <w:spacing w:after="40"/>
      </w:pPr>
    </w:p>
    <w:p>
      <w:pPr>
        <w:pStyle w:val="Heading1"/>
      </w:pPr>
      <w:r>
        <w:t>4 Voraussetzungen und Reihenfolge</w:t>
      </w:r>
    </w:p>
    <w:p>
      <w:r>
        <w:t>Das Handbuch nennt keine durchgehende Checkliste. Die folgende Reihenfolge ergibt sich aus den dokumentierten Abhängigkeiten (Spalte „Begründung“).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88"/>
        <w:gridCol w:w="3175"/>
        <w:gridCol w:w="2073"/>
        <w:gridCol w:w="3888"/>
      </w:tblGrid>
      <w:tr>
        <w:trPr>
          <w:tblHeader w:val="true"/>
        </w:trPr>
        <w:tc>
          <w:tcPr>
            <w:tcW w:type="dxa" w:w="389"/>
            <w:shd w:val="clear" w:color="auto" w:fill="FEEE19"/>
          </w:tcPr>
          <w:p>
            <w:pPr>
              <w:spacing w:after="0"/>
            </w:pPr>
            <w:r>
              <w:rPr>
                <w:b/>
                <w:sz w:val="17"/>
              </w:rPr>
              <w:t>Nr.</w:t>
            </w:r>
          </w:p>
        </w:tc>
        <w:tc>
          <w:tcPr>
            <w:tcW w:type="dxa" w:w="3175"/>
            <w:shd w:val="clear" w:color="auto" w:fill="FEEE19"/>
          </w:tcPr>
          <w:p>
            <w:pPr>
              <w:spacing w:after="0"/>
            </w:pPr>
            <w:r>
              <w:rPr>
                <w:b/>
                <w:sz w:val="17"/>
              </w:rPr>
              <w:t>Schritt</w:t>
            </w:r>
          </w:p>
        </w:tc>
        <w:tc>
          <w:tcPr>
            <w:tcW w:type="dxa" w:w="2073"/>
            <w:shd w:val="clear" w:color="auto" w:fill="FEEE19"/>
          </w:tcPr>
          <w:p>
            <w:pPr>
              <w:spacing w:after="0"/>
            </w:pPr>
            <w:r>
              <w:rPr>
                <w:b/>
                <w:sz w:val="17"/>
              </w:rPr>
              <w:t>Dialog</w:t>
            </w:r>
          </w:p>
        </w:tc>
        <w:tc>
          <w:tcPr>
            <w:tcW w:type="dxa" w:w="3888"/>
            <w:shd w:val="clear" w:color="auto" w:fill="FEEE19"/>
          </w:tcPr>
          <w:p>
            <w:pPr>
              <w:spacing w:after="0"/>
            </w:pPr>
            <w:r>
              <w:rPr>
                <w:b/>
                <w:sz w:val="17"/>
              </w:rPr>
              <w:t>Begründung laut Handbuch</w:t>
            </w:r>
          </w:p>
        </w:tc>
      </w:tr>
      <w:tr>
        <w:tc>
          <w:tcPr>
            <w:tcW w:type="dxa" w:w="389"/>
          </w:tcPr>
          <w:p>
            <w:pPr>
              <w:spacing w:after="0" w:line="252" w:lineRule="auto"/>
            </w:pPr>
            <w:r>
              <w:rPr>
                <w:sz w:val="17"/>
              </w:rPr>
              <w:t>1</w:t>
            </w:r>
          </w:p>
        </w:tc>
        <w:tc>
          <w:tcPr>
            <w:tcW w:type="dxa" w:w="3175"/>
          </w:tcPr>
          <w:p>
            <w:pPr>
              <w:spacing w:after="0" w:line="252" w:lineRule="auto"/>
            </w:pPr>
            <w:r>
              <w:rPr>
                <w:sz w:val="17"/>
              </w:rPr>
              <w:t>Länder prüfen bzw. anlegen</w:t>
            </w:r>
          </w:p>
        </w:tc>
        <w:tc>
          <w:tcPr>
            <w:tcW w:type="dxa" w:w="2073"/>
          </w:tcPr>
          <w:p>
            <w:pPr>
              <w:spacing w:after="0" w:line="252" w:lineRule="auto"/>
            </w:pPr>
            <w:r>
              <w:rPr>
                <w:b/>
                <w:sz w:val="17"/>
              </w:rPr>
              <w:t>MD016</w:t>
            </w:r>
          </w:p>
        </w:tc>
        <w:tc>
          <w:tcPr>
            <w:tcW w:type="dxa" w:w="3888"/>
          </w:tcPr>
          <w:p>
            <w:pPr>
              <w:spacing w:after="0" w:line="252" w:lineRule="auto"/>
            </w:pPr>
            <w:r>
              <w:rPr>
                <w:sz w:val="17"/>
              </w:rPr>
              <w:t>Länder werden in anderen Dialogen ausgewählt, z. B. beim Land eines Klienten.</w:t>
            </w:r>
          </w:p>
        </w:tc>
      </w:tr>
      <w:tr>
        <w:tc>
          <w:tcPr>
            <w:tcW w:type="dxa" w:w="389"/>
          </w:tcPr>
          <w:p>
            <w:pPr>
              <w:spacing w:after="0" w:line="252" w:lineRule="auto"/>
            </w:pPr>
            <w:r>
              <w:rPr>
                <w:sz w:val="17"/>
              </w:rPr>
              <w:t>2</w:t>
            </w:r>
          </w:p>
        </w:tc>
        <w:tc>
          <w:tcPr>
            <w:tcW w:type="dxa" w:w="3175"/>
          </w:tcPr>
          <w:p>
            <w:pPr>
              <w:spacing w:after="0" w:line="252" w:lineRule="auto"/>
            </w:pPr>
            <w:r>
              <w:rPr>
                <w:sz w:val="17"/>
              </w:rPr>
              <w:t>Systempartner prüfen (HOST ist vorkonfiguriert)</w:t>
            </w:r>
          </w:p>
        </w:tc>
        <w:tc>
          <w:tcPr>
            <w:tcW w:type="dxa" w:w="2073"/>
          </w:tcPr>
          <w:p>
            <w:pPr>
              <w:spacing w:after="0" w:line="252" w:lineRule="auto"/>
            </w:pPr>
            <w:r>
              <w:rPr>
                <w:b/>
                <w:sz w:val="17"/>
              </w:rPr>
              <w:t>MD021</w:t>
            </w:r>
          </w:p>
        </w:tc>
        <w:tc>
          <w:tcPr>
            <w:tcW w:type="dxa" w:w="3888"/>
          </w:tcPr>
          <w:p>
            <w:pPr>
              <w:spacing w:after="0" w:line="252" w:lineRule="auto"/>
            </w:pPr>
            <w:r>
              <w:rPr>
                <w:sz w:val="17"/>
              </w:rPr>
              <w:t>Partner brauchen einen Hauptsystempartner; Bedarfe und Artikel verweisen auf einen Systempartner.</w:t>
            </w:r>
          </w:p>
        </w:tc>
      </w:tr>
      <w:tr>
        <w:tc>
          <w:tcPr>
            <w:tcW w:type="dxa" w:w="389"/>
          </w:tcPr>
          <w:p>
            <w:pPr>
              <w:spacing w:after="0" w:line="252" w:lineRule="auto"/>
            </w:pPr>
            <w:r>
              <w:rPr>
                <w:sz w:val="17"/>
              </w:rPr>
              <w:t>3</w:t>
            </w:r>
          </w:p>
        </w:tc>
        <w:tc>
          <w:tcPr>
            <w:tcW w:type="dxa" w:w="3175"/>
          </w:tcPr>
          <w:p>
            <w:pPr>
              <w:spacing w:after="0" w:line="252" w:lineRule="auto"/>
            </w:pPr>
            <w:r>
              <w:rPr>
                <w:sz w:val="17"/>
              </w:rPr>
              <w:t>Klient anlegen</w:t>
            </w:r>
          </w:p>
        </w:tc>
        <w:tc>
          <w:tcPr>
            <w:tcW w:type="dxa" w:w="2073"/>
          </w:tcPr>
          <w:p>
            <w:pPr>
              <w:spacing w:after="0" w:line="252" w:lineRule="auto"/>
            </w:pPr>
            <w:r>
              <w:rPr>
                <w:b/>
                <w:sz w:val="17"/>
              </w:rPr>
              <w:t>MD017</w:t>
            </w:r>
          </w:p>
        </w:tc>
        <w:tc>
          <w:tcPr>
            <w:tcW w:type="dxa" w:w="3888"/>
          </w:tcPr>
          <w:p>
            <w:pPr>
              <w:spacing w:after="0" w:line="252" w:lineRule="auto"/>
            </w:pPr>
            <w:r>
              <w:rPr>
                <w:sz w:val="17"/>
              </w:rPr>
              <w:t>Partner werden unter einem Klienten angelegt.</w:t>
            </w:r>
          </w:p>
        </w:tc>
      </w:tr>
      <w:tr>
        <w:tc>
          <w:tcPr>
            <w:tcW w:type="dxa" w:w="389"/>
          </w:tcPr>
          <w:p>
            <w:pPr>
              <w:spacing w:after="0" w:line="252" w:lineRule="auto"/>
            </w:pPr>
            <w:r>
              <w:rPr>
                <w:sz w:val="17"/>
              </w:rPr>
              <w:t>4</w:t>
            </w:r>
          </w:p>
        </w:tc>
        <w:tc>
          <w:tcPr>
            <w:tcW w:type="dxa" w:w="3175"/>
          </w:tcPr>
          <w:p>
            <w:pPr>
              <w:spacing w:after="0" w:line="252" w:lineRule="auto"/>
            </w:pPr>
            <w:r>
              <w:rPr>
                <w:sz w:val="17"/>
              </w:rPr>
              <w:t>Partner (Lieferant, Kunde …) mit Adressen anlegen</w:t>
            </w:r>
          </w:p>
        </w:tc>
        <w:tc>
          <w:tcPr>
            <w:tcW w:type="dxa" w:w="2073"/>
          </w:tcPr>
          <w:p>
            <w:pPr>
              <w:spacing w:after="0" w:line="252" w:lineRule="auto"/>
            </w:pPr>
            <w:r>
              <w:rPr>
                <w:b/>
                <w:sz w:val="17"/>
              </w:rPr>
              <w:t>MD018</w:t>
            </w:r>
          </w:p>
        </w:tc>
        <w:tc>
          <w:tcPr>
            <w:tcW w:type="dxa" w:w="3888"/>
          </w:tcPr>
          <w:p>
            <w:pPr>
              <w:spacing w:after="0" w:line="252" w:lineRule="auto"/>
            </w:pPr>
            <w:r>
              <w:rPr>
                <w:sz w:val="17"/>
              </w:rPr>
              <w:t xml:space="preserve">Erst danach sind sie in </w:t>
            </w:r>
            <w:r>
              <w:rPr>
                <w:b/>
                <w:sz w:val="17"/>
              </w:rPr>
              <w:t>MD017</w:t>
            </w:r>
            <w:r>
              <w:rPr>
                <w:sz w:val="17"/>
              </w:rPr>
              <w:t xml:space="preserve"> als Wareneigentümer wählbar.</w:t>
            </w:r>
          </w:p>
        </w:tc>
      </w:tr>
      <w:tr>
        <w:tc>
          <w:tcPr>
            <w:tcW w:type="dxa" w:w="389"/>
          </w:tcPr>
          <w:p>
            <w:pPr>
              <w:spacing w:after="0" w:line="252" w:lineRule="auto"/>
            </w:pPr>
            <w:r>
              <w:rPr>
                <w:sz w:val="17"/>
              </w:rPr>
              <w:t>5</w:t>
            </w:r>
          </w:p>
        </w:tc>
        <w:tc>
          <w:tcPr>
            <w:tcW w:type="dxa" w:w="3175"/>
          </w:tcPr>
          <w:p>
            <w:pPr>
              <w:spacing w:after="0" w:line="252" w:lineRule="auto"/>
            </w:pPr>
            <w:r>
              <w:rPr>
                <w:sz w:val="17"/>
              </w:rPr>
              <w:t>Wareneigentümer zuordnen</w:t>
            </w:r>
          </w:p>
        </w:tc>
        <w:tc>
          <w:tcPr>
            <w:tcW w:type="dxa" w:w="2073"/>
          </w:tcPr>
          <w:p>
            <w:pPr>
              <w:spacing w:after="0" w:line="252" w:lineRule="auto"/>
            </w:pPr>
            <w:r>
              <w:rPr>
                <w:b/>
                <w:sz w:val="17"/>
              </w:rPr>
              <w:t>MD017</w:t>
            </w:r>
          </w:p>
        </w:tc>
        <w:tc>
          <w:tcPr>
            <w:tcW w:type="dxa" w:w="3888"/>
          </w:tcPr>
          <w:p>
            <w:pPr>
              <w:spacing w:after="0" w:line="252" w:lineRule="auto"/>
            </w:pPr>
            <w:r>
              <w:rPr>
                <w:sz w:val="17"/>
              </w:rPr>
              <w:t>Nur nötig, wenn der Klient nicht selbst Wareneigentümer ist.</w:t>
            </w:r>
          </w:p>
        </w:tc>
      </w:tr>
      <w:tr>
        <w:tc>
          <w:tcPr>
            <w:tcW w:type="dxa" w:w="389"/>
          </w:tcPr>
          <w:p>
            <w:pPr>
              <w:spacing w:after="0" w:line="252" w:lineRule="auto"/>
            </w:pPr>
            <w:r>
              <w:rPr>
                <w:sz w:val="17"/>
              </w:rPr>
              <w:t>6</w:t>
            </w:r>
          </w:p>
        </w:tc>
        <w:tc>
          <w:tcPr>
            <w:tcW w:type="dxa" w:w="3175"/>
          </w:tcPr>
          <w:p>
            <w:pPr>
              <w:spacing w:after="0" w:line="252" w:lineRule="auto"/>
            </w:pPr>
            <w:r>
              <w:rPr>
                <w:sz w:val="17"/>
              </w:rPr>
              <w:t>Klientenspezifische Stammdaten pflegen</w:t>
            </w:r>
          </w:p>
        </w:tc>
        <w:tc>
          <w:tcPr>
            <w:tcW w:type="dxa" w:w="2073"/>
          </w:tcPr>
          <w:p>
            <w:pPr>
              <w:spacing w:after="0" w:line="252" w:lineRule="auto"/>
            </w:pPr>
            <w:r>
              <w:rPr>
                <w:b/>
                <w:sz w:val="17"/>
              </w:rPr>
              <w:t>MD017</w:t>
            </w:r>
          </w:p>
        </w:tc>
        <w:tc>
          <w:tcPr>
            <w:tcW w:type="dxa" w:w="3888"/>
          </w:tcPr>
          <w:p>
            <w:pPr>
              <w:spacing w:after="0" w:line="252" w:lineRule="auto"/>
            </w:pPr>
            <w:r>
              <w:rPr>
                <w:sz w:val="17"/>
              </w:rPr>
              <w:t>Mengeneinheiten, Artikeltypen, Bedarfstypen usw. sind pro Klient.</w:t>
            </w:r>
          </w:p>
        </w:tc>
      </w:tr>
      <w:tr>
        <w:tc>
          <w:tcPr>
            <w:tcW w:type="dxa" w:w="389"/>
          </w:tcPr>
          <w:p>
            <w:pPr>
              <w:spacing w:after="0" w:line="252" w:lineRule="auto"/>
            </w:pPr>
            <w:r>
              <w:rPr>
                <w:sz w:val="17"/>
              </w:rPr>
              <w:t>7</w:t>
            </w:r>
          </w:p>
        </w:tc>
        <w:tc>
          <w:tcPr>
            <w:tcW w:type="dxa" w:w="3175"/>
          </w:tcPr>
          <w:p>
            <w:pPr>
              <w:spacing w:after="0" w:line="252" w:lineRule="auto"/>
            </w:pPr>
            <w:r>
              <w:rPr>
                <w:sz w:val="17"/>
              </w:rPr>
              <w:t>Benutzer-Voreinstellung und Rechte prüfen</w:t>
            </w:r>
          </w:p>
        </w:tc>
        <w:tc>
          <w:tcPr>
            <w:tcW w:type="dxa" w:w="2073"/>
          </w:tcPr>
          <w:p>
            <w:pPr>
              <w:spacing w:after="0" w:line="252" w:lineRule="auto"/>
            </w:pPr>
            <w:r>
              <w:rPr>
                <w:b/>
                <w:sz w:val="17"/>
              </w:rPr>
              <w:t>UM002</w:t>
            </w:r>
            <w:r>
              <w:rPr>
                <w:sz w:val="17"/>
              </w:rPr>
              <w:t>, Benutzereinstellungen</w:t>
            </w:r>
          </w:p>
        </w:tc>
        <w:tc>
          <w:tcPr>
            <w:tcW w:type="dxa" w:w="3888"/>
          </w:tcPr>
          <w:p>
            <w:pPr>
              <w:spacing w:after="0" w:line="252" w:lineRule="auto"/>
            </w:pPr>
            <w:r>
              <w:rPr>
                <w:sz w:val="17"/>
              </w:rPr>
              <w:t>Siehe Kapitel 7.3.</w:t>
            </w:r>
          </w:p>
        </w:tc>
      </w:tr>
    </w:tbl>
    <w:p>
      <w:pPr>
        <w:pStyle w:val="BeschriftungSSI"/>
      </w:pPr>
      <w:r>
        <w:t>Tab. 6: Empfohlene Reihenfolge</w:t>
      </w:r>
    </w:p>
    <w:p>
      <w:r>
        <w:t>Rechte: Für die Pflege ist ein Login mit Zugriff auf die Stammdatendialoge nötig. Welche Rolle bzw. welches Applikations-Zugriffs-Profil das konkret ist, legt das Projekt fest (UM003/UM004).</w:t>
      </w:r>
    </w:p>
    <w:p>
      <w:pPr>
        <w:pStyle w:val="Quelle"/>
      </w:pPr>
      <w:r>
        <w:rPr>
          <w:b/>
        </w:rPr>
        <w:t xml:space="preserve">Quelle: </w:t>
      </w:r>
      <w:r>
        <w:rPr>
          <w:sz w:val="17"/>
        </w:rPr>
        <w:t>AH 2.7, Kap. 3.2.7, 3.3, 3.5.1, 3.6.1.2, 3.6.2; Schulung „Consultant Training Part 1“, Folie „Configure Systempartner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Pflichtfelder und Mindestumfang</w:t>
            </w:r>
          </w:p>
          <w:p>
            <w:pPr>
              <w:spacing w:after="40"/>
            </w:pPr>
            <w:r>
              <w:rPr>
                <w:sz w:val="19"/>
              </w:rPr>
              <w:t xml:space="preserve">Die Handbücher nennen für </w:t>
            </w:r>
            <w:r>
              <w:rPr>
                <w:b/>
                <w:sz w:val="19"/>
              </w:rPr>
              <w:t>MD017</w:t>
            </w:r>
            <w:r>
              <w:rPr>
                <w:sz w:val="19"/>
              </w:rPr>
              <w:t xml:space="preserve"> und </w:t>
            </w:r>
            <w:r>
              <w:rPr>
                <w:b/>
                <w:sz w:val="19"/>
              </w:rPr>
              <w:t>MD018</w:t>
            </w:r>
            <w:r>
              <w:rPr>
                <w:sz w:val="19"/>
              </w:rPr>
              <w:t xml:space="preserve"> nur den eindeutigen Namen (Klient bzw. Klient + Partner) als Eingabe zum Anlegen. Welche weiteren Felder Pflicht sind (z. B. Land, Zeitzone, Adresszeile) und welche Registerkarten mindestens gepflegt sein müssen, damit Prozesse laufen, ist nicht dokumentiert.</w:t>
            </w:r>
          </w:p>
        </w:tc>
      </w:tr>
    </w:tbl>
    <w:p>
      <w:pPr>
        <w:spacing w:after="40"/>
      </w:pPr>
    </w:p>
    <w:p>
      <w:pPr>
        <w:pStyle w:val="Heading1"/>
      </w:pPr>
      <w:r>
        <w:t>5 Klient anlegen (MD017)</w:t>
      </w:r>
    </w:p>
    <w:p>
      <w:pPr>
        <w:pStyle w:val="Heading2"/>
      </w:pPr>
      <w:r>
        <w:t>5.1 Anlegen</w:t>
      </w:r>
    </w:p>
    <w:p>
      <w:pPr>
        <w:tabs>
          <w:tab w:pos="425" w:val="left"/>
        </w:tabs>
        <w:spacing w:after="60"/>
        <w:ind w:left="425" w:hanging="425"/>
      </w:pPr>
      <w:r>
        <w:rPr>
          <w:b/>
        </w:rPr>
        <w:t>1.</w:t>
        <w:tab/>
      </w:r>
      <w:r>
        <w:t xml:space="preserve">Dialog </w:t>
      </w:r>
      <w:r>
        <w:rPr>
          <w:b/>
        </w:rPr>
        <w:t>MD017 Klient pflegen</w:t>
      </w:r>
      <w:r>
        <w:t xml:space="preserve"> öffnen.</w:t>
      </w:r>
    </w:p>
    <w:p>
      <w:pPr>
        <w:tabs>
          <w:tab w:pos="425" w:val="left"/>
        </w:tabs>
        <w:spacing w:after="60"/>
        <w:ind w:left="425" w:hanging="425"/>
      </w:pPr>
      <w:r>
        <w:rPr>
          <w:b/>
        </w:rPr>
        <w:t>2.</w:t>
        <w:tab/>
      </w:r>
      <w:r>
        <w:t xml:space="preserve">Neuen Klienten anlegen: im Feld </w:t>
      </w:r>
      <w:r>
        <w:rPr>
          <w:b/>
        </w:rPr>
        <w:t>Klient</w:t>
      </w:r>
      <w:r>
        <w:t xml:space="preserve"> einen eindeutigen Namen eingeben. (Bestehenden Klienten bearbeiten: im Feld </w:t>
      </w:r>
      <w:r>
        <w:rPr>
          <w:b/>
        </w:rPr>
        <w:t>Klient</w:t>
      </w:r>
      <w:r>
        <w:t xml:space="preserve"> auswählen.)</w:t>
      </w:r>
    </w:p>
    <w:p>
      <w:pPr>
        <w:tabs>
          <w:tab w:pos="425" w:val="left"/>
        </w:tabs>
        <w:spacing w:after="60"/>
        <w:ind w:left="425" w:hanging="425"/>
      </w:pPr>
      <w:r>
        <w:rPr>
          <w:b/>
        </w:rPr>
        <w:t>3.</w:t>
        <w:tab/>
      </w:r>
      <w:r>
        <w:t>Die benötigten Registerkarten bearbeiten (siehe 4.2 und 4.3).</w:t>
      </w:r>
    </w:p>
    <w:p>
      <w:pPr>
        <w:tabs>
          <w:tab w:pos="425" w:val="left"/>
        </w:tabs>
        <w:spacing w:after="60"/>
        <w:ind w:left="425" w:hanging="425"/>
      </w:pPr>
      <w:r>
        <w:rPr>
          <w:b/>
        </w:rPr>
        <w:t>4.</w:t>
        <w:tab/>
      </w:r>
      <w:r>
        <w:t xml:space="preserve">Button </w:t>
      </w:r>
      <w:r>
        <w:rPr>
          <w:b/>
        </w:rPr>
        <w:t>Speichern</w:t>
      </w:r>
      <w:r>
        <w:t xml:space="preserve"> klicken.</w:t>
      </w:r>
    </w:p>
    <w:p>
      <w:pPr>
        <w:pStyle w:val="Quelle"/>
      </w:pPr>
      <w:r>
        <w:rPr>
          <w:b/>
        </w:rPr>
        <w:t xml:space="preserve">Quelle: </w:t>
      </w:r>
      <w:r>
        <w:rPr>
          <w:sz w:val="17"/>
        </w:rPr>
        <w:t>AH 2.7, Kap. 3.6.1, S. 99–100</w:t>
      </w:r>
    </w:p>
    <w:p>
      <w:pPr>
        <w:pStyle w:val="Heading2"/>
      </w:pPr>
      <w:r>
        <w:t>5.2 Registerkarte „Klient“ (Adresse)</w:t>
      </w:r>
    </w:p>
    <w:p>
      <w:pPr>
        <w:tabs>
          <w:tab w:pos="425" w:val="left"/>
        </w:tabs>
        <w:spacing w:after="60"/>
        <w:ind w:left="425" w:hanging="425"/>
      </w:pPr>
      <w:r>
        <w:rPr>
          <w:b/>
        </w:rPr>
        <w:t>1.</w:t>
        <w:tab/>
      </w:r>
      <w:r>
        <w:t xml:space="preserve">Bereich </w:t>
      </w:r>
      <w:r>
        <w:rPr>
          <w:b/>
        </w:rPr>
        <w:t>Adresse</w:t>
      </w:r>
      <w:r>
        <w:t xml:space="preserve">: ggf. die Adresse des Klienten eingeben, ggf. </w:t>
      </w:r>
      <w:r>
        <w:rPr>
          <w:b/>
        </w:rPr>
        <w:t>Sprache</w:t>
      </w:r>
      <w:r>
        <w:t xml:space="preserve"> wählen und im Feld </w:t>
      </w:r>
      <w:r>
        <w:rPr>
          <w:b/>
        </w:rPr>
        <w:t>Zeitzone</w:t>
      </w:r>
      <w:r>
        <w:t xml:space="preserve"> die Zeitzone des Standorts wählen.</w:t>
      </w:r>
    </w:p>
    <w:p>
      <w:pPr>
        <w:tabs>
          <w:tab w:pos="425" w:val="left"/>
        </w:tabs>
        <w:spacing w:after="60"/>
        <w:ind w:left="425" w:hanging="425"/>
      </w:pPr>
      <w:r>
        <w:rPr>
          <w:b/>
        </w:rPr>
        <w:t>2.</w:t>
        <w:tab/>
      </w:r>
      <w:r>
        <w:t xml:space="preserve">Bereich </w:t>
      </w:r>
      <w:r>
        <w:rPr>
          <w:b/>
        </w:rPr>
        <w:t>Klient</w:t>
      </w:r>
      <w:r>
        <w:t xml:space="preserve">: im Feld </w:t>
      </w:r>
      <w:r>
        <w:rPr>
          <w:b/>
        </w:rPr>
        <w:t>UID-Nr.</w:t>
      </w:r>
      <w:r>
        <w:t xml:space="preserve"> die Umsatzsteuer-Identifikationsnummer eingeben.</w:t>
      </w:r>
    </w:p>
    <w:p>
      <w:pPr>
        <w:tabs>
          <w:tab w:pos="425" w:val="left"/>
        </w:tabs>
        <w:spacing w:after="60"/>
        <w:ind w:left="425" w:hanging="425"/>
      </w:pPr>
      <w:r>
        <w:rPr>
          <w:b/>
        </w:rPr>
        <w:t>3.</w:t>
        <w:tab/>
      </w:r>
      <w:r>
        <w:t xml:space="preserve">Bereich </w:t>
      </w:r>
      <w:r>
        <w:rPr>
          <w:b/>
        </w:rPr>
        <w:t>Aufbewahrungsdauern</w:t>
      </w:r>
      <w:r>
        <w:t>: festlegen, wie lange Prozessbelege nach Abschluss aufbewahrt werden. Danach werden sie archiviert.</w:t>
      </w:r>
    </w:p>
    <w:p>
      <w:pPr>
        <w:tabs>
          <w:tab w:pos="425" w:val="left"/>
        </w:tabs>
        <w:spacing w:after="60"/>
        <w:ind w:left="425" w:hanging="425"/>
      </w:pPr>
      <w:r>
        <w:rPr>
          <w:b/>
        </w:rPr>
        <w:t>4.</w:t>
        <w:tab/>
      </w:r>
      <w:r>
        <w:t xml:space="preserve">Bereich </w:t>
      </w:r>
      <w:r>
        <w:rPr>
          <w:b/>
        </w:rPr>
        <w:t>Zum Löschen empfehlen</w:t>
      </w:r>
      <w:r>
        <w:t>: Zeitraum ohne Wareneingangs- oder Warenausgangsaktivität festlegen, nach dem Partner des Klienten zum Löschen empfohlen werden.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Zeitzone des Klienten</w:t>
            </w:r>
          </w:p>
          <w:p>
            <w:pPr>
              <w:spacing w:after="40"/>
            </w:pPr>
            <w:r>
              <w:rPr>
                <w:sz w:val="19"/>
              </w:rPr>
              <w:t xml:space="preserve">Laut Administratorhandbuch hat die für den Klienten gewählte Zeitzone </w:t>
            </w:r>
            <w:r>
              <w:rPr>
                <w:b/>
                <w:sz w:val="19"/>
              </w:rPr>
              <w:t>keinerlei Auswirkungen</w:t>
            </w:r>
            <w:r>
              <w:rPr>
                <w:sz w:val="19"/>
              </w:rPr>
              <w:t>. Wirksam sind die Zeitzonen von Partner, Lagerstandort, Benutzer und Systempartner.</w:t>
            </w:r>
          </w:p>
        </w:tc>
      </w:tr>
    </w:tbl>
    <w:p>
      <w:pPr>
        <w:spacing w:after="40"/>
      </w:pPr>
    </w:p>
    <w:p>
      <w:pPr>
        <w:pStyle w:val="Quelle"/>
      </w:pPr>
      <w:r>
        <w:rPr>
          <w:b/>
        </w:rPr>
        <w:t xml:space="preserve">Quelle: </w:t>
      </w:r>
      <w:r>
        <w:rPr>
          <w:sz w:val="17"/>
        </w:rPr>
        <w:t>AH 2.7, Kap. 3.6.1.1, S. 100; Kap. 3.2.2, S. 35–36</w:t>
      </w:r>
    </w:p>
    <w:p>
      <w:pPr>
        <w:pStyle w:val="Heading2"/>
      </w:pPr>
      <w:r>
        <w:t>5.3 Weitere Registerkarten in MD017</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445"/>
        <w:gridCol w:w="6080"/>
      </w:tblGrid>
      <w:tr>
        <w:trPr>
          <w:tblHeader w:val="true"/>
        </w:trPr>
        <w:tc>
          <w:tcPr>
            <w:tcW w:type="dxa" w:w="3445"/>
            <w:shd w:val="clear" w:color="auto" w:fill="FEEE19"/>
          </w:tcPr>
          <w:p>
            <w:pPr>
              <w:spacing w:after="0"/>
            </w:pPr>
            <w:r>
              <w:rPr>
                <w:b/>
                <w:sz w:val="17"/>
              </w:rPr>
              <w:t>Registerkarte</w:t>
            </w:r>
          </w:p>
        </w:tc>
        <w:tc>
          <w:tcPr>
            <w:tcW w:type="dxa" w:w="6079"/>
            <w:shd w:val="clear" w:color="auto" w:fill="FEEE19"/>
          </w:tcPr>
          <w:p>
            <w:pPr>
              <w:spacing w:after="0"/>
            </w:pPr>
            <w:r>
              <w:rPr>
                <w:b/>
                <w:sz w:val="17"/>
              </w:rPr>
              <w:t>Zweck (Kurzfassung)</w:t>
            </w:r>
          </w:p>
        </w:tc>
      </w:tr>
      <w:tr>
        <w:tc>
          <w:tcPr>
            <w:tcW w:type="dxa" w:w="3445"/>
          </w:tcPr>
          <w:p>
            <w:pPr>
              <w:spacing w:after="0" w:line="252" w:lineRule="auto"/>
            </w:pPr>
            <w:r>
              <w:rPr>
                <w:b/>
                <w:sz w:val="17"/>
              </w:rPr>
              <w:t>Wareneigentümer</w:t>
            </w:r>
          </w:p>
        </w:tc>
        <w:tc>
          <w:tcPr>
            <w:tcW w:type="dxa" w:w="6079"/>
          </w:tcPr>
          <w:p>
            <w:pPr>
              <w:spacing w:after="0" w:line="252" w:lineRule="auto"/>
            </w:pPr>
            <w:r>
              <w:rPr>
                <w:sz w:val="17"/>
              </w:rPr>
              <w:t xml:space="preserve">Partner zuordnen, mit denen der Klient arbeitet; Checkbox </w:t>
            </w:r>
            <w:r>
              <w:rPr>
                <w:b/>
                <w:sz w:val="17"/>
              </w:rPr>
              <w:t>Standard</w:t>
            </w:r>
          </w:p>
        </w:tc>
      </w:tr>
      <w:tr>
        <w:tc>
          <w:tcPr>
            <w:tcW w:type="dxa" w:w="3445"/>
          </w:tcPr>
          <w:p>
            <w:pPr>
              <w:spacing w:after="0" w:line="252" w:lineRule="auto"/>
            </w:pPr>
            <w:r>
              <w:rPr>
                <w:b/>
                <w:sz w:val="17"/>
              </w:rPr>
              <w:t>Artikeltyp</w:t>
            </w:r>
          </w:p>
        </w:tc>
        <w:tc>
          <w:tcPr>
            <w:tcW w:type="dxa" w:w="6079"/>
          </w:tcPr>
          <w:p>
            <w:pPr>
              <w:spacing w:after="0" w:line="252" w:lineRule="auto"/>
            </w:pPr>
            <w:r>
              <w:rPr>
                <w:sz w:val="17"/>
              </w:rPr>
              <w:t>Leergut, Handelsware, Ladehilfsmittel, Verbrauchsmaterial, Virtueller Artikel</w:t>
            </w:r>
          </w:p>
        </w:tc>
      </w:tr>
      <w:tr>
        <w:tc>
          <w:tcPr>
            <w:tcW w:type="dxa" w:w="3445"/>
          </w:tcPr>
          <w:p>
            <w:pPr>
              <w:spacing w:after="0" w:line="252" w:lineRule="auto"/>
            </w:pPr>
            <w:r>
              <w:rPr>
                <w:b/>
                <w:sz w:val="17"/>
              </w:rPr>
              <w:t>Sortiment</w:t>
            </w:r>
          </w:p>
        </w:tc>
        <w:tc>
          <w:tcPr>
            <w:tcW w:type="dxa" w:w="6079"/>
          </w:tcPr>
          <w:p>
            <w:pPr>
              <w:spacing w:after="0" w:line="252" w:lineRule="auto"/>
            </w:pPr>
            <w:r>
              <w:rPr>
                <w:sz w:val="17"/>
              </w:rPr>
              <w:t>Gruppierung ähnlicher Artikel</w:t>
            </w:r>
          </w:p>
        </w:tc>
      </w:tr>
      <w:tr>
        <w:tc>
          <w:tcPr>
            <w:tcW w:type="dxa" w:w="3445"/>
          </w:tcPr>
          <w:p>
            <w:pPr>
              <w:spacing w:after="0" w:line="252" w:lineRule="auto"/>
            </w:pPr>
            <w:r>
              <w:rPr>
                <w:b/>
                <w:sz w:val="17"/>
              </w:rPr>
              <w:t>Warengruppe</w:t>
            </w:r>
          </w:p>
        </w:tc>
        <w:tc>
          <w:tcPr>
            <w:tcW w:type="dxa" w:w="6079"/>
          </w:tcPr>
          <w:p>
            <w:pPr>
              <w:spacing w:after="0" w:line="252" w:lineRule="auto"/>
            </w:pPr>
            <w:r>
              <w:rPr>
                <w:sz w:val="17"/>
              </w:rPr>
              <w:t>Überwachungsart, GTIN-Prüfung, Gleichwertigkeitsdauer, Lagerreservierungsstrategie</w:t>
            </w:r>
          </w:p>
        </w:tc>
      </w:tr>
      <w:tr>
        <w:tc>
          <w:tcPr>
            <w:tcW w:type="dxa" w:w="3445"/>
          </w:tcPr>
          <w:p>
            <w:pPr>
              <w:spacing w:after="0" w:line="252" w:lineRule="auto"/>
            </w:pPr>
            <w:r>
              <w:rPr>
                <w:b/>
                <w:sz w:val="17"/>
              </w:rPr>
              <w:t>Mengeneinheit</w:t>
            </w:r>
          </w:p>
        </w:tc>
        <w:tc>
          <w:tcPr>
            <w:tcW w:type="dxa" w:w="6079"/>
          </w:tcPr>
          <w:p>
            <w:pPr>
              <w:spacing w:after="0" w:line="252" w:lineRule="auto"/>
            </w:pPr>
            <w:r>
              <w:rPr>
                <w:sz w:val="17"/>
              </w:rPr>
              <w:t>Mengen- und Maßeinheiten des Klienten</w:t>
            </w:r>
          </w:p>
        </w:tc>
      </w:tr>
      <w:tr>
        <w:tc>
          <w:tcPr>
            <w:tcW w:type="dxa" w:w="3445"/>
          </w:tcPr>
          <w:p>
            <w:pPr>
              <w:spacing w:after="0" w:line="252" w:lineRule="auto"/>
            </w:pPr>
            <w:r>
              <w:rPr>
                <w:b/>
                <w:sz w:val="17"/>
              </w:rPr>
              <w:t>Anpassbare BIA</w:t>
            </w:r>
          </w:p>
        </w:tc>
        <w:tc>
          <w:tcPr>
            <w:tcW w:type="dxa" w:w="6079"/>
          </w:tcPr>
          <w:p>
            <w:pPr>
              <w:spacing w:after="0" w:line="252" w:lineRule="auto"/>
            </w:pPr>
            <w:r>
              <w:rPr>
                <w:sz w:val="17"/>
              </w:rPr>
              <w:t>bis zu 20 anpassbare bestandsidentifizierende Attribute</w:t>
            </w:r>
          </w:p>
        </w:tc>
      </w:tr>
      <w:tr>
        <w:tc>
          <w:tcPr>
            <w:tcW w:type="dxa" w:w="3445"/>
          </w:tcPr>
          <w:p>
            <w:pPr>
              <w:spacing w:after="0" w:line="252" w:lineRule="auto"/>
            </w:pPr>
            <w:r>
              <w:rPr>
                <w:b/>
                <w:sz w:val="17"/>
              </w:rPr>
              <w:t>Buchungsschlüssel</w:t>
            </w:r>
          </w:p>
        </w:tc>
        <w:tc>
          <w:tcPr>
            <w:tcW w:type="dxa" w:w="6079"/>
          </w:tcPr>
          <w:p>
            <w:pPr>
              <w:spacing w:after="0" w:line="252" w:lineRule="auto"/>
            </w:pPr>
            <w:r>
              <w:rPr>
                <w:sz w:val="17"/>
              </w:rPr>
              <w:t>Gründe für Bestandskorrekturen, Inventur usw.</w:t>
            </w:r>
          </w:p>
        </w:tc>
      </w:tr>
      <w:tr>
        <w:tc>
          <w:tcPr>
            <w:tcW w:type="dxa" w:w="3445"/>
          </w:tcPr>
          <w:p>
            <w:pPr>
              <w:spacing w:after="0" w:line="252" w:lineRule="auto"/>
            </w:pPr>
            <w:r>
              <w:rPr>
                <w:b/>
                <w:sz w:val="17"/>
              </w:rPr>
              <w:t>Bestandsklassifizierung</w:t>
            </w:r>
          </w:p>
        </w:tc>
        <w:tc>
          <w:tcPr>
            <w:tcW w:type="dxa" w:w="6079"/>
          </w:tcPr>
          <w:p>
            <w:pPr>
              <w:spacing w:after="0" w:line="252" w:lineRule="auto"/>
            </w:pPr>
            <w:r>
              <w:rPr>
                <w:sz w:val="17"/>
              </w:rPr>
              <w:t>z. B. gesperrt, normal, zu prüfen; Standard pro Klient</w:t>
            </w:r>
          </w:p>
        </w:tc>
      </w:tr>
      <w:tr>
        <w:tc>
          <w:tcPr>
            <w:tcW w:type="dxa" w:w="3445"/>
          </w:tcPr>
          <w:p>
            <w:pPr>
              <w:spacing w:after="0" w:line="252" w:lineRule="auto"/>
            </w:pPr>
            <w:r>
              <w:rPr>
                <w:b/>
                <w:sz w:val="17"/>
              </w:rPr>
              <w:t>Kommissionierbedarfstyp</w:t>
            </w:r>
          </w:p>
        </w:tc>
        <w:tc>
          <w:tcPr>
            <w:tcW w:type="dxa" w:w="6079"/>
          </w:tcPr>
          <w:p>
            <w:pPr>
              <w:spacing w:after="0" w:line="252" w:lineRule="auto"/>
            </w:pPr>
            <w:r>
              <w:rPr>
                <w:sz w:val="17"/>
              </w:rPr>
              <w:t>Freigabe-, Aktivierungs-, Abschlussmodus, Lieferschein-/Etikettendruck</w:t>
            </w:r>
          </w:p>
        </w:tc>
      </w:tr>
      <w:tr>
        <w:tc>
          <w:tcPr>
            <w:tcW w:type="dxa" w:w="3445"/>
          </w:tcPr>
          <w:p>
            <w:pPr>
              <w:spacing w:after="0" w:line="252" w:lineRule="auto"/>
            </w:pPr>
            <w:r>
              <w:rPr>
                <w:b/>
                <w:sz w:val="17"/>
              </w:rPr>
              <w:t>Einlagerbedarfstyp</w:t>
            </w:r>
          </w:p>
        </w:tc>
        <w:tc>
          <w:tcPr>
            <w:tcW w:type="dxa" w:w="6079"/>
          </w:tcPr>
          <w:p>
            <w:pPr>
              <w:spacing w:after="0" w:line="252" w:lineRule="auto"/>
            </w:pPr>
            <w:r>
              <w:rPr>
                <w:sz w:val="17"/>
              </w:rPr>
              <w:t>wie oben, plus Einlagerungslieferschein und Reservierungsstrategien</w:t>
            </w:r>
          </w:p>
        </w:tc>
      </w:tr>
      <w:tr>
        <w:tc>
          <w:tcPr>
            <w:tcW w:type="dxa" w:w="3445"/>
          </w:tcPr>
          <w:p>
            <w:pPr>
              <w:spacing w:after="0" w:line="252" w:lineRule="auto"/>
            </w:pPr>
            <w:r>
              <w:rPr>
                <w:b/>
                <w:sz w:val="17"/>
              </w:rPr>
              <w:t>Inventurbedarfstyp</w:t>
            </w:r>
          </w:p>
        </w:tc>
        <w:tc>
          <w:tcPr>
            <w:tcW w:type="dxa" w:w="6079"/>
          </w:tcPr>
          <w:p>
            <w:pPr>
              <w:spacing w:after="0" w:line="252" w:lineRule="auto"/>
            </w:pPr>
            <w:r>
              <w:rPr>
                <w:sz w:val="17"/>
              </w:rPr>
              <w:t>Freigabe-, Aktivierungs-, Abschlussmodus</w:t>
            </w:r>
          </w:p>
        </w:tc>
      </w:tr>
      <w:tr>
        <w:tc>
          <w:tcPr>
            <w:tcW w:type="dxa" w:w="3445"/>
          </w:tcPr>
          <w:p>
            <w:pPr>
              <w:spacing w:after="0" w:line="252" w:lineRule="auto"/>
            </w:pPr>
            <w:r>
              <w:rPr>
                <w:b/>
                <w:sz w:val="17"/>
              </w:rPr>
              <w:t>Tablar-zu-Klient-Einschränkung</w:t>
            </w:r>
          </w:p>
        </w:tc>
        <w:tc>
          <w:tcPr>
            <w:tcW w:type="dxa" w:w="6079"/>
          </w:tcPr>
          <w:p>
            <w:pPr>
              <w:spacing w:after="0" w:line="252" w:lineRule="auto"/>
            </w:pPr>
            <w:r>
              <w:rPr>
                <w:sz w:val="17"/>
              </w:rPr>
              <w:t>Einlagerreservierungen auf bestimmte Tablare beschränken</w:t>
            </w:r>
          </w:p>
        </w:tc>
      </w:tr>
    </w:tbl>
    <w:p>
      <w:pPr>
        <w:pStyle w:val="BeschriftungSSI"/>
      </w:pPr>
      <w:r>
        <w:t>Tab. 7: Registerkarten in MD017</w:t>
      </w:r>
    </w:p>
    <w:p>
      <w:pPr>
        <w:pStyle w:val="Quelle"/>
      </w:pPr>
      <w:r>
        <w:rPr>
          <w:b/>
        </w:rPr>
        <w:t xml:space="preserve">Quelle: </w:t>
      </w:r>
      <w:r>
        <w:rPr>
          <w:sz w:val="17"/>
        </w:rPr>
        <w:t>AH 2.7, Kap. 3.6.1.2 bis 3.6.1.13, S. 100–114</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Partnergruppe</w:t>
            </w:r>
          </w:p>
          <w:p>
            <w:pPr>
              <w:spacing w:after="40"/>
            </w:pPr>
            <w:r>
              <w:rPr>
                <w:b/>
                <w:sz w:val="19"/>
              </w:rPr>
              <w:t>MD018</w:t>
            </w:r>
            <w:r>
              <w:rPr>
                <w:sz w:val="19"/>
              </w:rPr>
              <w:t xml:space="preserve"> verweist auf eine „klientenspezifische Partnergruppe“, die im Dialog </w:t>
            </w:r>
            <w:r>
              <w:rPr>
                <w:b/>
                <w:sz w:val="19"/>
              </w:rPr>
              <w:t>MD017</w:t>
            </w:r>
            <w:r>
              <w:rPr>
                <w:sz w:val="19"/>
              </w:rPr>
              <w:t xml:space="preserve"> angelegt wird. Eine Registerkarte dafür ist in Kap. 3.6.1 nicht beschrieben (2.7 und 2.8).</w:t>
            </w:r>
          </w:p>
        </w:tc>
      </w:tr>
    </w:tbl>
    <w:p>
      <w:pPr>
        <w:spacing w:after="40"/>
      </w:pPr>
    </w:p>
    <w:p>
      <w:pPr>
        <w:pStyle w:val="Heading1"/>
      </w:pPr>
      <w:r>
        <w:t>6 Lieferant, Kunde und Partner anlegen (MD018)</w:t>
      </w:r>
    </w:p>
    <w:p>
      <w:pPr>
        <w:pStyle w:val="Heading2"/>
      </w:pPr>
      <w:r>
        <w:t>6.1 Anlegen</w:t>
      </w:r>
    </w:p>
    <w:p>
      <w:pPr>
        <w:tabs>
          <w:tab w:pos="425" w:val="left"/>
        </w:tabs>
        <w:spacing w:after="60"/>
        <w:ind w:left="425" w:hanging="425"/>
      </w:pPr>
      <w:r>
        <w:rPr>
          <w:b/>
        </w:rPr>
        <w:t>1.</w:t>
        <w:tab/>
      </w:r>
      <w:r>
        <w:t xml:space="preserve">Dialog </w:t>
      </w:r>
      <w:r>
        <w:rPr>
          <w:b/>
        </w:rPr>
        <w:t>MD018 Partner pflegen</w:t>
      </w:r>
      <w:r>
        <w:t xml:space="preserve"> öffnen.</w:t>
      </w:r>
    </w:p>
    <w:p>
      <w:pPr>
        <w:tabs>
          <w:tab w:pos="425" w:val="left"/>
        </w:tabs>
        <w:spacing w:after="60"/>
        <w:ind w:left="425" w:hanging="425"/>
      </w:pPr>
      <w:r>
        <w:rPr>
          <w:b/>
        </w:rPr>
        <w:t>2.</w:t>
        <w:tab/>
      </w:r>
      <w:r>
        <w:t xml:space="preserve">Neuen Partner anlegen: in den Feldern für </w:t>
      </w:r>
      <w:r>
        <w:rPr>
          <w:b/>
        </w:rPr>
        <w:t>Partner</w:t>
      </w:r>
      <w:r>
        <w:t xml:space="preserve"> zuerst den </w:t>
      </w:r>
      <w:r>
        <w:rPr>
          <w:b/>
        </w:rPr>
        <w:t>Klienten</w:t>
      </w:r>
      <w:r>
        <w:t xml:space="preserve"> wählen, dann einen eindeutigen Namen für den Partner eingeben. Der Partner wird angelegt und dem gewählten Klienten zugeordnet.</w:t>
      </w:r>
    </w:p>
    <w:p>
      <w:pPr>
        <w:tabs>
          <w:tab w:pos="425" w:val="left"/>
        </w:tabs>
        <w:spacing w:after="60"/>
        <w:ind w:left="425" w:hanging="425"/>
      </w:pPr>
      <w:r>
        <w:rPr>
          <w:b/>
        </w:rPr>
        <w:t>3.</w:t>
        <w:tab/>
      </w:r>
      <w:r>
        <w:t>Die benötigten Registerkarten bearbeiten (5.2 und 5.3).</w:t>
      </w:r>
    </w:p>
    <w:p>
      <w:pPr>
        <w:tabs>
          <w:tab w:pos="425" w:val="left"/>
        </w:tabs>
        <w:spacing w:after="60"/>
        <w:ind w:left="425" w:hanging="425"/>
      </w:pPr>
      <w:r>
        <w:rPr>
          <w:b/>
        </w:rPr>
        <w:t>4.</w:t>
        <w:tab/>
      </w:r>
      <w:r>
        <w:t xml:space="preserve">Button </w:t>
      </w:r>
      <w:r>
        <w:rPr>
          <w:b/>
        </w:rPr>
        <w:t>Speichern</w:t>
      </w:r>
      <w:r>
        <w:t xml:space="preserve"> klicken.</w:t>
      </w:r>
    </w:p>
    <w:p>
      <w:pPr>
        <w:pStyle w:val="Quelle"/>
      </w:pPr>
      <w:r>
        <w:rPr>
          <w:b/>
        </w:rPr>
        <w:t xml:space="preserve">Quelle: </w:t>
      </w:r>
      <w:r>
        <w:rPr>
          <w:sz w:val="17"/>
        </w:rPr>
        <w:t>AH 2.7, Kap. 3.6.2, S. 114</w:t>
      </w:r>
    </w:p>
    <w:p>
      <w:pPr>
        <w:pStyle w:val="Heading2"/>
      </w:pPr>
      <w:r>
        <w:t>6.2 Registerkarte „Partner“ – Partnerart festlegen</w:t>
      </w:r>
    </w:p>
    <w:p>
      <w:pPr>
        <w:tabs>
          <w:tab w:pos="425" w:val="left"/>
        </w:tabs>
        <w:spacing w:after="60"/>
        <w:ind w:left="425" w:hanging="425"/>
      </w:pPr>
      <w:r>
        <w:rPr>
          <w:b/>
        </w:rPr>
        <w:t>1.</w:t>
        <w:tab/>
      </w:r>
      <w:r>
        <w:t xml:space="preserve">Im Feld </w:t>
      </w:r>
      <w:r>
        <w:rPr>
          <w:b/>
        </w:rPr>
        <w:t>UID-Nr.</w:t>
      </w:r>
      <w:r>
        <w:t xml:space="preserve"> die Umsatzsteuer-Identifikationsnummer eingeben.</w:t>
      </w:r>
    </w:p>
    <w:p>
      <w:pPr>
        <w:tabs>
          <w:tab w:pos="425" w:val="left"/>
        </w:tabs>
        <w:spacing w:after="60"/>
        <w:ind w:left="425" w:hanging="425"/>
      </w:pPr>
      <w:r>
        <w:rPr>
          <w:b/>
        </w:rPr>
        <w:t>2.</w:t>
        <w:tab/>
      </w:r>
      <w:r>
        <w:t>Eine oder mehrere Checkboxen für die Partnerart aktivieren:</w:t>
      </w:r>
    </w:p>
    <w:p>
      <w:pPr>
        <w:pStyle w:val="ListBullet2"/>
      </w:pPr>
      <w:r>
        <w:rPr>
          <w:b/>
        </w:rPr>
        <w:t>Lieferant</w:t>
      </w:r>
      <w:r>
        <w:t xml:space="preserve"> – für einen Lieferanten</w:t>
      </w:r>
    </w:p>
    <w:p>
      <w:pPr>
        <w:pStyle w:val="ListBullet2"/>
      </w:pPr>
      <w:r>
        <w:rPr>
          <w:b/>
        </w:rPr>
        <w:t>Kunde</w:t>
      </w:r>
      <w:r>
        <w:t xml:space="preserve"> – für einen Kunden</w:t>
      </w:r>
    </w:p>
    <w:p>
      <w:pPr>
        <w:pStyle w:val="ListBullet2"/>
      </w:pPr>
      <w:r>
        <w:rPr>
          <w:b/>
        </w:rPr>
        <w:t>Frachtführer</w:t>
      </w:r>
    </w:p>
    <w:p>
      <w:pPr>
        <w:pStyle w:val="ListBullet2"/>
      </w:pPr>
      <w:r>
        <w:rPr>
          <w:b/>
        </w:rPr>
        <w:t>Lagerstandort</w:t>
      </w:r>
      <w:r>
        <w:t xml:space="preserve"> – bei Lagerumlagerung; dann im Feld </w:t>
      </w:r>
      <w:r>
        <w:rPr>
          <w:b/>
        </w:rPr>
        <w:t>Lagerstandort</w:t>
      </w:r>
      <w:r>
        <w:t xml:space="preserve"> den Lagerstandort wählen</w:t>
      </w:r>
    </w:p>
    <w:p>
      <w:pPr>
        <w:tabs>
          <w:tab w:pos="425" w:val="left"/>
        </w:tabs>
        <w:spacing w:after="60"/>
        <w:ind w:left="425" w:hanging="425"/>
      </w:pPr>
      <w:r>
        <w:rPr>
          <w:b/>
        </w:rPr>
        <w:t>3.</w:t>
        <w:tab/>
      </w:r>
      <w:r>
        <w:t xml:space="preserve">Falls in </w:t>
      </w:r>
      <w:r>
        <w:rPr>
          <w:b/>
        </w:rPr>
        <w:t>MD017</w:t>
      </w:r>
      <w:r>
        <w:t xml:space="preserve"> eine klientenspezifische Partnergruppe existiert: Partner im Feld </w:t>
      </w:r>
      <w:r>
        <w:rPr>
          <w:b/>
        </w:rPr>
        <w:t>Partnergruppe</w:t>
      </w:r>
      <w:r>
        <w:t xml:space="preserve"> zuordnen.</w:t>
      </w:r>
    </w:p>
    <w:p>
      <w:pPr>
        <w:tabs>
          <w:tab w:pos="425" w:val="left"/>
        </w:tabs>
        <w:spacing w:after="60"/>
        <w:ind w:left="425" w:hanging="425"/>
      </w:pPr>
      <w:r>
        <w:rPr>
          <w:b/>
        </w:rPr>
        <w:t>4.</w:t>
        <w:tab/>
      </w:r>
      <w:r>
        <w:t xml:space="preserve">Feld </w:t>
      </w:r>
      <w:r>
        <w:rPr>
          <w:b/>
        </w:rPr>
        <w:t>In Löschvorschlagsüberprüfung inkludieren</w:t>
      </w:r>
      <w:r>
        <w:t xml:space="preserve">: bei </w:t>
      </w:r>
      <w:r>
        <w:rPr>
          <w:b/>
        </w:rPr>
        <w:t>Ja</w:t>
      </w:r>
      <w:r>
        <w:t xml:space="preserve"> wird der Partner nach den Kriterien aus </w:t>
      </w:r>
      <w:r>
        <w:rPr>
          <w:b/>
        </w:rPr>
        <w:t>MD017</w:t>
      </w:r>
      <w:r>
        <w:t xml:space="preserve"> zum Löschen empfohlen (Checkbox </w:t>
      </w:r>
      <w:r>
        <w:rPr>
          <w:b/>
        </w:rPr>
        <w:t>Zum Löschen empfohlen</w:t>
      </w:r>
      <w:r>
        <w:t xml:space="preserve"> ist dann gesetzt und nicht änderbar).</w:t>
      </w:r>
    </w:p>
    <w:p>
      <w:pPr>
        <w:tabs>
          <w:tab w:pos="425" w:val="left"/>
        </w:tabs>
        <w:spacing w:after="60"/>
        <w:ind w:left="425" w:hanging="425"/>
      </w:pPr>
      <w:r>
        <w:rPr>
          <w:b/>
        </w:rPr>
        <w:t>5.</w:t>
        <w:tab/>
      </w:r>
      <w:r>
        <w:t xml:space="preserve">Feld </w:t>
      </w:r>
      <w:r>
        <w:rPr>
          <w:b/>
        </w:rPr>
        <w:t>Ladehilfsmittelkonto</w:t>
      </w:r>
      <w:r>
        <w:t xml:space="preserve">: ggf. Konto aus </w:t>
      </w:r>
      <w:r>
        <w:rPr>
          <w:b/>
        </w:rPr>
        <w:t>MD092 Ladehilfsmittelkonto pflegen</w:t>
      </w:r>
      <w:r>
        <w:t xml:space="preserve"> zuordnen.</w:t>
      </w:r>
    </w:p>
    <w:p>
      <w:pPr>
        <w:tabs>
          <w:tab w:pos="425" w:val="left"/>
        </w:tabs>
        <w:spacing w:after="60"/>
        <w:ind w:left="425" w:hanging="425"/>
      </w:pPr>
      <w:r>
        <w:rPr>
          <w:b/>
        </w:rPr>
        <w:t>6.</w:t>
        <w:tab/>
      </w:r>
      <w:r>
        <w:t xml:space="preserve">Feld </w:t>
      </w:r>
      <w:r>
        <w:rPr>
          <w:b/>
        </w:rPr>
        <w:t>Stammdatenstatus</w:t>
      </w:r>
      <w:r>
        <w:t xml:space="preserve">: </w:t>
      </w:r>
      <w:r>
        <w:rPr>
          <w:b/>
        </w:rPr>
        <w:t>Normal</w:t>
      </w:r>
      <w:r>
        <w:t xml:space="preserve">, </w:t>
      </w:r>
      <w:r>
        <w:rPr>
          <w:b/>
        </w:rPr>
        <w:t>Auslaufend</w:t>
      </w:r>
      <w:r>
        <w:t xml:space="preserve"> (Warnung bei Verwendung), </w:t>
      </w:r>
      <w:r>
        <w:rPr>
          <w:b/>
        </w:rPr>
        <w:t>Gesperrt</w:t>
      </w:r>
      <w:r>
        <w:t xml:space="preserve"> (nicht verwendbar) oder </w:t>
      </w:r>
      <w:r>
        <w:rPr>
          <w:b/>
        </w:rPr>
        <w:t>Unvollständig</w:t>
      </w:r>
      <w:r>
        <w:t xml:space="preserve"> (muss vervollständigt werden).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Ein Partner, mehrere Rollen</w:t>
            </w:r>
          </w:p>
          <w:p>
            <w:pPr>
              <w:spacing w:after="40"/>
            </w:pPr>
            <w:r>
              <w:rPr>
                <w:sz w:val="19"/>
              </w:rPr>
              <w:t>Ein Partner kann gleichzeitig Lieferant und Kunde sein. Dafür beide Checkboxen aktivieren. Ein zweiter Partner ist laut Handbuch nicht nötig.</w:t>
            </w:r>
          </w:p>
        </w:tc>
      </w:tr>
    </w:tbl>
    <w:p>
      <w:pPr>
        <w:spacing w:after="40"/>
      </w:pPr>
    </w:p>
    <w:p>
      <w:pPr>
        <w:pStyle w:val="Quelle"/>
      </w:pPr>
      <w:r>
        <w:rPr>
          <w:b/>
        </w:rPr>
        <w:t xml:space="preserve">Quelle: </w:t>
      </w:r>
      <w:r>
        <w:rPr>
          <w:sz w:val="17"/>
        </w:rPr>
        <w:t>AH 2.7, Kap. 3.6.2.1, S. 114–115; AH 2.8, Kap. 3.6.2.1 (gleich)</w:t>
      </w:r>
    </w:p>
    <w:p>
      <w:pPr>
        <w:pStyle w:val="Heading2"/>
      </w:pPr>
      <w:r>
        <w:t>6.3 Registerkarte „Adresse“</w:t>
      </w:r>
    </w:p>
    <w:p>
      <w:pPr>
        <w:tabs>
          <w:tab w:pos="425" w:val="left"/>
        </w:tabs>
        <w:spacing w:after="60"/>
        <w:ind w:left="425" w:hanging="425"/>
      </w:pPr>
      <w:r>
        <w:rPr>
          <w:b/>
        </w:rPr>
        <w:t>1.</w:t>
        <w:tab/>
      </w:r>
      <w:r>
        <w:t xml:space="preserve">Im Feld </w:t>
      </w:r>
      <w:r>
        <w:rPr>
          <w:b/>
        </w:rPr>
        <w:t>Art der Adresse</w:t>
      </w:r>
      <w:r>
        <w:t xml:space="preserve"> ggf. verschiedene Adressen einstellen:</w:t>
      </w:r>
    </w:p>
    <w:p>
      <w:pPr>
        <w:pStyle w:val="ListBullet2"/>
      </w:pPr>
      <w:r>
        <w:rPr>
          <w:b/>
        </w:rPr>
        <w:t>Partner</w:t>
      </w:r>
      <w:r>
        <w:t>: Hauptadresse des Partners</w:t>
      </w:r>
    </w:p>
    <w:p>
      <w:pPr>
        <w:pStyle w:val="ListBullet2"/>
      </w:pPr>
      <w:r>
        <w:rPr>
          <w:b/>
        </w:rPr>
        <w:t>Lieferung</w:t>
      </w:r>
      <w:r>
        <w:t>: Lieferadresse</w:t>
      </w:r>
    </w:p>
    <w:p>
      <w:pPr>
        <w:pStyle w:val="ListBullet2"/>
      </w:pPr>
      <w:r>
        <w:rPr>
          <w:b/>
        </w:rPr>
        <w:t>Rechnung</w:t>
      </w:r>
      <w:r>
        <w:t>: Rechnungsadresse</w:t>
      </w:r>
    </w:p>
    <w:p>
      <w:pPr>
        <w:tabs>
          <w:tab w:pos="425" w:val="left"/>
        </w:tabs>
        <w:spacing w:after="60"/>
        <w:ind w:left="425" w:hanging="425"/>
      </w:pPr>
      <w:r>
        <w:rPr>
          <w:b/>
        </w:rPr>
        <w:t>2.</w:t>
        <w:tab/>
      </w:r>
      <w:r>
        <w:t>In den Adressfeldern die Adressdaten eingeben.</w:t>
      </w:r>
    </w:p>
    <w:p>
      <w:pPr>
        <w:tabs>
          <w:tab w:pos="425" w:val="left"/>
        </w:tabs>
        <w:spacing w:after="60"/>
        <w:ind w:left="425" w:hanging="425"/>
      </w:pPr>
      <w:r>
        <w:rPr>
          <w:b/>
        </w:rPr>
        <w:t>3.</w:t>
        <w:tab/>
      </w:r>
      <w:r>
        <w:t xml:space="preserve">Im Feld </w:t>
      </w:r>
      <w:r>
        <w:rPr>
          <w:b/>
        </w:rPr>
        <w:t>Zeitzone</w:t>
      </w:r>
      <w:r>
        <w:t xml:space="preserve"> die Zeitzone des Gebiets wählen, in dem sich der Partner befindet.</w:t>
      </w:r>
    </w:p>
    <w:p>
      <w:pPr>
        <w:pStyle w:val="Quelle"/>
      </w:pPr>
      <w:r>
        <w:rPr>
          <w:b/>
        </w:rPr>
        <w:t xml:space="preserve">Quelle: </w:t>
      </w:r>
      <w:r>
        <w:rPr>
          <w:sz w:val="17"/>
        </w:rPr>
        <w:t>AH 2.7, Kap. 3.6.2.2, S. 115; AH 2.8, Kap. 3.6.2.2 (gleich)</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Adressfelder und Hauptsystempartner in MD018</w:t>
            </w:r>
          </w:p>
          <w:p>
            <w:pPr>
              <w:spacing w:after="40"/>
            </w:pPr>
            <w:r>
              <w:rPr>
                <w:sz w:val="19"/>
              </w:rPr>
              <w:t xml:space="preserve">Die einzelnen Adressfelder der Registerkarte </w:t>
            </w:r>
            <w:r>
              <w:rPr>
                <w:b/>
                <w:sz w:val="19"/>
              </w:rPr>
              <w:t>Adresse</w:t>
            </w:r>
            <w:r>
              <w:rPr>
                <w:sz w:val="19"/>
              </w:rPr>
              <w:t xml:space="preserve"> sind nicht aufgelistet. Ebenso fehlt die Beschreibung, wo in </w:t>
            </w:r>
            <w:r>
              <w:rPr>
                <w:b/>
                <w:sz w:val="19"/>
              </w:rPr>
              <w:t>MD018</w:t>
            </w:r>
            <w:r>
              <w:rPr>
                <w:sz w:val="19"/>
              </w:rPr>
              <w:t xml:space="preserve"> der laut Kap. 3.6.2 erforderliche </w:t>
            </w:r>
            <w:r>
              <w:rPr>
                <w:b/>
                <w:sz w:val="19"/>
              </w:rPr>
              <w:t>Hauptsystempartner</w:t>
            </w:r>
            <w:r>
              <w:rPr>
                <w:sz w:val="19"/>
              </w:rPr>
              <w:t xml:space="preserve"> gesetzt wird. Eine Registerkarte </w:t>
            </w:r>
            <w:r>
              <w:rPr>
                <w:b/>
                <w:sz w:val="19"/>
              </w:rPr>
              <w:t>Warenausgang</w:t>
            </w:r>
            <w:r>
              <w:rPr>
                <w:sz w:val="19"/>
              </w:rPr>
              <w:t xml:space="preserve"> (Feld </w:t>
            </w:r>
            <w:r>
              <w:rPr>
                <w:b/>
                <w:sz w:val="19"/>
              </w:rPr>
              <w:t>Gleichwertigkeitsdauerstrategie</w:t>
            </w:r>
            <w:r>
              <w:rPr>
                <w:sz w:val="19"/>
              </w:rPr>
              <w:t>) wird in Kap. 3.6.3 erwähnt, ist in Kap. 3.6.2 aber nicht beschrieben.</w:t>
            </w:r>
          </w:p>
        </w:tc>
      </w:tr>
    </w:tbl>
    <w:p>
      <w:pPr>
        <w:spacing w:after="40"/>
      </w:pPr>
    </w:p>
    <w:p>
      <w:pPr>
        <w:pStyle w:val="Heading2"/>
      </w:pPr>
      <w:r>
        <w:t>6.4 Partner als Wareneigentümer zuordnen</w:t>
      </w:r>
    </w:p>
    <w:p>
      <w:pPr>
        <w:tabs>
          <w:tab w:pos="425" w:val="left"/>
        </w:tabs>
        <w:spacing w:after="60"/>
        <w:ind w:left="425" w:hanging="425"/>
      </w:pPr>
      <w:r>
        <w:rPr>
          <w:b/>
        </w:rPr>
        <w:t>1.</w:t>
        <w:tab/>
      </w:r>
      <w:r>
        <w:rPr>
          <w:b/>
        </w:rPr>
        <w:t>MD017 Klient pflegen</w:t>
      </w:r>
      <w:r>
        <w:t xml:space="preserve"> öffnen und den Klienten wählen.</w:t>
      </w:r>
    </w:p>
    <w:p>
      <w:pPr>
        <w:tabs>
          <w:tab w:pos="425" w:val="left"/>
        </w:tabs>
        <w:spacing w:after="60"/>
        <w:ind w:left="425" w:hanging="425"/>
      </w:pPr>
      <w:r>
        <w:rPr>
          <w:b/>
        </w:rPr>
        <w:t>2.</w:t>
        <w:tab/>
      </w:r>
      <w:r>
        <w:t xml:space="preserve">Registerkarte </w:t>
      </w:r>
      <w:r>
        <w:rPr>
          <w:b/>
        </w:rPr>
        <w:t>Wareneigentümer</w:t>
      </w:r>
      <w:r>
        <w:t xml:space="preserve">: im Bereich </w:t>
      </w:r>
      <w:r>
        <w:rPr>
          <w:b/>
        </w:rPr>
        <w:t>Wareneigentümer</w:t>
      </w:r>
      <w:r>
        <w:t xml:space="preserve"> auf </w:t>
      </w:r>
      <w:r>
        <w:rPr>
          <w:b/>
        </w:rPr>
        <w:t>Datensatz anlegen</w:t>
      </w:r>
      <w:r>
        <w:t xml:space="preserve"> klicken.</w:t>
      </w:r>
    </w:p>
    <w:p>
      <w:pPr>
        <w:tabs>
          <w:tab w:pos="425" w:val="left"/>
        </w:tabs>
        <w:spacing w:after="60"/>
        <w:ind w:left="425" w:hanging="425"/>
      </w:pPr>
      <w:r>
        <w:rPr>
          <w:b/>
        </w:rPr>
        <w:t>3.</w:t>
        <w:tab/>
      </w:r>
      <w:r>
        <w:t xml:space="preserve">Im Feld </w:t>
      </w:r>
      <w:r>
        <w:rPr>
          <w:b/>
        </w:rPr>
        <w:t>Partner</w:t>
      </w:r>
      <w:r>
        <w:t xml:space="preserve"> den Wareneigentümer wählen.</w:t>
      </w:r>
    </w:p>
    <w:p>
      <w:pPr>
        <w:tabs>
          <w:tab w:pos="425" w:val="left"/>
        </w:tabs>
        <w:spacing w:after="60"/>
        <w:ind w:left="425" w:hanging="425"/>
      </w:pPr>
      <w:r>
        <w:rPr>
          <w:b/>
        </w:rPr>
        <w:t>4.</w:t>
        <w:tab/>
      </w:r>
      <w:r>
        <w:t xml:space="preserve">Optional die Checkbox </w:t>
      </w:r>
      <w:r>
        <w:rPr>
          <w:b/>
        </w:rPr>
        <w:t>Standard</w:t>
      </w:r>
      <w:r>
        <w:t xml:space="preserve"> für den Standardwareneigentümer aktivieren und speichern.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Reihenfolge</w:t>
            </w:r>
          </w:p>
          <w:p>
            <w:pPr>
              <w:spacing w:after="40"/>
            </w:pPr>
            <w:r>
              <w:rPr>
                <w:sz w:val="19"/>
              </w:rPr>
              <w:t xml:space="preserve">Partner sind in dieser Registerkarte erst wählbar, wenn sie vorher in </w:t>
            </w:r>
            <w:r>
              <w:rPr>
                <w:b/>
                <w:sz w:val="19"/>
              </w:rPr>
              <w:t>MD018</w:t>
            </w:r>
            <w:r>
              <w:rPr>
                <w:sz w:val="19"/>
              </w:rPr>
              <w:t xml:space="preserve"> angelegt und dem Klienten zugeordnet wurden.</w:t>
            </w:r>
          </w:p>
        </w:tc>
      </w:tr>
    </w:tbl>
    <w:p>
      <w:pPr>
        <w:spacing w:after="40"/>
      </w:pPr>
    </w:p>
    <w:p>
      <w:pPr>
        <w:pStyle w:val="Quelle"/>
      </w:pPr>
      <w:r>
        <w:rPr>
          <w:b/>
        </w:rPr>
        <w:t xml:space="preserve">Quelle: </w:t>
      </w:r>
      <w:r>
        <w:rPr>
          <w:sz w:val="17"/>
        </w:rPr>
        <w:t>AH 2.7, Kap. 3.6.1.2, S. 100–101</w:t>
      </w:r>
    </w:p>
    <w:p>
      <w:pPr>
        <w:pStyle w:val="Heading1"/>
      </w:pPr>
      <w:r>
        <w:t>7 Was ein neuer Klient zusätzlich braucht</w:t>
      </w:r>
    </w:p>
    <w:p>
      <w:pPr>
        <w:pStyle w:val="Heading2"/>
      </w:pPr>
      <w:r>
        <w:t>7.1 Klientenspezifische Stammdaten</w:t>
      </w:r>
    </w:p>
    <w:p>
      <w:r>
        <w:t xml:space="preserve">Damit Artikel und Bedarfe für den neuen Klienten angelegt werden können, werden in </w:t>
      </w:r>
      <w:r>
        <w:rPr>
          <w:b/>
        </w:rPr>
        <w:t>MD017</w:t>
      </w:r>
      <w:r>
        <w:t xml:space="preserve"> die klientenspezifischen Daten gepflegt (Tab. 7). Dokumentierte Abhängigkeiten:</w:t>
      </w:r>
    </w:p>
    <w:p>
      <w:pPr>
        <w:pStyle w:val="ListBullet"/>
      </w:pPr>
      <w:r>
        <w:t>Jeder Artikel (</w:t>
      </w:r>
      <w:r>
        <w:rPr>
          <w:b/>
        </w:rPr>
        <w:t>MD002</w:t>
      </w:r>
      <w:r>
        <w:t xml:space="preserve">) braucht Klient, Artikelnummer, Variante, eine </w:t>
      </w:r>
      <w:r>
        <w:rPr>
          <w:b/>
        </w:rPr>
        <w:t>Basismengeneinheit</w:t>
      </w:r>
      <w:r>
        <w:t xml:space="preserve">, eine Standardverpackungsversion, einen </w:t>
      </w:r>
      <w:r>
        <w:rPr>
          <w:b/>
        </w:rPr>
        <w:t>Artikeltyp</w:t>
      </w:r>
      <w:r>
        <w:t xml:space="preserve"> und einen </w:t>
      </w:r>
      <w:r>
        <w:rPr>
          <w:b/>
        </w:rPr>
        <w:t>Hauptsystempartner</w:t>
      </w:r>
      <w:r>
        <w:t xml:space="preserve">. Mengeneinheiten und Artikeltypen kommen aus </w:t>
      </w:r>
      <w:r>
        <w:rPr>
          <w:b/>
        </w:rPr>
        <w:t>MD017</w:t>
      </w:r>
      <w:r>
        <w:t>.</w:t>
      </w:r>
    </w:p>
    <w:p>
      <w:pPr>
        <w:pStyle w:val="ListBullet"/>
      </w:pPr>
      <w:r>
        <w:t xml:space="preserve">Bedarfe brauchen einen </w:t>
      </w:r>
      <w:r>
        <w:rPr>
          <w:b/>
        </w:rPr>
        <w:t>Bedarfstyp</w:t>
      </w:r>
      <w:r>
        <w:t xml:space="preserve"> (Kommissionier-, Einlager-, Inventurbedarfstyp), der in </w:t>
      </w:r>
      <w:r>
        <w:rPr>
          <w:b/>
        </w:rPr>
        <w:t>MD017</w:t>
      </w:r>
      <w:r>
        <w:t xml:space="preserve"> pro Klient gepflegt wird.</w:t>
      </w:r>
    </w:p>
    <w:p>
      <w:pPr>
        <w:pStyle w:val="ListBullet"/>
      </w:pPr>
      <w:r>
        <w:t xml:space="preserve">In den Bedarfszeilen werden </w:t>
      </w:r>
      <w:r>
        <w:rPr>
          <w:b/>
        </w:rPr>
        <w:t>Bestandsklassifizierung</w:t>
      </w:r>
      <w:r>
        <w:t xml:space="preserve"> und </w:t>
      </w:r>
      <w:r>
        <w:rPr>
          <w:b/>
        </w:rPr>
        <w:t>Wareneigentümer</w:t>
      </w:r>
      <w:r>
        <w:t xml:space="preserve"> angegeben.</w:t>
      </w:r>
    </w:p>
    <w:p>
      <w:pPr>
        <w:pStyle w:val="ListBullet"/>
      </w:pPr>
      <w:r>
        <w:t>Buchungsschlüssel für Inventur und Bestandskorrektur sind ebenfalls pro Klient.</w:t>
      </w:r>
    </w:p>
    <w:p>
      <w:pPr>
        <w:pStyle w:val="Quelle"/>
      </w:pPr>
      <w:r>
        <w:rPr>
          <w:b/>
        </w:rPr>
        <w:t xml:space="preserve">Quelle: </w:t>
      </w:r>
      <w:r>
        <w:rPr>
          <w:sz w:val="17"/>
        </w:rPr>
        <w:t>AH 2.7, Kap. 3.6.1, 3.6.3; BH 2.7, Kap. 5.1.1, 6.2.1.1.2, 6.2.2.1.2</w:t>
      </w:r>
    </w:p>
    <w:p>
      <w:pPr>
        <w:pStyle w:val="Heading2"/>
      </w:pPr>
      <w:r>
        <w:t>7.2 Systempartner und Schnittstelle</w:t>
      </w:r>
    </w:p>
    <w:p>
      <w:pPr>
        <w:pStyle w:val="ListBullet"/>
      </w:pPr>
      <w:r>
        <w:t xml:space="preserve">Der Systempartner wird in </w:t>
      </w:r>
      <w:r>
        <w:rPr>
          <w:b/>
        </w:rPr>
        <w:t>MD021</w:t>
      </w:r>
      <w:r>
        <w:t xml:space="preserve"> gepflegt. Wichtig für Adressen und Termine: das Feld </w:t>
      </w:r>
      <w:r>
        <w:rPr>
          <w:b/>
        </w:rPr>
        <w:t>Zeitzone</w:t>
      </w:r>
      <w:r>
        <w:t>, damit WAMAS die vom Systempartner gesendeten Zeiten in UTC umrechnen kann.</w:t>
      </w:r>
    </w:p>
    <w:p>
      <w:pPr>
        <w:pStyle w:val="ListBullet"/>
      </w:pPr>
      <w:r>
        <w:t xml:space="preserve">In der Schulung ist </w:t>
      </w:r>
      <w:r>
        <w:rPr>
          <w:b/>
        </w:rPr>
        <w:t>HOST</w:t>
      </w:r>
      <w:r>
        <w:t xml:space="preserve"> als vorkonfigurierter Systempartner genannt.</w:t>
      </w:r>
    </w:p>
    <w:p>
      <w:pPr>
        <w:pStyle w:val="ListBullet"/>
      </w:pPr>
      <w:r>
        <w:t>Ein eigener Systempartner pro Klient ist in den Handbüchern nicht gefordert.</w:t>
      </w:r>
    </w:p>
    <w:p>
      <w:pPr>
        <w:pStyle w:val="ListBullet"/>
      </w:pPr>
      <w:r>
        <w:t xml:space="preserve">In </w:t>
      </w:r>
      <w:r>
        <w:rPr>
          <w:b/>
        </w:rPr>
        <w:t>MD096 Systempartnerschnittstelle pflegen (WAMAS als WMS zu ERP)</w:t>
      </w:r>
      <w:r>
        <w:t xml:space="preserve"> kann der Versand von Quittierungen auf bestimmte Klienten, Lieferanten usw. gefiltert werden. Mit </w:t>
      </w:r>
      <w:r>
        <w:rPr>
          <w:b/>
        </w:rPr>
        <w:t>Partner inkludieren</w:t>
      </w:r>
      <w:r>
        <w:t xml:space="preserve"> enthält die WE-Auftragsquittierung Partnerinformationen. Dieser Dialog betrifft den Betrieb als WMS zum ERP.</w:t>
      </w:r>
    </w:p>
    <w:p>
      <w:pPr>
        <w:pStyle w:val="Quelle"/>
      </w:pPr>
      <w:r>
        <w:rPr>
          <w:b/>
        </w:rPr>
        <w:t xml:space="preserve">Quelle: </w:t>
      </w:r>
      <w:r>
        <w:rPr>
          <w:sz w:val="17"/>
        </w:rPr>
        <w:t>AH 2.7, Kap. 3.2.2, 3.5.1.1, 3.5.2.2; Schulung „Consultant Training Part 1“, Folie „Configure Systempartner (1)“</w:t>
      </w:r>
    </w:p>
    <w:p>
      <w:pPr>
        <w:pStyle w:val="Heading2"/>
      </w:pPr>
      <w:r>
        <w:t>7.3 Benutzer und Rechte</w:t>
      </w:r>
    </w:p>
    <w:p>
      <w:pPr>
        <w:pStyle w:val="ListBullet"/>
      </w:pPr>
      <w:r>
        <w:rPr>
          <w:b/>
        </w:rPr>
        <w:t>UM002 Benutzer und Logins pflegen</w:t>
      </w:r>
      <w:r>
        <w:t xml:space="preserve">: Einem Login kann ein </w:t>
      </w:r>
      <w:r>
        <w:rPr>
          <w:b/>
        </w:rPr>
        <w:t>Datenzugriffsprofil</w:t>
      </w:r>
      <w:r>
        <w:t xml:space="preserve"> zugeordnet werden. Es legt fest, auf welche Datensätze ein Benutzer zugreifen kann. Für Super-User gelten keine Datenzugriffsprofile.</w:t>
      </w:r>
    </w:p>
    <w:p>
      <w:pPr>
        <w:pStyle w:val="ListBullet"/>
      </w:pPr>
      <w:r>
        <w:rPr>
          <w:b/>
        </w:rPr>
        <w:t>Benutzereinstellungen</w:t>
      </w:r>
      <w:r>
        <w:t xml:space="preserve"> (Icon </w:t>
      </w:r>
      <w:r>
        <w:rPr>
          <w:b/>
        </w:rPr>
        <w:t>Benutzereinstellungen anzeigen</w:t>
      </w:r>
      <w:r>
        <w:t>): Jeder Benutzer kann einen Standard-</w:t>
      </w:r>
      <w:r>
        <w:rPr>
          <w:b/>
        </w:rPr>
        <w:t>Klienten</w:t>
      </w:r>
      <w:r>
        <w:t xml:space="preserve"> und -</w:t>
      </w:r>
      <w:r>
        <w:rPr>
          <w:b/>
        </w:rPr>
        <w:t>Lagerstandort</w:t>
      </w:r>
      <w:r>
        <w:t xml:space="preserve"> wählen und mit </w:t>
      </w:r>
      <w:r>
        <w:rPr>
          <w:b/>
        </w:rPr>
        <w:t>Als Standard speichern</w:t>
      </w:r>
      <w:r>
        <w:t xml:space="preserve"> am Login hinterlegen. Diese Voreinstellung übersteuert die allgemeinen Einstellungen.</w:t>
      </w:r>
    </w:p>
    <w:p>
      <w:pPr>
        <w:pStyle w:val="Quelle"/>
      </w:pPr>
      <w:r>
        <w:rPr>
          <w:b/>
        </w:rPr>
        <w:t xml:space="preserve">Quelle: </w:t>
      </w:r>
      <w:r>
        <w:rPr>
          <w:sz w:val="17"/>
        </w:rPr>
        <w:t>AH 2.7, Kap. 3.3.2.2, S. 45–46; BH 2.7, Kap. 3.2.3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Rechte pro Klient</w:t>
            </w:r>
          </w:p>
          <w:p>
            <w:pPr>
              <w:spacing w:after="40"/>
            </w:pPr>
            <w:r>
              <w:rPr>
                <w:sz w:val="19"/>
              </w:rPr>
              <w:t xml:space="preserve">Ob und wie ein Datenzugriffsprofil auf einen Klienten eingeschränkt wird, ist nicht beschrieben. Es fehlt auch, welche Rolle bzw. welches Applikations-Zugriffs-Profil </w:t>
            </w:r>
            <w:r>
              <w:rPr>
                <w:b/>
                <w:sz w:val="19"/>
              </w:rPr>
              <w:t>MD017</w:t>
            </w:r>
            <w:r>
              <w:rPr>
                <w:sz w:val="19"/>
              </w:rPr>
              <w:t>/</w:t>
            </w:r>
            <w:r>
              <w:rPr>
                <w:b/>
                <w:sz w:val="19"/>
              </w:rPr>
              <w:t>MD018</w:t>
            </w:r>
            <w:r>
              <w:rPr>
                <w:sz w:val="19"/>
              </w:rPr>
              <w:t xml:space="preserve"> freigibt.</w:t>
            </w:r>
          </w:p>
        </w:tc>
      </w:tr>
    </w:tbl>
    <w:p>
      <w:pPr>
        <w:spacing w:after="40"/>
      </w:pPr>
    </w:p>
    <w:p>
      <w:pPr>
        <w:pStyle w:val="Heading2"/>
      </w:pPr>
      <w:r>
        <w:t>7.4 Lager- und Tablarzuordnung</w:t>
      </w:r>
    </w:p>
    <w:p>
      <w:r>
        <w:t xml:space="preserve">Über die Registerkarte </w:t>
      </w:r>
      <w:r>
        <w:rPr>
          <w:b/>
        </w:rPr>
        <w:t>Tablar-zu-Klient-Einschränkung</w:t>
      </w:r>
      <w:r>
        <w:t xml:space="preserve"> in </w:t>
      </w:r>
      <w:r>
        <w:rPr>
          <w:b/>
        </w:rPr>
        <w:t>MD017</w:t>
      </w:r>
      <w:r>
        <w:t xml:space="preserve"> können Einlagerbedarfsreservierungen auf bestimmte Tablare beschränkt werden. Sind für einen Klienten Tablare gepflegt, wird nur auf diese reserviert. Ist für einen Klienten kein Tablar gepflegt, werden nur Tablare berücksichtigt, die nicht für andere Klienten gepflegt sind.</w:t>
      </w:r>
    </w:p>
    <w:p>
      <w:pPr>
        <w:pStyle w:val="Quelle"/>
      </w:pPr>
      <w:r>
        <w:rPr>
          <w:b/>
        </w:rPr>
        <w:t xml:space="preserve">Quelle: </w:t>
      </w:r>
      <w:r>
        <w:rPr>
          <w:sz w:val="17"/>
        </w:rPr>
        <w:t>AH 2.7, Kap. 3.6.1.13, S. 114</w:t>
      </w:r>
    </w:p>
    <w:p>
      <w:pPr>
        <w:pStyle w:val="Heading2"/>
      </w:pPr>
      <w:r>
        <w:t>7.5 Dokumente pro Klient oder Partner</w:t>
      </w:r>
    </w:p>
    <w:p>
      <w:r>
        <w:t xml:space="preserve">Im Dialog </w:t>
      </w:r>
      <w:r>
        <w:rPr>
          <w:b/>
        </w:rPr>
        <w:t>RM010 Dokumenttypkonfiguration-Zuordnung pflegen</w:t>
      </w:r>
      <w:r>
        <w:t xml:space="preserve"> lässt sich festlegen, welche Dokumentkonfiguration für einen bestimmten </w:t>
      </w:r>
      <w:r>
        <w:rPr>
          <w:b/>
        </w:rPr>
        <w:t>Klienten</w:t>
      </w:r>
      <w:r>
        <w:t xml:space="preserve">, </w:t>
      </w:r>
      <w:r>
        <w:rPr>
          <w:b/>
        </w:rPr>
        <w:t>Lagerstandort</w:t>
      </w:r>
      <w:r>
        <w:t xml:space="preserve">, </w:t>
      </w:r>
      <w:r>
        <w:rPr>
          <w:b/>
        </w:rPr>
        <w:t>Partner</w:t>
      </w:r>
      <w:r>
        <w:t xml:space="preserve"> (nur zusammen mit dem Klienten) oder eine </w:t>
      </w:r>
      <w:r>
        <w:rPr>
          <w:b/>
        </w:rPr>
        <w:t>Partnergruppe</w:t>
      </w:r>
      <w:r>
        <w:t xml:space="preserve"> verwendet wird. Beispiel aus dem Handbuch: unterschiedliche Versandetiketten pro Klient. Bestehende Zuordnungen im Data Stage dürfen nicht bearbeitet oder gelöscht werden. Bei Bedarf ist eine neue Zuordnung anzulegen.</w:t>
      </w:r>
    </w:p>
    <w:p>
      <w:pPr>
        <w:pStyle w:val="Quelle"/>
      </w:pPr>
      <w:r>
        <w:rPr>
          <w:b/>
        </w:rPr>
        <w:t xml:space="preserve">Quelle: </w:t>
      </w:r>
      <w:r>
        <w:rPr>
          <w:sz w:val="17"/>
        </w:rPr>
        <w:t>AH 2.7, Kap. 3.7.2.5, S. 148–149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Systemparameter</w:t>
            </w:r>
          </w:p>
          <w:p>
            <w:pPr>
              <w:spacing w:after="40"/>
            </w:pPr>
            <w:r>
              <w:rPr>
                <w:sz w:val="19"/>
              </w:rPr>
              <w:t xml:space="preserve">Systemparameter, die beim Anlegen eines neuen Klienten zusätzlich zu setzen sind, sind in den Handbüchern nicht beschrieben. Auf der Registerkarte </w:t>
            </w:r>
            <w:r>
              <w:rPr>
                <w:b/>
                <w:sz w:val="19"/>
              </w:rPr>
              <w:t>Systemkonfiguration</w:t>
            </w:r>
            <w:r>
              <w:rPr>
                <w:sz w:val="19"/>
              </w:rPr>
              <w:t xml:space="preserve"> verweisen </w:t>
            </w:r>
            <w:r>
              <w:rPr>
                <w:b/>
                <w:sz w:val="19"/>
              </w:rPr>
              <w:t>Freigabemodus</w:t>
            </w:r>
            <w:r>
              <w:rPr>
                <w:sz w:val="19"/>
              </w:rPr>
              <w:t xml:space="preserve"> und </w:t>
            </w:r>
            <w:r>
              <w:rPr>
                <w:b/>
                <w:sz w:val="19"/>
              </w:rPr>
              <w:t>Abschlussmodus</w:t>
            </w:r>
            <w:r>
              <w:rPr>
                <w:sz w:val="19"/>
              </w:rPr>
              <w:t xml:space="preserve"> auf </w:t>
            </w:r>
            <w:r>
              <w:rPr>
                <w:b/>
                <w:sz w:val="19"/>
              </w:rPr>
              <w:t>MD017</w:t>
            </w:r>
            <w:r>
              <w:rPr>
                <w:sz w:val="19"/>
              </w:rPr>
              <w:t xml:space="preserve"> (AH 2.7, Kap. 3.1.9.2).</w:t>
            </w:r>
          </w:p>
        </w:tc>
      </w:tr>
    </w:tbl>
    <w:p>
      <w:pPr>
        <w:spacing w:after="40"/>
      </w:pPr>
    </w:p>
    <w:p>
      <w:pPr>
        <w:pStyle w:val="Heading1"/>
      </w:pPr>
      <w:r>
        <w:t>8 Anlage über die ERP-Schnittstelle</w:t>
      </w:r>
    </w:p>
    <w:p>
      <w:pPr>
        <w:pStyle w:val="Heading2"/>
      </w:pPr>
      <w:r>
        <w:t>8.1 Überblick</w:t>
      </w:r>
    </w:p>
    <w:p>
      <w:r>
        <w:t xml:space="preserve">Für Stammdaten vom Systempartner an WAMAS dokumentiert das Interface Manual 2.7 genau eine Satzart: </w:t>
      </w:r>
      <w:r>
        <w:rPr>
          <w:rFonts w:ascii="Consolas" w:hAnsi="Consolas" w:cs="Consolas" w:eastAsia="Consolas"/>
          <w:sz w:val="18"/>
        </w:rPr>
        <w:t>WLSCLIENT001</w:t>
      </w:r>
      <w:r>
        <w:t xml:space="preserve"> (Klient, Master record, Anzahl 1). Eine eigene Satzart für Partner oder Adressen als Stammdaten (etwa „WLSPARTNER“ oder „WLSADDR“) ist </w:t>
      </w:r>
      <w:r>
        <w:rPr>
          <w:b/>
        </w:rPr>
        <w:t>nicht dokumentiert</w:t>
      </w:r>
      <w:r>
        <w:t>. Partnerdaten mit Adresse werden nur als Detailsatz zu einem Bedarf übertragen: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67"/>
        <w:gridCol w:w="4843"/>
        <w:gridCol w:w="1614"/>
      </w:tblGrid>
      <w:tr>
        <w:trPr>
          <w:tblHeader w:val="true"/>
        </w:trPr>
        <w:tc>
          <w:tcPr>
            <w:tcW w:type="dxa" w:w="3067"/>
            <w:shd w:val="clear" w:color="auto" w:fill="FEEE19"/>
          </w:tcPr>
          <w:p>
            <w:pPr>
              <w:spacing w:after="0"/>
            </w:pPr>
            <w:r>
              <w:rPr>
                <w:b/>
                <w:sz w:val="17"/>
              </w:rPr>
              <w:t>Satzart</w:t>
            </w:r>
          </w:p>
        </w:tc>
        <w:tc>
          <w:tcPr>
            <w:tcW w:type="dxa" w:w="4843"/>
            <w:shd w:val="clear" w:color="auto" w:fill="FEEE19"/>
          </w:tcPr>
          <w:p>
            <w:pPr>
              <w:spacing w:after="0"/>
            </w:pPr>
            <w:r>
              <w:rPr>
                <w:b/>
                <w:sz w:val="17"/>
              </w:rPr>
              <w:t>Gehört zu</w:t>
            </w:r>
          </w:p>
        </w:tc>
        <w:tc>
          <w:tcPr>
            <w:tcW w:type="dxa" w:w="1614"/>
            <w:shd w:val="clear" w:color="auto" w:fill="FEEE19"/>
          </w:tcPr>
          <w:p>
            <w:pPr>
              <w:spacing w:after="0"/>
            </w:pPr>
            <w:r>
              <w:rPr>
                <w:b/>
                <w:sz w:val="17"/>
              </w:rPr>
              <w:t>Anzahl</w:t>
            </w:r>
          </w:p>
        </w:tc>
      </w:tr>
      <w:tr>
        <w:tc>
          <w:tcPr>
            <w:tcW w:type="dxa" w:w="3067"/>
          </w:tcPr>
          <w:p>
            <w:pPr>
              <w:spacing w:after="0" w:line="252" w:lineRule="auto"/>
            </w:pPr>
            <w:r>
              <w:rPr>
                <w:rFonts w:ascii="Consolas" w:hAnsi="Consolas" w:cs="Consolas" w:eastAsia="Consolas"/>
                <w:sz w:val="15"/>
              </w:rPr>
              <w:t>WLSCLIENT001</w:t>
            </w:r>
          </w:p>
        </w:tc>
        <w:tc>
          <w:tcPr>
            <w:tcW w:type="dxa" w:w="4843"/>
          </w:tcPr>
          <w:p>
            <w:pPr>
              <w:spacing w:after="0" w:line="252" w:lineRule="auto"/>
            </w:pPr>
            <w:r>
              <w:rPr>
                <w:sz w:val="17"/>
              </w:rPr>
              <w:t>Klientenstammdaten</w:t>
            </w:r>
          </w:p>
        </w:tc>
        <w:tc>
          <w:tcPr>
            <w:tcW w:type="dxa" w:w="1614"/>
          </w:tcPr>
          <w:p>
            <w:pPr>
              <w:spacing w:after="0" w:line="252" w:lineRule="auto"/>
            </w:pPr>
            <w:r>
              <w:rPr>
                <w:sz w:val="17"/>
              </w:rPr>
              <w:t>1 (Master)</w:t>
            </w:r>
          </w:p>
        </w:tc>
      </w:tr>
      <w:tr>
        <w:tc>
          <w:tcPr>
            <w:tcW w:type="dxa" w:w="3067"/>
          </w:tcPr>
          <w:p>
            <w:pPr>
              <w:spacing w:after="0" w:line="252" w:lineRule="auto"/>
            </w:pPr>
            <w:r>
              <w:rPr>
                <w:rFonts w:ascii="Consolas" w:hAnsi="Consolas" w:cs="Consolas" w:eastAsia="Consolas"/>
                <w:sz w:val="15"/>
              </w:rPr>
              <w:t>WLSSDPARTNER001</w:t>
            </w:r>
          </w:p>
        </w:tc>
        <w:tc>
          <w:tcPr>
            <w:tcW w:type="dxa" w:w="4843"/>
          </w:tcPr>
          <w:p>
            <w:pPr>
              <w:spacing w:after="0" w:line="252" w:lineRule="auto"/>
            </w:pPr>
            <w:r>
              <w:rPr>
                <w:sz w:val="17"/>
              </w:rPr>
              <w:t xml:space="preserve">Einlagerbedarf </w:t>
            </w:r>
            <w:r>
              <w:rPr>
                <w:rFonts w:ascii="Consolas" w:hAnsi="Consolas" w:cs="Consolas" w:eastAsia="Consolas"/>
                <w:sz w:val="15"/>
              </w:rPr>
              <w:t>WLSSD002</w:t>
            </w:r>
          </w:p>
        </w:tc>
        <w:tc>
          <w:tcPr>
            <w:tcW w:type="dxa" w:w="1614"/>
          </w:tcPr>
          <w:p>
            <w:pPr>
              <w:spacing w:after="0" w:line="252" w:lineRule="auto"/>
            </w:pPr>
            <w:r>
              <w:rPr>
                <w:sz w:val="17"/>
              </w:rPr>
              <w:t>0…n</w:t>
            </w:r>
          </w:p>
        </w:tc>
      </w:tr>
      <w:tr>
        <w:tc>
          <w:tcPr>
            <w:tcW w:type="dxa" w:w="3067"/>
          </w:tcPr>
          <w:p>
            <w:pPr>
              <w:spacing w:after="0" w:line="252" w:lineRule="auto"/>
            </w:pPr>
            <w:r>
              <w:rPr>
                <w:rFonts w:ascii="Consolas" w:hAnsi="Consolas" w:cs="Consolas" w:eastAsia="Consolas"/>
                <w:sz w:val="15"/>
              </w:rPr>
              <w:t>WLSPDPARTNER001</w:t>
            </w:r>
          </w:p>
        </w:tc>
        <w:tc>
          <w:tcPr>
            <w:tcW w:type="dxa" w:w="4843"/>
          </w:tcPr>
          <w:p>
            <w:pPr>
              <w:spacing w:after="0" w:line="252" w:lineRule="auto"/>
            </w:pPr>
            <w:r>
              <w:rPr>
                <w:sz w:val="17"/>
              </w:rPr>
              <w:t xml:space="preserve">Kommissionierbedarf </w:t>
            </w:r>
            <w:r>
              <w:rPr>
                <w:rFonts w:ascii="Consolas" w:hAnsi="Consolas" w:cs="Consolas" w:eastAsia="Consolas"/>
                <w:sz w:val="15"/>
              </w:rPr>
              <w:t>WLSPD002</w:t>
            </w:r>
          </w:p>
        </w:tc>
        <w:tc>
          <w:tcPr>
            <w:tcW w:type="dxa" w:w="1614"/>
          </w:tcPr>
          <w:p>
            <w:pPr>
              <w:spacing w:after="0" w:line="252" w:lineRule="auto"/>
            </w:pPr>
            <w:r>
              <w:rPr>
                <w:sz w:val="17"/>
              </w:rPr>
              <w:t>0…n</w:t>
            </w:r>
          </w:p>
        </w:tc>
      </w:tr>
      <w:tr>
        <w:tc>
          <w:tcPr>
            <w:tcW w:type="dxa" w:w="3067"/>
          </w:tcPr>
          <w:p>
            <w:pPr>
              <w:spacing w:after="0" w:line="252" w:lineRule="auto"/>
            </w:pPr>
            <w:r>
              <w:rPr>
                <w:rFonts w:ascii="Consolas" w:hAnsi="Consolas" w:cs="Consolas" w:eastAsia="Consolas"/>
                <w:sz w:val="15"/>
              </w:rPr>
              <w:t>WLSINVDPARTNER001</w:t>
            </w:r>
          </w:p>
        </w:tc>
        <w:tc>
          <w:tcPr>
            <w:tcW w:type="dxa" w:w="4843"/>
          </w:tcPr>
          <w:p>
            <w:pPr>
              <w:spacing w:after="0" w:line="252" w:lineRule="auto"/>
            </w:pPr>
            <w:r>
              <w:rPr>
                <w:sz w:val="17"/>
              </w:rPr>
              <w:t>Inventurbedarf</w:t>
            </w:r>
          </w:p>
        </w:tc>
        <w:tc>
          <w:tcPr>
            <w:tcW w:type="dxa" w:w="1614"/>
          </w:tcPr>
          <w:p>
            <w:pPr>
              <w:spacing w:after="0" w:line="252" w:lineRule="auto"/>
            </w:pPr>
            <w:r>
              <w:rPr>
                <w:sz w:val="17"/>
              </w:rPr>
              <w:t>0…n</w:t>
            </w:r>
          </w:p>
        </w:tc>
      </w:tr>
    </w:tbl>
    <w:p>
      <w:pPr>
        <w:pStyle w:val="BeschriftungSSI"/>
      </w:pPr>
      <w:r>
        <w:t>Tab. 8: Satzarten mit Klient-, Partner- und Adressbezug (System partner → WAMAS)</w:t>
      </w:r>
    </w:p>
    <w:p>
      <w:r>
        <w:t xml:space="preserve">Formate: Fixed-length, CSV, XML, JSON. Jede Zeile beginnt mit den Kopffeldern Source (10), Destination (10), Serial number (6), Creation time (14, </w:t>
      </w:r>
      <w:r>
        <w:rPr>
          <w:rFonts w:ascii="Consolas" w:hAnsi="Consolas" w:cs="Consolas" w:eastAsia="Consolas"/>
          <w:sz w:val="18"/>
        </w:rPr>
        <w:t>YYYYMMDDHHMMSS</w:t>
      </w:r>
      <w:r>
        <w:t>) und Record type (30). Wird die maximale Feldlänge überschritten, wird das Telegramm auf Fehler gesetzt.</w:t>
      </w:r>
    </w:p>
    <w:p>
      <w:pPr>
        <w:pStyle w:val="Quelle"/>
      </w:pPr>
      <w:r>
        <w:rPr>
          <w:b/>
        </w:rPr>
        <w:t xml:space="preserve">Quelle: </w:t>
      </w:r>
      <w:r>
        <w:rPr>
          <w:sz w:val="17"/>
        </w:rPr>
        <w:t>IF 2.7, Kap. 2.1.6, 3, 3.1.1, 4.1, 6.1, 7.1, 8.1; IF 2.8, Kap. 4.1 (gleich)</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Partner-Stammsatz</w:t>
            </w:r>
          </w:p>
          <w:p>
            <w:pPr>
              <w:spacing w:after="40"/>
            </w:pPr>
            <w:r>
              <w:rPr>
                <w:sz w:val="19"/>
              </w:rPr>
              <w:t xml:space="preserve">Im Kapitel zum JSON-Format zeigt das Interface Manual (2.7 und 2.8) ein Beispiel mit </w:t>
            </w:r>
            <w:r>
              <w:rPr>
                <w:rFonts w:ascii="Consolas" w:hAnsi="Consolas" w:cs="Consolas" w:eastAsia="Consolas"/>
                <w:sz w:val="17"/>
              </w:rPr>
              <w:t>PARTNER00008</w:t>
            </w:r>
            <w:r>
              <w:rPr>
                <w:sz w:val="19"/>
              </w:rPr>
              <w:t xml:space="preserve"> und </w:t>
            </w:r>
            <w:r>
              <w:rPr>
                <w:rFonts w:ascii="Consolas" w:hAnsi="Consolas" w:cs="Consolas" w:eastAsia="Consolas"/>
                <w:sz w:val="17"/>
              </w:rPr>
              <w:t>PARTNERADDR00007</w:t>
            </w:r>
            <w:r>
              <w:rPr>
                <w:sz w:val="19"/>
              </w:rPr>
              <w:t>. Diese Satzarten werden im Kapitel über die Satzarten von Lift &amp; Store nicht beschrieben. Ob WAMAS Lift &amp; Store sie verarbeitet, ist offen.</w:t>
            </w:r>
          </w:p>
        </w:tc>
      </w:tr>
    </w:tbl>
    <w:p>
      <w:pPr>
        <w:spacing w:after="40"/>
      </w:pPr>
    </w:p>
    <w:p>
      <w:pPr>
        <w:pStyle w:val="Heading2"/>
      </w:pPr>
      <w:r>
        <w:t>8.2 WLSCLIENT001 – Klient</w:t>
      </w:r>
    </w:p>
    <w:p>
      <w:r>
        <w:t>Spalten: T = Typ (S = String), L = Länge, M = Pflicht (X), F = Fremdschlüssel.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16"/>
        <w:gridCol w:w="816"/>
        <w:gridCol w:w="1905"/>
        <w:gridCol w:w="816"/>
        <w:gridCol w:w="816"/>
        <w:gridCol w:w="816"/>
        <w:gridCol w:w="3538"/>
      </w:tblGrid>
      <w:tr>
        <w:trPr>
          <w:tblHeader w:val="true"/>
        </w:trPr>
        <w:tc>
          <w:tcPr>
            <w:tcW w:type="dxa" w:w="816"/>
            <w:shd w:val="clear" w:color="auto" w:fill="FEEE19"/>
          </w:tcPr>
          <w:p>
            <w:pPr>
              <w:spacing w:after="0"/>
            </w:pPr>
            <w:r>
              <w:rPr>
                <w:b/>
                <w:sz w:val="17"/>
              </w:rPr>
              <w:t>#</w:t>
            </w:r>
          </w:p>
        </w:tc>
        <w:tc>
          <w:tcPr>
            <w:tcW w:type="dxa" w:w="816"/>
            <w:shd w:val="clear" w:color="auto" w:fill="FEEE19"/>
          </w:tcPr>
          <w:p>
            <w:pPr>
              <w:spacing w:after="0"/>
            </w:pPr>
            <w:r>
              <w:rPr>
                <w:b/>
                <w:sz w:val="17"/>
              </w:rPr>
              <w:t>Feld</w:t>
            </w:r>
          </w:p>
        </w:tc>
        <w:tc>
          <w:tcPr>
            <w:tcW w:type="dxa" w:w="1905"/>
            <w:shd w:val="clear" w:color="auto" w:fill="FEEE19"/>
          </w:tcPr>
          <w:p>
            <w:pPr>
              <w:spacing w:after="0"/>
            </w:pPr>
            <w:r>
              <w:rPr>
                <w:b/>
                <w:sz w:val="17"/>
              </w:rPr>
              <w:t>Kurzname (XML)</w:t>
            </w:r>
          </w:p>
        </w:tc>
        <w:tc>
          <w:tcPr>
            <w:tcW w:type="dxa" w:w="816"/>
            <w:shd w:val="clear" w:color="auto" w:fill="FEEE19"/>
          </w:tcPr>
          <w:p>
            <w:pPr>
              <w:spacing w:after="0"/>
            </w:pPr>
            <w:r>
              <w:rPr>
                <w:b/>
                <w:sz w:val="17"/>
              </w:rPr>
              <w:t>T</w:t>
            </w:r>
          </w:p>
        </w:tc>
        <w:tc>
          <w:tcPr>
            <w:tcW w:type="dxa" w:w="816"/>
            <w:shd w:val="clear" w:color="auto" w:fill="FEEE19"/>
          </w:tcPr>
          <w:p>
            <w:pPr>
              <w:spacing w:after="0"/>
            </w:pPr>
            <w:r>
              <w:rPr>
                <w:b/>
                <w:sz w:val="17"/>
              </w:rPr>
              <w:t>L</w:t>
            </w:r>
          </w:p>
        </w:tc>
        <w:tc>
          <w:tcPr>
            <w:tcW w:type="dxa" w:w="816"/>
            <w:shd w:val="clear" w:color="auto" w:fill="FEEE19"/>
          </w:tcPr>
          <w:p>
            <w:pPr>
              <w:spacing w:after="0"/>
            </w:pPr>
            <w:r>
              <w:rPr>
                <w:b/>
                <w:sz w:val="17"/>
              </w:rPr>
              <w:t>M</w:t>
            </w:r>
          </w:p>
        </w:tc>
        <w:tc>
          <w:tcPr>
            <w:tcW w:type="dxa" w:w="3538"/>
            <w:shd w:val="clear" w:color="auto" w:fill="FEEE19"/>
          </w:tcPr>
          <w:p>
            <w:pPr>
              <w:spacing w:after="0"/>
            </w:pPr>
            <w:r>
              <w:rPr>
                <w:b/>
                <w:sz w:val="17"/>
              </w:rPr>
              <w:t>Bedeutung</w:t>
            </w:r>
          </w:p>
        </w:tc>
      </w:tr>
      <w:tr>
        <w:tc>
          <w:tcPr>
            <w:tcW w:type="dxa" w:w="816"/>
          </w:tcPr>
          <w:p>
            <w:pPr>
              <w:spacing w:after="0" w:line="252" w:lineRule="auto"/>
            </w:pPr>
            <w:r>
              <w:rPr>
                <w:sz w:val="17"/>
              </w:rPr>
              <w:t>1</w:t>
            </w:r>
          </w:p>
        </w:tc>
        <w:tc>
          <w:tcPr>
            <w:tcW w:type="dxa" w:w="816"/>
          </w:tcPr>
          <w:p>
            <w:pPr>
              <w:spacing w:after="0" w:line="252" w:lineRule="auto"/>
            </w:pPr>
            <w:r>
              <w:rPr>
                <w:sz w:val="17"/>
              </w:rPr>
              <w:t>Client</w:t>
            </w:r>
          </w:p>
        </w:tc>
        <w:tc>
          <w:tcPr>
            <w:tcW w:type="dxa" w:w="1905"/>
          </w:tcPr>
          <w:p>
            <w:pPr>
              <w:spacing w:after="0" w:line="252" w:lineRule="auto"/>
            </w:pPr>
            <w:r>
              <w:rPr>
                <w:rFonts w:ascii="Consolas" w:hAnsi="Consolas" w:cs="Consolas" w:eastAsia="Consolas"/>
                <w:sz w:val="15"/>
              </w:rPr>
              <w:t>clientId</w:t>
            </w:r>
          </w:p>
        </w:tc>
        <w:tc>
          <w:tcPr>
            <w:tcW w:type="dxa" w:w="816"/>
          </w:tcPr>
          <w:p>
            <w:pPr>
              <w:spacing w:after="0" w:line="252" w:lineRule="auto"/>
            </w:pPr>
            <w:r>
              <w:rPr>
                <w:sz w:val="17"/>
              </w:rPr>
              <w:t>S</w:t>
            </w:r>
          </w:p>
        </w:tc>
        <w:tc>
          <w:tcPr>
            <w:tcW w:type="dxa" w:w="816"/>
          </w:tcPr>
          <w:p>
            <w:pPr>
              <w:spacing w:after="0" w:line="252" w:lineRule="auto"/>
            </w:pPr>
            <w:r>
              <w:rPr>
                <w:sz w:val="17"/>
              </w:rPr>
              <w:t>10</w:t>
            </w:r>
          </w:p>
        </w:tc>
        <w:tc>
          <w:tcPr>
            <w:tcW w:type="dxa" w:w="816"/>
          </w:tcPr>
          <w:p>
            <w:pPr>
              <w:spacing w:after="0" w:line="252" w:lineRule="auto"/>
            </w:pPr>
            <w:r>
              <w:rPr>
                <w:sz w:val="17"/>
              </w:rPr>
              <w:t>X</w:t>
            </w:r>
          </w:p>
        </w:tc>
        <w:tc>
          <w:tcPr>
            <w:tcW w:type="dxa" w:w="3538"/>
          </w:tcPr>
          <w:p>
            <w:pPr>
              <w:spacing w:after="0" w:line="252" w:lineRule="auto"/>
            </w:pPr>
            <w:r>
              <w:rPr>
                <w:sz w:val="17"/>
              </w:rPr>
              <w:t>eindeutige ID des Klienten</w:t>
            </w:r>
          </w:p>
        </w:tc>
      </w:tr>
      <w:tr>
        <w:tc>
          <w:tcPr>
            <w:tcW w:type="dxa" w:w="816"/>
          </w:tcPr>
          <w:p>
            <w:pPr>
              <w:spacing w:after="0" w:line="252" w:lineRule="auto"/>
            </w:pPr>
            <w:r>
              <w:rPr>
                <w:sz w:val="17"/>
              </w:rPr>
              <w:t>2</w:t>
            </w:r>
          </w:p>
        </w:tc>
        <w:tc>
          <w:tcPr>
            <w:tcW w:type="dxa" w:w="816"/>
          </w:tcPr>
          <w:p>
            <w:pPr>
              <w:spacing w:after="0" w:line="252" w:lineRule="auto"/>
            </w:pPr>
            <w:r>
              <w:rPr>
                <w:sz w:val="17"/>
              </w:rPr>
              <w:t>Name</w:t>
            </w:r>
          </w:p>
        </w:tc>
        <w:tc>
          <w:tcPr>
            <w:tcW w:type="dxa" w:w="1905"/>
          </w:tcPr>
          <w:p>
            <w:pPr>
              <w:spacing w:after="0" w:line="252" w:lineRule="auto"/>
            </w:pPr>
            <w:r>
              <w:rPr>
                <w:rFonts w:ascii="Consolas" w:hAnsi="Consolas" w:cs="Consolas" w:eastAsia="Consolas"/>
                <w:sz w:val="15"/>
              </w:rPr>
              <w:t>addrName</w:t>
            </w:r>
          </w:p>
        </w:tc>
        <w:tc>
          <w:tcPr>
            <w:tcW w:type="dxa" w:w="816"/>
          </w:tcPr>
          <w:p>
            <w:pPr>
              <w:spacing w:after="0" w:line="252" w:lineRule="auto"/>
            </w:pPr>
            <w:r>
              <w:rPr>
                <w:sz w:val="17"/>
              </w:rPr>
              <w:t>S</w:t>
            </w:r>
          </w:p>
        </w:tc>
        <w:tc>
          <w:tcPr>
            <w:tcW w:type="dxa" w:w="816"/>
          </w:tcPr>
          <w:p>
            <w:pPr>
              <w:spacing w:after="0" w:line="252" w:lineRule="auto"/>
            </w:pPr>
            <w:r>
              <w:rPr>
                <w:sz w:val="17"/>
              </w:rPr>
              <w:t>35</w:t>
            </w:r>
          </w:p>
        </w:tc>
        <w:tc>
          <w:tcPr>
            <w:tcW w:type="dxa" w:w="816"/>
          </w:tcPr>
          <w:p>
            <w:pPr>
              <w:spacing w:after="0" w:line="252" w:lineRule="auto"/>
            </w:pPr>
          </w:p>
        </w:tc>
        <w:tc>
          <w:tcPr>
            <w:tcW w:type="dxa" w:w="3538"/>
          </w:tcPr>
          <w:p>
            <w:pPr>
              <w:spacing w:after="0" w:line="252" w:lineRule="auto"/>
            </w:pPr>
            <w:r>
              <w:rPr>
                <w:sz w:val="17"/>
              </w:rPr>
              <w:t>Name Firma/Person</w:t>
            </w:r>
          </w:p>
        </w:tc>
      </w:tr>
      <w:tr>
        <w:tc>
          <w:tcPr>
            <w:tcW w:type="dxa" w:w="816"/>
          </w:tcPr>
          <w:p>
            <w:pPr>
              <w:spacing w:after="0" w:line="252" w:lineRule="auto"/>
            </w:pPr>
            <w:r>
              <w:rPr>
                <w:sz w:val="17"/>
              </w:rPr>
              <w:t>3</w:t>
            </w:r>
          </w:p>
        </w:tc>
        <w:tc>
          <w:tcPr>
            <w:tcW w:type="dxa" w:w="816"/>
          </w:tcPr>
          <w:p>
            <w:pPr>
              <w:spacing w:after="0" w:line="252" w:lineRule="auto"/>
            </w:pPr>
            <w:r>
              <w:rPr>
                <w:sz w:val="17"/>
              </w:rPr>
              <w:t>Name 2</w:t>
            </w:r>
          </w:p>
        </w:tc>
        <w:tc>
          <w:tcPr>
            <w:tcW w:type="dxa" w:w="1905"/>
          </w:tcPr>
          <w:p>
            <w:pPr>
              <w:spacing w:after="0" w:line="252" w:lineRule="auto"/>
            </w:pPr>
            <w:r>
              <w:rPr>
                <w:rFonts w:ascii="Consolas" w:hAnsi="Consolas" w:cs="Consolas" w:eastAsia="Consolas"/>
                <w:sz w:val="15"/>
              </w:rPr>
              <w:t>addrName2</w:t>
            </w:r>
          </w:p>
        </w:tc>
        <w:tc>
          <w:tcPr>
            <w:tcW w:type="dxa" w:w="816"/>
          </w:tcPr>
          <w:p>
            <w:pPr>
              <w:spacing w:after="0" w:line="252" w:lineRule="auto"/>
            </w:pPr>
            <w:r>
              <w:rPr>
                <w:sz w:val="17"/>
              </w:rPr>
              <w:t>S</w:t>
            </w:r>
          </w:p>
        </w:tc>
        <w:tc>
          <w:tcPr>
            <w:tcW w:type="dxa" w:w="816"/>
          </w:tcPr>
          <w:p>
            <w:pPr>
              <w:spacing w:after="0" w:line="252" w:lineRule="auto"/>
            </w:pPr>
            <w:r>
              <w:rPr>
                <w:sz w:val="17"/>
              </w:rPr>
              <w:t>35</w:t>
            </w:r>
          </w:p>
        </w:tc>
        <w:tc>
          <w:tcPr>
            <w:tcW w:type="dxa" w:w="816"/>
          </w:tcPr>
          <w:p>
            <w:pPr>
              <w:spacing w:after="0" w:line="252" w:lineRule="auto"/>
            </w:pPr>
          </w:p>
        </w:tc>
        <w:tc>
          <w:tcPr>
            <w:tcW w:type="dxa" w:w="3538"/>
          </w:tcPr>
          <w:p>
            <w:pPr>
              <w:spacing w:after="0" w:line="252" w:lineRule="auto"/>
            </w:pPr>
            <w:r>
              <w:rPr>
                <w:sz w:val="17"/>
              </w:rPr>
              <w:t>Name Firma/Person</w:t>
            </w:r>
          </w:p>
        </w:tc>
      </w:tr>
      <w:tr>
        <w:tc>
          <w:tcPr>
            <w:tcW w:type="dxa" w:w="816"/>
          </w:tcPr>
          <w:p>
            <w:pPr>
              <w:spacing w:after="0" w:line="252" w:lineRule="auto"/>
            </w:pPr>
            <w:r>
              <w:rPr>
                <w:sz w:val="17"/>
              </w:rPr>
              <w:t>4</w:t>
            </w:r>
          </w:p>
        </w:tc>
        <w:tc>
          <w:tcPr>
            <w:tcW w:type="dxa" w:w="816"/>
          </w:tcPr>
          <w:p>
            <w:pPr>
              <w:spacing w:after="0" w:line="252" w:lineRule="auto"/>
            </w:pPr>
            <w:r>
              <w:rPr>
                <w:sz w:val="17"/>
              </w:rPr>
              <w:t>Name 3</w:t>
            </w:r>
          </w:p>
        </w:tc>
        <w:tc>
          <w:tcPr>
            <w:tcW w:type="dxa" w:w="1905"/>
          </w:tcPr>
          <w:p>
            <w:pPr>
              <w:spacing w:after="0" w:line="252" w:lineRule="auto"/>
            </w:pPr>
            <w:r>
              <w:rPr>
                <w:rFonts w:ascii="Consolas" w:hAnsi="Consolas" w:cs="Consolas" w:eastAsia="Consolas"/>
                <w:sz w:val="15"/>
              </w:rPr>
              <w:t>addrName3</w:t>
            </w:r>
          </w:p>
        </w:tc>
        <w:tc>
          <w:tcPr>
            <w:tcW w:type="dxa" w:w="816"/>
          </w:tcPr>
          <w:p>
            <w:pPr>
              <w:spacing w:after="0" w:line="252" w:lineRule="auto"/>
            </w:pPr>
            <w:r>
              <w:rPr>
                <w:sz w:val="17"/>
              </w:rPr>
              <w:t>S</w:t>
            </w:r>
          </w:p>
        </w:tc>
        <w:tc>
          <w:tcPr>
            <w:tcW w:type="dxa" w:w="816"/>
          </w:tcPr>
          <w:p>
            <w:pPr>
              <w:spacing w:after="0" w:line="252" w:lineRule="auto"/>
            </w:pPr>
            <w:r>
              <w:rPr>
                <w:sz w:val="17"/>
              </w:rPr>
              <w:t>35</w:t>
            </w:r>
          </w:p>
        </w:tc>
        <w:tc>
          <w:tcPr>
            <w:tcW w:type="dxa" w:w="816"/>
          </w:tcPr>
          <w:p>
            <w:pPr>
              <w:spacing w:after="0" w:line="252" w:lineRule="auto"/>
            </w:pPr>
          </w:p>
        </w:tc>
        <w:tc>
          <w:tcPr>
            <w:tcW w:type="dxa" w:w="3538"/>
          </w:tcPr>
          <w:p>
            <w:pPr>
              <w:spacing w:after="0" w:line="252" w:lineRule="auto"/>
            </w:pPr>
            <w:r>
              <w:rPr>
                <w:sz w:val="17"/>
              </w:rPr>
              <w:t>Name Firma/Person</w:t>
            </w:r>
          </w:p>
        </w:tc>
      </w:tr>
      <w:tr>
        <w:tc>
          <w:tcPr>
            <w:tcW w:type="dxa" w:w="816"/>
          </w:tcPr>
          <w:p>
            <w:pPr>
              <w:spacing w:after="0" w:line="252" w:lineRule="auto"/>
            </w:pPr>
            <w:r>
              <w:rPr>
                <w:sz w:val="17"/>
              </w:rPr>
              <w:t>5</w:t>
            </w:r>
          </w:p>
        </w:tc>
        <w:tc>
          <w:tcPr>
            <w:tcW w:type="dxa" w:w="816"/>
          </w:tcPr>
          <w:p>
            <w:pPr>
              <w:spacing w:after="0" w:line="252" w:lineRule="auto"/>
            </w:pPr>
            <w:r>
              <w:rPr>
                <w:sz w:val="17"/>
              </w:rPr>
              <w:t>Name 4</w:t>
            </w:r>
          </w:p>
        </w:tc>
        <w:tc>
          <w:tcPr>
            <w:tcW w:type="dxa" w:w="1905"/>
          </w:tcPr>
          <w:p>
            <w:pPr>
              <w:spacing w:after="0" w:line="252" w:lineRule="auto"/>
            </w:pPr>
            <w:r>
              <w:rPr>
                <w:rFonts w:ascii="Consolas" w:hAnsi="Consolas" w:cs="Consolas" w:eastAsia="Consolas"/>
                <w:sz w:val="15"/>
              </w:rPr>
              <w:t>addrName4</w:t>
            </w:r>
          </w:p>
        </w:tc>
        <w:tc>
          <w:tcPr>
            <w:tcW w:type="dxa" w:w="816"/>
          </w:tcPr>
          <w:p>
            <w:pPr>
              <w:spacing w:after="0" w:line="252" w:lineRule="auto"/>
            </w:pPr>
            <w:r>
              <w:rPr>
                <w:sz w:val="17"/>
              </w:rPr>
              <w:t>S</w:t>
            </w:r>
          </w:p>
        </w:tc>
        <w:tc>
          <w:tcPr>
            <w:tcW w:type="dxa" w:w="816"/>
          </w:tcPr>
          <w:p>
            <w:pPr>
              <w:spacing w:after="0" w:line="252" w:lineRule="auto"/>
            </w:pPr>
            <w:r>
              <w:rPr>
                <w:sz w:val="17"/>
              </w:rPr>
              <w:t>35</w:t>
            </w:r>
          </w:p>
        </w:tc>
        <w:tc>
          <w:tcPr>
            <w:tcW w:type="dxa" w:w="816"/>
          </w:tcPr>
          <w:p>
            <w:pPr>
              <w:spacing w:after="0" w:line="252" w:lineRule="auto"/>
            </w:pPr>
          </w:p>
        </w:tc>
        <w:tc>
          <w:tcPr>
            <w:tcW w:type="dxa" w:w="3538"/>
          </w:tcPr>
          <w:p>
            <w:pPr>
              <w:spacing w:after="0" w:line="252" w:lineRule="auto"/>
            </w:pPr>
            <w:r>
              <w:rPr>
                <w:sz w:val="17"/>
              </w:rPr>
              <w:t>Name Firma/Person</w:t>
            </w:r>
          </w:p>
        </w:tc>
      </w:tr>
      <w:tr>
        <w:tc>
          <w:tcPr>
            <w:tcW w:type="dxa" w:w="816"/>
          </w:tcPr>
          <w:p>
            <w:pPr>
              <w:spacing w:after="0" w:line="252" w:lineRule="auto"/>
            </w:pPr>
            <w:r>
              <w:rPr>
                <w:sz w:val="17"/>
              </w:rPr>
              <w:t>6</w:t>
            </w:r>
          </w:p>
        </w:tc>
        <w:tc>
          <w:tcPr>
            <w:tcW w:type="dxa" w:w="816"/>
          </w:tcPr>
          <w:p>
            <w:pPr>
              <w:spacing w:after="0" w:line="252" w:lineRule="auto"/>
            </w:pPr>
            <w:r>
              <w:rPr>
                <w:sz w:val="17"/>
              </w:rPr>
              <w:t>Phone</w:t>
            </w:r>
          </w:p>
        </w:tc>
        <w:tc>
          <w:tcPr>
            <w:tcW w:type="dxa" w:w="1905"/>
          </w:tcPr>
          <w:p>
            <w:pPr>
              <w:spacing w:after="0" w:line="252" w:lineRule="auto"/>
            </w:pPr>
            <w:r>
              <w:rPr>
                <w:rFonts w:ascii="Consolas" w:hAnsi="Consolas" w:cs="Consolas" w:eastAsia="Consolas"/>
                <w:sz w:val="15"/>
              </w:rPr>
              <w:t>addrPhone</w:t>
            </w:r>
          </w:p>
        </w:tc>
        <w:tc>
          <w:tcPr>
            <w:tcW w:type="dxa" w:w="816"/>
          </w:tcPr>
          <w:p>
            <w:pPr>
              <w:spacing w:after="0" w:line="252" w:lineRule="auto"/>
            </w:pPr>
            <w:r>
              <w:rPr>
                <w:sz w:val="17"/>
              </w:rPr>
              <w:t>S</w:t>
            </w:r>
          </w:p>
        </w:tc>
        <w:tc>
          <w:tcPr>
            <w:tcW w:type="dxa" w:w="816"/>
          </w:tcPr>
          <w:p>
            <w:pPr>
              <w:spacing w:after="0" w:line="252" w:lineRule="auto"/>
            </w:pPr>
            <w:r>
              <w:rPr>
                <w:sz w:val="17"/>
              </w:rPr>
              <w:t>40</w:t>
            </w:r>
          </w:p>
        </w:tc>
        <w:tc>
          <w:tcPr>
            <w:tcW w:type="dxa" w:w="816"/>
          </w:tcPr>
          <w:p>
            <w:pPr>
              <w:spacing w:after="0" w:line="252" w:lineRule="auto"/>
            </w:pPr>
          </w:p>
        </w:tc>
        <w:tc>
          <w:tcPr>
            <w:tcW w:type="dxa" w:w="3538"/>
          </w:tcPr>
          <w:p>
            <w:pPr>
              <w:spacing w:after="0" w:line="252" w:lineRule="auto"/>
            </w:pPr>
            <w:r>
              <w:rPr>
                <w:sz w:val="17"/>
              </w:rPr>
              <w:t>Telefonnummer</w:t>
            </w:r>
          </w:p>
        </w:tc>
      </w:tr>
    </w:tbl>
    <w:p>
      <w:pPr>
        <w:pStyle w:val="BeschriftungSSI"/>
      </w:pPr>
      <w:r>
        <w:t>Tab. 9: Felder WLSCLIENT001 (2.7 = 2.8)</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HOST;WAMAS;1;20250311170240;WLSCLIENT001;test3;addr1;addr2;addr3;addr4;+40</w:t>
            </w:r>
          </w:p>
        </w:tc>
      </w:tr>
    </w:tbl>
    <w:p>
      <w:pPr>
        <w:pStyle w:val="BeschriftungSSI"/>
      </w:pPr>
      <w:r>
        <w:t>Abb. 3: WLSCLIENT001 als CSV (Telegrammbeispiel 2.7, CLIENT/3.csv)</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&lt;DI_TELEGRAM&gt;</w:t>
            </w:r>
          </w:p>
          <w:p>
            <w:pPr>
              <w:pStyle w:val="Code"/>
            </w:pPr>
            <w:r>
              <w:t xml:space="preserve">  &lt;header&gt;&lt;FULL&gt;</w:t>
            </w:r>
          </w:p>
          <w:p>
            <w:pPr>
              <w:pStyle w:val="Code"/>
            </w:pPr>
            <w:r>
              <w:t xml:space="preserve">    &lt;HEADER_SOURCE&gt;HOST&lt;/HEADER_SOURCE&gt;</w:t>
            </w:r>
          </w:p>
          <w:p>
            <w:pPr>
              <w:pStyle w:val="Code"/>
            </w:pPr>
            <w:r>
              <w:t xml:space="preserve">    &lt;HEADER_DESTINATION&gt;WAMAS&lt;/HEADER_DESTINATION&gt;</w:t>
            </w:r>
          </w:p>
          <w:p>
            <w:pPr>
              <w:pStyle w:val="Code"/>
            </w:pPr>
            <w:r>
              <w:t xml:space="preserve">    &lt;HEADER_SEQUENCE&gt;0&lt;/HEADER_SEQUENCE&gt;</w:t>
            </w:r>
          </w:p>
          <w:p>
            <w:pPr>
              <w:pStyle w:val="Code"/>
            </w:pPr>
            <w:r>
              <w:t xml:space="preserve">    &lt;HEADER_CREATIONTIME&gt;20250311170240&lt;/HEADER_CREATIONTIME&gt;</w:t>
            </w:r>
          </w:p>
          <w:p>
            <w:pPr>
              <w:pStyle w:val="Code"/>
            </w:pPr>
            <w:r>
              <w:t xml:space="preserve">    &lt;HEADER_RECORDTYPENAME&gt;WLSCLIENT001&lt;/HEADER_RECORDTYPENAME&gt;</w:t>
            </w:r>
          </w:p>
          <w:p>
            <w:pPr>
              <w:pStyle w:val="Code"/>
            </w:pPr>
            <w:r>
              <w:t xml:space="preserve">  &lt;/FULL&gt;&lt;/header&gt;</w:t>
            </w:r>
          </w:p>
          <w:p>
            <w:pPr>
              <w:pStyle w:val="Code"/>
            </w:pPr>
            <w:r>
              <w:t xml:space="preserve">  &lt;body&gt;&lt;WLSCLIENT001&gt;</w:t>
            </w:r>
          </w:p>
          <w:p>
            <w:pPr>
              <w:pStyle w:val="Code"/>
            </w:pPr>
            <w:r>
              <w:t xml:space="preserve">    &lt;clientId&gt;test1&lt;/clientId&gt;</w:t>
            </w:r>
          </w:p>
          <w:p>
            <w:pPr>
              <w:pStyle w:val="Code"/>
            </w:pPr>
            <w:r>
              <w:t xml:space="preserve">    &lt;addrName&gt;addr1&lt;/addrName&gt;&lt;addrName2&gt;addr2&lt;/addrName2&gt;</w:t>
            </w:r>
          </w:p>
          <w:p>
            <w:pPr>
              <w:pStyle w:val="Code"/>
            </w:pPr>
            <w:r>
              <w:t xml:space="preserve">    &lt;addrName3&gt;addr3&lt;/addrName3&gt;&lt;addrName4&gt;addr4&lt;/addrName4&gt;</w:t>
            </w:r>
          </w:p>
          <w:p>
            <w:pPr>
              <w:pStyle w:val="Code"/>
            </w:pPr>
            <w:r>
              <w:t xml:space="preserve">    &lt;addrPhone&gt;+40&lt;/addrPhone&gt;</w:t>
            </w:r>
          </w:p>
          <w:p>
            <w:pPr>
              <w:pStyle w:val="Code"/>
            </w:pPr>
            <w:r>
              <w:t xml:space="preserve">  &lt;/WLSCLIENT001&gt;&lt;/body&gt;</w:t>
            </w:r>
          </w:p>
          <w:p>
            <w:pPr>
              <w:pStyle w:val="Code"/>
            </w:pPr>
            <w:r>
              <w:t>&lt;/DI_TELEGRAM&gt;</w:t>
            </w:r>
          </w:p>
        </w:tc>
      </w:tr>
    </w:tbl>
    <w:p>
      <w:pPr>
        <w:pStyle w:val="BeschriftungSSI"/>
      </w:pPr>
      <w:r>
        <w:t>Abb. 4: WLSCLIENT001 als XML (Telegrammbeispiel 2.7, CLIENT/1.xml, gekürzt)</w:t>
      </w:r>
    </w:p>
    <w:p>
      <w:pPr>
        <w:pStyle w:val="Quelle"/>
      </w:pPr>
      <w:r>
        <w:rPr>
          <w:b/>
        </w:rPr>
        <w:t xml:space="preserve">Quelle: </w:t>
      </w:r>
      <w:r>
        <w:rPr>
          <w:sz w:val="17"/>
        </w:rPr>
        <w:t>IF 2.7, Kap. 4.1.1.1 und 4.1.2.1, S. 40–41; Telegrammbeispiele 2.7 (MAN\04 Install\telegram_examples_2_7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Umfang WLSCLIENT001</w:t>
            </w:r>
          </w:p>
          <w:p>
            <w:pPr>
              <w:spacing w:after="40"/>
            </w:pPr>
            <w:r>
              <w:rPr>
                <w:rFonts w:ascii="Consolas" w:hAnsi="Consolas" w:cs="Consolas" w:eastAsia="Consolas"/>
                <w:sz w:val="17"/>
              </w:rPr>
              <w:t>WLSCLIENT001</w:t>
            </w:r>
            <w:r>
              <w:rPr>
                <w:sz w:val="19"/>
              </w:rPr>
              <w:t xml:space="preserve"> enthält nur Name 1–4 und Telefon, also weder Straße, PLZ, Ort, Land noch Zeitzone. Ein Feld </w:t>
            </w:r>
            <w:r>
              <w:rPr>
                <w:rFonts w:ascii="Consolas" w:hAnsi="Consolas" w:cs="Consolas" w:eastAsia="Consolas"/>
                <w:sz w:val="17"/>
              </w:rPr>
              <w:t>recordState</w:t>
            </w:r>
            <w:r>
              <w:rPr>
                <w:sz w:val="19"/>
              </w:rPr>
              <w:t xml:space="preserve"> (CREATE/UPDATE/CANCEL) fehlt. Wie Änderungen und Löschungen eines Klienten über die Schnittstelle behandelt werden, ist nicht beschrieben.</w:t>
            </w:r>
          </w:p>
        </w:tc>
      </w:tr>
    </w:tbl>
    <w:p>
      <w:pPr>
        <w:spacing w:after="40"/>
      </w:pPr>
    </w:p>
    <w:p>
      <w:pPr>
        <w:pStyle w:val="Heading2"/>
      </w:pPr>
      <w:r>
        <w:t>8.3 Partner und Adresse im Bedarf (WLS*PARTNER001)</w:t>
      </w:r>
    </w:p>
    <w:p>
      <w:r>
        <w:t xml:space="preserve">Die drei Satzarten </w:t>
      </w:r>
      <w:r>
        <w:rPr>
          <w:rFonts w:ascii="Consolas" w:hAnsi="Consolas" w:cs="Consolas" w:eastAsia="Consolas"/>
          <w:sz w:val="18"/>
        </w:rPr>
        <w:t>WLSSDPARTNER001</w:t>
      </w:r>
      <w:r>
        <w:t xml:space="preserve">, </w:t>
      </w:r>
      <w:r>
        <w:rPr>
          <w:rFonts w:ascii="Consolas" w:hAnsi="Consolas" w:cs="Consolas" w:eastAsia="Consolas"/>
          <w:sz w:val="18"/>
        </w:rPr>
        <w:t>WLSPDPARTNER001</w:t>
      </w:r>
      <w:r>
        <w:t xml:space="preserve"> und </w:t>
      </w:r>
      <w:r>
        <w:rPr>
          <w:rFonts w:ascii="Consolas" w:hAnsi="Consolas" w:cs="Consolas" w:eastAsia="Consolas"/>
          <w:sz w:val="18"/>
        </w:rPr>
        <w:t>WLSINVDPARTNER001</w:t>
      </w:r>
      <w:r>
        <w:t xml:space="preserve"> haben denselben Aufbau. In 2.7 und 2.8 sind Felder und Längen gleich.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9"/>
        <w:gridCol w:w="3297"/>
        <w:gridCol w:w="3480"/>
        <w:gridCol w:w="549"/>
        <w:gridCol w:w="549"/>
        <w:gridCol w:w="549"/>
        <w:gridCol w:w="549"/>
      </w:tblGrid>
      <w:tr>
        <w:trPr>
          <w:tblHeader w:val="true"/>
        </w:trPr>
        <w:tc>
          <w:tcPr>
            <w:tcW w:type="dxa" w:w="549"/>
            <w:shd w:val="clear" w:color="auto" w:fill="FEEE19"/>
          </w:tcPr>
          <w:p>
            <w:pPr>
              <w:spacing w:after="0"/>
            </w:pPr>
            <w:r>
              <w:rPr>
                <w:b/>
                <w:sz w:val="17"/>
              </w:rPr>
              <w:t>#</w:t>
            </w:r>
          </w:p>
        </w:tc>
        <w:tc>
          <w:tcPr>
            <w:tcW w:type="dxa" w:w="3297"/>
            <w:shd w:val="clear" w:color="auto" w:fill="FEEE19"/>
          </w:tcPr>
          <w:p>
            <w:pPr>
              <w:spacing w:after="0"/>
            </w:pPr>
            <w:r>
              <w:rPr>
                <w:b/>
                <w:sz w:val="17"/>
              </w:rPr>
              <w:t>Feld</w:t>
            </w:r>
          </w:p>
        </w:tc>
        <w:tc>
          <w:tcPr>
            <w:tcW w:type="dxa" w:w="3480"/>
            <w:shd w:val="clear" w:color="auto" w:fill="FEEE19"/>
          </w:tcPr>
          <w:p>
            <w:pPr>
              <w:spacing w:after="0"/>
            </w:pPr>
            <w:r>
              <w:rPr>
                <w:b/>
                <w:sz w:val="17"/>
              </w:rPr>
              <w:t>Kurzname (XML)</w:t>
            </w:r>
          </w:p>
        </w:tc>
        <w:tc>
          <w:tcPr>
            <w:tcW w:type="dxa" w:w="549"/>
            <w:shd w:val="clear" w:color="auto" w:fill="FEEE19"/>
          </w:tcPr>
          <w:p>
            <w:pPr>
              <w:spacing w:after="0"/>
            </w:pPr>
            <w:r>
              <w:rPr>
                <w:b/>
                <w:sz w:val="17"/>
              </w:rPr>
              <w:t>T</w:t>
            </w:r>
          </w:p>
        </w:tc>
        <w:tc>
          <w:tcPr>
            <w:tcW w:type="dxa" w:w="549"/>
            <w:shd w:val="clear" w:color="auto" w:fill="FEEE19"/>
          </w:tcPr>
          <w:p>
            <w:pPr>
              <w:spacing w:after="0"/>
            </w:pPr>
            <w:r>
              <w:rPr>
                <w:b/>
                <w:sz w:val="17"/>
              </w:rPr>
              <w:t>L</w:t>
            </w:r>
          </w:p>
        </w:tc>
        <w:tc>
          <w:tcPr>
            <w:tcW w:type="dxa" w:w="549"/>
            <w:shd w:val="clear" w:color="auto" w:fill="FEEE19"/>
          </w:tcPr>
          <w:p>
            <w:pPr>
              <w:spacing w:after="0"/>
            </w:pPr>
            <w:r>
              <w:rPr>
                <w:b/>
                <w:sz w:val="17"/>
              </w:rPr>
              <w:t>M</w:t>
            </w:r>
          </w:p>
        </w:tc>
        <w:tc>
          <w:tcPr>
            <w:tcW w:type="dxa" w:w="549"/>
            <w:shd w:val="clear" w:color="auto" w:fill="FEEE19"/>
          </w:tcPr>
          <w:p>
            <w:pPr>
              <w:spacing w:after="0"/>
            </w:pPr>
            <w:r>
              <w:rPr>
                <w:b/>
                <w:sz w:val="17"/>
              </w:rPr>
              <w:t>F</w:t>
            </w:r>
          </w:p>
        </w:tc>
      </w:tr>
      <w:tr>
        <w:tc>
          <w:tcPr>
            <w:tcW w:type="dxa" w:w="549"/>
          </w:tcPr>
          <w:p>
            <w:pPr>
              <w:spacing w:after="0" w:line="252" w:lineRule="auto"/>
            </w:pPr>
            <w:r>
              <w:rPr>
                <w:sz w:val="17"/>
              </w:rPr>
              <w:t>1</w:t>
            </w:r>
          </w:p>
        </w:tc>
        <w:tc>
          <w:tcPr>
            <w:tcW w:type="dxa" w:w="3297"/>
          </w:tcPr>
          <w:p>
            <w:pPr>
              <w:spacing w:after="0" w:line="252" w:lineRule="auto"/>
            </w:pPr>
            <w:r>
              <w:rPr>
                <w:sz w:val="17"/>
              </w:rPr>
              <w:t>Client</w:t>
            </w:r>
          </w:p>
        </w:tc>
        <w:tc>
          <w:tcPr>
            <w:tcW w:type="dxa" w:w="3480"/>
          </w:tcPr>
          <w:p>
            <w:pPr>
              <w:spacing w:after="0" w:line="252" w:lineRule="auto"/>
            </w:pPr>
            <w:r>
              <w:rPr>
                <w:rFonts w:ascii="Consolas" w:hAnsi="Consolas" w:cs="Consolas" w:eastAsia="Consolas"/>
                <w:sz w:val="15"/>
              </w:rPr>
              <w:t>clientId</w:t>
            </w:r>
          </w:p>
        </w:tc>
        <w:tc>
          <w:tcPr>
            <w:tcW w:type="dxa" w:w="549"/>
          </w:tcPr>
          <w:p>
            <w:pPr>
              <w:spacing w:after="0" w:line="252" w:lineRule="auto"/>
            </w:pPr>
            <w:r>
              <w:rPr>
                <w:sz w:val="17"/>
              </w:rPr>
              <w:t>S</w:t>
            </w:r>
          </w:p>
        </w:tc>
        <w:tc>
          <w:tcPr>
            <w:tcW w:type="dxa" w:w="549"/>
          </w:tcPr>
          <w:p>
            <w:pPr>
              <w:spacing w:after="0" w:line="252" w:lineRule="auto"/>
            </w:pPr>
            <w:r>
              <w:rPr>
                <w:sz w:val="17"/>
              </w:rPr>
              <w:t>10</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2</w:t>
            </w:r>
          </w:p>
        </w:tc>
        <w:tc>
          <w:tcPr>
            <w:tcW w:type="dxa" w:w="3297"/>
          </w:tcPr>
          <w:p>
            <w:pPr>
              <w:spacing w:after="0" w:line="252" w:lineRule="auto"/>
            </w:pPr>
            <w:r>
              <w:rPr>
                <w:sz w:val="17"/>
              </w:rPr>
              <w:t>Demand number</w:t>
            </w:r>
          </w:p>
        </w:tc>
        <w:tc>
          <w:tcPr>
            <w:tcW w:type="dxa" w:w="3480"/>
          </w:tcPr>
          <w:p>
            <w:pPr>
              <w:spacing w:after="0" w:line="252" w:lineRule="auto"/>
            </w:pPr>
            <w:r>
              <w:rPr>
                <w:rFonts w:ascii="Consolas" w:hAnsi="Consolas" w:cs="Consolas" w:eastAsia="Consolas"/>
                <w:sz w:val="15"/>
              </w:rPr>
              <w:t>demandNo</w:t>
            </w:r>
          </w:p>
        </w:tc>
        <w:tc>
          <w:tcPr>
            <w:tcW w:type="dxa" w:w="549"/>
          </w:tcPr>
          <w:p>
            <w:pPr>
              <w:spacing w:after="0" w:line="252" w:lineRule="auto"/>
            </w:pPr>
            <w:r>
              <w:rPr>
                <w:sz w:val="17"/>
              </w:rPr>
              <w:t>S</w:t>
            </w:r>
          </w:p>
        </w:tc>
        <w:tc>
          <w:tcPr>
            <w:tcW w:type="dxa" w:w="549"/>
          </w:tcPr>
          <w:p>
            <w:pPr>
              <w:spacing w:after="0" w:line="252" w:lineRule="auto"/>
            </w:pPr>
            <w:r>
              <w:rPr>
                <w:sz w:val="17"/>
              </w:rPr>
              <w:t>20</w:t>
            </w:r>
          </w:p>
        </w:tc>
        <w:tc>
          <w:tcPr>
            <w:tcW w:type="dxa" w:w="549"/>
          </w:tcPr>
          <w:p>
            <w:pPr>
              <w:spacing w:after="0" w:line="252" w:lineRule="auto"/>
            </w:pPr>
            <w:r>
              <w:rPr>
                <w:sz w:val="17"/>
              </w:rPr>
              <w:t>X</w:t>
            </w:r>
          </w:p>
        </w:tc>
        <w:tc>
          <w:tcPr>
            <w:tcW w:type="dxa" w:w="549"/>
          </w:tcPr>
          <w:p>
            <w:pPr>
              <w:spacing w:after="0" w:line="252" w:lineRule="auto"/>
            </w:pPr>
          </w:p>
        </w:tc>
      </w:tr>
      <w:tr>
        <w:tc>
          <w:tcPr>
            <w:tcW w:type="dxa" w:w="549"/>
          </w:tcPr>
          <w:p>
            <w:pPr>
              <w:spacing w:after="0" w:line="252" w:lineRule="auto"/>
            </w:pPr>
            <w:r>
              <w:rPr>
                <w:sz w:val="17"/>
              </w:rPr>
              <w:t>3</w:t>
            </w:r>
          </w:p>
        </w:tc>
        <w:tc>
          <w:tcPr>
            <w:tcW w:type="dxa" w:w="3297"/>
          </w:tcPr>
          <w:p>
            <w:pPr>
              <w:spacing w:after="0" w:line="252" w:lineRule="auto"/>
            </w:pPr>
            <w:r>
              <w:rPr>
                <w:sz w:val="17"/>
              </w:rPr>
              <w:t>Partner role</w:t>
            </w:r>
          </w:p>
        </w:tc>
        <w:tc>
          <w:tcPr>
            <w:tcW w:type="dxa" w:w="3480"/>
          </w:tcPr>
          <w:p>
            <w:pPr>
              <w:spacing w:after="0" w:line="252" w:lineRule="auto"/>
            </w:pPr>
            <w:r>
              <w:rPr>
                <w:rFonts w:ascii="Consolas" w:hAnsi="Consolas" w:cs="Consolas" w:eastAsia="Consolas"/>
                <w:sz w:val="15"/>
              </w:rPr>
              <w:t>roleKind</w:t>
            </w:r>
          </w:p>
        </w:tc>
        <w:tc>
          <w:tcPr>
            <w:tcW w:type="dxa" w:w="549"/>
          </w:tcPr>
          <w:p>
            <w:pPr>
              <w:spacing w:after="0" w:line="252" w:lineRule="auto"/>
            </w:pPr>
            <w:r>
              <w:rPr>
                <w:sz w:val="17"/>
              </w:rPr>
              <w:t>E</w:t>
            </w:r>
          </w:p>
        </w:tc>
        <w:tc>
          <w:tcPr>
            <w:tcW w:type="dxa" w:w="549"/>
          </w:tcPr>
          <w:p>
            <w:pPr>
              <w:spacing w:after="0" w:line="252" w:lineRule="auto"/>
            </w:pPr>
            <w:r>
              <w:rPr>
                <w:sz w:val="17"/>
              </w:rPr>
              <w:t>17</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4</w:t>
            </w:r>
          </w:p>
        </w:tc>
        <w:tc>
          <w:tcPr>
            <w:tcW w:type="dxa" w:w="3297"/>
          </w:tcPr>
          <w:p>
            <w:pPr>
              <w:spacing w:after="0" w:line="252" w:lineRule="auto"/>
            </w:pPr>
            <w:r>
              <w:rPr>
                <w:sz w:val="17"/>
              </w:rPr>
              <w:t>Partner</w:t>
            </w:r>
          </w:p>
        </w:tc>
        <w:tc>
          <w:tcPr>
            <w:tcW w:type="dxa" w:w="3480"/>
          </w:tcPr>
          <w:p>
            <w:pPr>
              <w:spacing w:after="0" w:line="252" w:lineRule="auto"/>
            </w:pPr>
            <w:r>
              <w:rPr>
                <w:rFonts w:ascii="Consolas" w:hAnsi="Consolas" w:cs="Consolas" w:eastAsia="Consolas"/>
                <w:sz w:val="15"/>
              </w:rPr>
              <w:t>partnerId</w:t>
            </w:r>
          </w:p>
        </w:tc>
        <w:tc>
          <w:tcPr>
            <w:tcW w:type="dxa" w:w="549"/>
          </w:tcPr>
          <w:p>
            <w:pPr>
              <w:spacing w:after="0" w:line="252" w:lineRule="auto"/>
            </w:pPr>
            <w:r>
              <w:rPr>
                <w:sz w:val="17"/>
              </w:rPr>
              <w:t>S</w:t>
            </w:r>
          </w:p>
        </w:tc>
        <w:tc>
          <w:tcPr>
            <w:tcW w:type="dxa" w:w="549"/>
          </w:tcPr>
          <w:p>
            <w:pPr>
              <w:spacing w:after="0" w:line="252" w:lineRule="auto"/>
            </w:pPr>
            <w:r>
              <w:rPr>
                <w:sz w:val="17"/>
              </w:rPr>
              <w:t>15</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5</w:t>
            </w:r>
          </w:p>
        </w:tc>
        <w:tc>
          <w:tcPr>
            <w:tcW w:type="dxa" w:w="3297"/>
          </w:tcPr>
          <w:p>
            <w:pPr>
              <w:spacing w:after="0" w:line="252" w:lineRule="auto"/>
            </w:pPr>
            <w:r>
              <w:rPr>
                <w:sz w:val="17"/>
              </w:rPr>
              <w:t>Data state</w:t>
            </w:r>
          </w:p>
        </w:tc>
        <w:tc>
          <w:tcPr>
            <w:tcW w:type="dxa" w:w="3480"/>
          </w:tcPr>
          <w:p>
            <w:pPr>
              <w:spacing w:after="0" w:line="252" w:lineRule="auto"/>
            </w:pPr>
            <w:r>
              <w:rPr>
                <w:rFonts w:ascii="Consolas" w:hAnsi="Consolas" w:cs="Consolas" w:eastAsia="Consolas"/>
                <w:sz w:val="15"/>
              </w:rPr>
              <w:t>recordState</w:t>
            </w:r>
          </w:p>
        </w:tc>
        <w:tc>
          <w:tcPr>
            <w:tcW w:type="dxa" w:w="549"/>
          </w:tcPr>
          <w:p>
            <w:pPr>
              <w:spacing w:after="0" w:line="252" w:lineRule="auto"/>
            </w:pPr>
            <w:r>
              <w:rPr>
                <w:sz w:val="17"/>
              </w:rPr>
              <w:t>E</w:t>
            </w:r>
          </w:p>
        </w:tc>
        <w:tc>
          <w:tcPr>
            <w:tcW w:type="dxa" w:w="549"/>
          </w:tcPr>
          <w:p>
            <w:pPr>
              <w:spacing w:after="0" w:line="252" w:lineRule="auto"/>
            </w:pPr>
            <w:r>
              <w:rPr>
                <w:sz w:val="17"/>
              </w:rPr>
              <w:t>6</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6</w:t>
            </w:r>
          </w:p>
        </w:tc>
        <w:tc>
          <w:tcPr>
            <w:tcW w:type="dxa" w:w="3297"/>
          </w:tcPr>
          <w:p>
            <w:pPr>
              <w:spacing w:after="0" w:line="252" w:lineRule="auto"/>
            </w:pPr>
            <w:r>
              <w:rPr>
                <w:sz w:val="17"/>
              </w:rPr>
              <w:t>Title</w:t>
            </w:r>
          </w:p>
        </w:tc>
        <w:tc>
          <w:tcPr>
            <w:tcW w:type="dxa" w:w="3480"/>
          </w:tcPr>
          <w:p>
            <w:pPr>
              <w:spacing w:after="0" w:line="252" w:lineRule="auto"/>
            </w:pPr>
            <w:r>
              <w:rPr>
                <w:rFonts w:ascii="Consolas" w:hAnsi="Consolas" w:cs="Consolas" w:eastAsia="Consolas"/>
                <w:sz w:val="15"/>
              </w:rPr>
              <w:t>partnerTitle</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7–10</w:t>
            </w:r>
          </w:p>
        </w:tc>
        <w:tc>
          <w:tcPr>
            <w:tcW w:type="dxa" w:w="3297"/>
          </w:tcPr>
          <w:p>
            <w:pPr>
              <w:spacing w:after="0" w:line="252" w:lineRule="auto"/>
            </w:pPr>
            <w:r>
              <w:rPr>
                <w:sz w:val="17"/>
              </w:rPr>
              <w:t>Name 1–4</w:t>
            </w:r>
          </w:p>
        </w:tc>
        <w:tc>
          <w:tcPr>
            <w:tcW w:type="dxa" w:w="3480"/>
          </w:tcPr>
          <w:p>
            <w:pPr>
              <w:spacing w:after="0" w:line="252" w:lineRule="auto"/>
            </w:pPr>
            <w:r>
              <w:rPr>
                <w:rFonts w:ascii="Consolas" w:hAnsi="Consolas" w:cs="Consolas" w:eastAsia="Consolas"/>
                <w:sz w:val="15"/>
              </w:rPr>
              <w:t>partnerAddrName</w:t>
            </w:r>
            <w:r>
              <w:rPr>
                <w:sz w:val="17"/>
              </w:rPr>
              <w:t xml:space="preserve"> … </w:t>
            </w:r>
            <w:r>
              <w:rPr>
                <w:rFonts w:ascii="Consolas" w:hAnsi="Consolas" w:cs="Consolas" w:eastAsia="Consolas"/>
                <w:sz w:val="15"/>
              </w:rPr>
              <w:t>partnerAddrName4</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11</w:t>
            </w:r>
          </w:p>
        </w:tc>
        <w:tc>
          <w:tcPr>
            <w:tcW w:type="dxa" w:w="3297"/>
          </w:tcPr>
          <w:p>
            <w:pPr>
              <w:spacing w:after="0" w:line="252" w:lineRule="auto"/>
            </w:pPr>
            <w:r>
              <w:rPr>
                <w:sz w:val="17"/>
              </w:rPr>
              <w:t>Street</w:t>
            </w:r>
          </w:p>
        </w:tc>
        <w:tc>
          <w:tcPr>
            <w:tcW w:type="dxa" w:w="3480"/>
          </w:tcPr>
          <w:p>
            <w:pPr>
              <w:spacing w:after="0" w:line="252" w:lineRule="auto"/>
            </w:pPr>
            <w:r>
              <w:rPr>
                <w:rFonts w:ascii="Consolas" w:hAnsi="Consolas" w:cs="Consolas" w:eastAsia="Consolas"/>
                <w:sz w:val="15"/>
              </w:rPr>
              <w:t>partnerAddrStreet</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12</w:t>
            </w:r>
          </w:p>
        </w:tc>
        <w:tc>
          <w:tcPr>
            <w:tcW w:type="dxa" w:w="3297"/>
          </w:tcPr>
          <w:p>
            <w:pPr>
              <w:spacing w:after="0" w:line="252" w:lineRule="auto"/>
            </w:pPr>
            <w:r>
              <w:rPr>
                <w:sz w:val="17"/>
              </w:rPr>
              <w:t>City</w:t>
            </w:r>
          </w:p>
        </w:tc>
        <w:tc>
          <w:tcPr>
            <w:tcW w:type="dxa" w:w="3480"/>
          </w:tcPr>
          <w:p>
            <w:pPr>
              <w:spacing w:after="0" w:line="252" w:lineRule="auto"/>
            </w:pPr>
            <w:r>
              <w:rPr>
                <w:rFonts w:ascii="Consolas" w:hAnsi="Consolas" w:cs="Consolas" w:eastAsia="Consolas"/>
                <w:sz w:val="15"/>
              </w:rPr>
              <w:t>partnerAddrCity</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13</w:t>
            </w:r>
          </w:p>
        </w:tc>
        <w:tc>
          <w:tcPr>
            <w:tcW w:type="dxa" w:w="3297"/>
          </w:tcPr>
          <w:p>
            <w:pPr>
              <w:spacing w:after="0" w:line="252" w:lineRule="auto"/>
            </w:pPr>
            <w:r>
              <w:rPr>
                <w:sz w:val="17"/>
              </w:rPr>
              <w:t>District</w:t>
            </w:r>
          </w:p>
        </w:tc>
        <w:tc>
          <w:tcPr>
            <w:tcW w:type="dxa" w:w="3480"/>
          </w:tcPr>
          <w:p>
            <w:pPr>
              <w:spacing w:after="0" w:line="252" w:lineRule="auto"/>
            </w:pPr>
            <w:r>
              <w:rPr>
                <w:rFonts w:ascii="Consolas" w:hAnsi="Consolas" w:cs="Consolas" w:eastAsia="Consolas"/>
                <w:sz w:val="15"/>
              </w:rPr>
              <w:t>partnerAddrDistrict</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14</w:t>
            </w:r>
          </w:p>
        </w:tc>
        <w:tc>
          <w:tcPr>
            <w:tcW w:type="dxa" w:w="3297"/>
          </w:tcPr>
          <w:p>
            <w:pPr>
              <w:spacing w:after="0" w:line="252" w:lineRule="auto"/>
            </w:pPr>
            <w:r>
              <w:rPr>
                <w:sz w:val="17"/>
              </w:rPr>
              <w:t>Region</w:t>
            </w:r>
          </w:p>
        </w:tc>
        <w:tc>
          <w:tcPr>
            <w:tcW w:type="dxa" w:w="3480"/>
          </w:tcPr>
          <w:p>
            <w:pPr>
              <w:spacing w:after="0" w:line="252" w:lineRule="auto"/>
            </w:pPr>
            <w:r>
              <w:rPr>
                <w:rFonts w:ascii="Consolas" w:hAnsi="Consolas" w:cs="Consolas" w:eastAsia="Consolas"/>
                <w:sz w:val="15"/>
              </w:rPr>
              <w:t>partnerAddrRegion</w:t>
            </w:r>
          </w:p>
        </w:tc>
        <w:tc>
          <w:tcPr>
            <w:tcW w:type="dxa" w:w="549"/>
          </w:tcPr>
          <w:p>
            <w:pPr>
              <w:spacing w:after="0" w:line="252" w:lineRule="auto"/>
            </w:pPr>
            <w:r>
              <w:rPr>
                <w:sz w:val="17"/>
              </w:rPr>
              <w:t>S</w:t>
            </w:r>
          </w:p>
        </w:tc>
        <w:tc>
          <w:tcPr>
            <w:tcW w:type="dxa" w:w="549"/>
          </w:tcPr>
          <w:p>
            <w:pPr>
              <w:spacing w:after="0" w:line="252" w:lineRule="auto"/>
            </w:pPr>
            <w:r>
              <w:rPr>
                <w:sz w:val="17"/>
              </w:rPr>
              <w:t>35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15</w:t>
            </w:r>
          </w:p>
        </w:tc>
        <w:tc>
          <w:tcPr>
            <w:tcW w:type="dxa" w:w="3297"/>
          </w:tcPr>
          <w:p>
            <w:pPr>
              <w:spacing w:after="0" w:line="252" w:lineRule="auto"/>
            </w:pPr>
            <w:r>
              <w:rPr>
                <w:sz w:val="17"/>
              </w:rPr>
              <w:t>Country (ISO 3166-1 alpha-2)</w:t>
            </w:r>
          </w:p>
        </w:tc>
        <w:tc>
          <w:tcPr>
            <w:tcW w:type="dxa" w:w="3480"/>
          </w:tcPr>
          <w:p>
            <w:pPr>
              <w:spacing w:after="0" w:line="252" w:lineRule="auto"/>
            </w:pPr>
            <w:r>
              <w:rPr>
                <w:rFonts w:ascii="Consolas" w:hAnsi="Consolas" w:cs="Consolas" w:eastAsia="Consolas"/>
                <w:sz w:val="15"/>
              </w:rPr>
              <w:t>partnerAddrCountryId</w:t>
            </w:r>
          </w:p>
        </w:tc>
        <w:tc>
          <w:tcPr>
            <w:tcW w:type="dxa" w:w="549"/>
          </w:tcPr>
          <w:p>
            <w:pPr>
              <w:spacing w:after="0" w:line="252" w:lineRule="auto"/>
            </w:pPr>
            <w:r>
              <w:rPr>
                <w:sz w:val="17"/>
              </w:rPr>
              <w:t>S</w:t>
            </w:r>
          </w:p>
        </w:tc>
        <w:tc>
          <w:tcPr>
            <w:tcW w:type="dxa" w:w="549"/>
          </w:tcPr>
          <w:p>
            <w:pPr>
              <w:spacing w:after="0" w:line="252" w:lineRule="auto"/>
            </w:pPr>
            <w:r>
              <w:rPr>
                <w:sz w:val="17"/>
              </w:rPr>
              <w:t>2</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16</w:t>
            </w:r>
          </w:p>
        </w:tc>
        <w:tc>
          <w:tcPr>
            <w:tcW w:type="dxa" w:w="3297"/>
          </w:tcPr>
          <w:p>
            <w:pPr>
              <w:spacing w:after="0" w:line="252" w:lineRule="auto"/>
            </w:pPr>
            <w:r>
              <w:rPr>
                <w:sz w:val="17"/>
              </w:rPr>
              <w:t>ZIP code</w:t>
            </w:r>
          </w:p>
        </w:tc>
        <w:tc>
          <w:tcPr>
            <w:tcW w:type="dxa" w:w="3480"/>
          </w:tcPr>
          <w:p>
            <w:pPr>
              <w:spacing w:after="0" w:line="252" w:lineRule="auto"/>
            </w:pPr>
            <w:r>
              <w:rPr>
                <w:rFonts w:ascii="Consolas" w:hAnsi="Consolas" w:cs="Consolas" w:eastAsia="Consolas"/>
                <w:sz w:val="15"/>
              </w:rPr>
              <w:t>partnerAddrZipCode</w:t>
            </w:r>
          </w:p>
        </w:tc>
        <w:tc>
          <w:tcPr>
            <w:tcW w:type="dxa" w:w="549"/>
          </w:tcPr>
          <w:p>
            <w:pPr>
              <w:spacing w:after="0" w:line="252" w:lineRule="auto"/>
            </w:pPr>
            <w:r>
              <w:rPr>
                <w:sz w:val="17"/>
              </w:rPr>
              <w:t>S</w:t>
            </w:r>
          </w:p>
        </w:tc>
        <w:tc>
          <w:tcPr>
            <w:tcW w:type="dxa" w:w="549"/>
          </w:tcPr>
          <w:p>
            <w:pPr>
              <w:spacing w:after="0" w:line="252" w:lineRule="auto"/>
            </w:pPr>
            <w:r>
              <w:rPr>
                <w:sz w:val="17"/>
              </w:rPr>
              <w:t>10</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17</w:t>
            </w:r>
          </w:p>
        </w:tc>
        <w:tc>
          <w:tcPr>
            <w:tcW w:type="dxa" w:w="3297"/>
          </w:tcPr>
          <w:p>
            <w:pPr>
              <w:spacing w:after="0" w:line="252" w:lineRule="auto"/>
            </w:pPr>
            <w:r>
              <w:rPr>
                <w:sz w:val="17"/>
              </w:rPr>
              <w:t>Phone</w:t>
            </w:r>
          </w:p>
        </w:tc>
        <w:tc>
          <w:tcPr>
            <w:tcW w:type="dxa" w:w="3480"/>
          </w:tcPr>
          <w:p>
            <w:pPr>
              <w:spacing w:after="0" w:line="252" w:lineRule="auto"/>
            </w:pPr>
            <w:r>
              <w:rPr>
                <w:rFonts w:ascii="Consolas" w:hAnsi="Consolas" w:cs="Consolas" w:eastAsia="Consolas"/>
                <w:sz w:val="15"/>
              </w:rPr>
              <w:t>partnerAddrPhone</w:t>
            </w:r>
          </w:p>
        </w:tc>
        <w:tc>
          <w:tcPr>
            <w:tcW w:type="dxa" w:w="549"/>
          </w:tcPr>
          <w:p>
            <w:pPr>
              <w:spacing w:after="0" w:line="252" w:lineRule="auto"/>
            </w:pPr>
            <w:r>
              <w:rPr>
                <w:sz w:val="17"/>
              </w:rPr>
              <w:t>S</w:t>
            </w:r>
          </w:p>
        </w:tc>
        <w:tc>
          <w:tcPr>
            <w:tcW w:type="dxa" w:w="549"/>
          </w:tcPr>
          <w:p>
            <w:pPr>
              <w:spacing w:after="0" w:line="252" w:lineRule="auto"/>
            </w:pPr>
            <w:r>
              <w:rPr>
                <w:sz w:val="17"/>
              </w:rPr>
              <w:t>40</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18</w:t>
            </w:r>
          </w:p>
        </w:tc>
        <w:tc>
          <w:tcPr>
            <w:tcW w:type="dxa" w:w="3297"/>
          </w:tcPr>
          <w:p>
            <w:pPr>
              <w:spacing w:after="0" w:line="252" w:lineRule="auto"/>
            </w:pPr>
            <w:r>
              <w:rPr>
                <w:sz w:val="17"/>
              </w:rPr>
              <w:t>Fax</w:t>
            </w:r>
          </w:p>
        </w:tc>
        <w:tc>
          <w:tcPr>
            <w:tcW w:type="dxa" w:w="3480"/>
          </w:tcPr>
          <w:p>
            <w:pPr>
              <w:spacing w:after="0" w:line="252" w:lineRule="auto"/>
            </w:pPr>
            <w:r>
              <w:rPr>
                <w:rFonts w:ascii="Consolas" w:hAnsi="Consolas" w:cs="Consolas" w:eastAsia="Consolas"/>
                <w:sz w:val="15"/>
              </w:rPr>
              <w:t>partnerAddrFax</w:t>
            </w:r>
          </w:p>
        </w:tc>
        <w:tc>
          <w:tcPr>
            <w:tcW w:type="dxa" w:w="549"/>
          </w:tcPr>
          <w:p>
            <w:pPr>
              <w:spacing w:after="0" w:line="252" w:lineRule="auto"/>
            </w:pPr>
            <w:r>
              <w:rPr>
                <w:sz w:val="17"/>
              </w:rPr>
              <w:t>S</w:t>
            </w:r>
          </w:p>
        </w:tc>
        <w:tc>
          <w:tcPr>
            <w:tcW w:type="dxa" w:w="549"/>
          </w:tcPr>
          <w:p>
            <w:pPr>
              <w:spacing w:after="0" w:line="252" w:lineRule="auto"/>
            </w:pPr>
            <w:r>
              <w:rPr>
                <w:sz w:val="17"/>
              </w:rPr>
              <w:t>40</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19</w:t>
            </w:r>
          </w:p>
        </w:tc>
        <w:tc>
          <w:tcPr>
            <w:tcW w:type="dxa" w:w="3297"/>
          </w:tcPr>
          <w:p>
            <w:pPr>
              <w:spacing w:after="0" w:line="252" w:lineRule="auto"/>
            </w:pPr>
            <w:r>
              <w:rPr>
                <w:sz w:val="17"/>
              </w:rPr>
              <w:t>Email</w:t>
            </w:r>
          </w:p>
        </w:tc>
        <w:tc>
          <w:tcPr>
            <w:tcW w:type="dxa" w:w="3480"/>
          </w:tcPr>
          <w:p>
            <w:pPr>
              <w:spacing w:after="0" w:line="252" w:lineRule="auto"/>
            </w:pPr>
            <w:r>
              <w:rPr>
                <w:rFonts w:ascii="Consolas" w:hAnsi="Consolas" w:cs="Consolas" w:eastAsia="Consolas"/>
                <w:sz w:val="15"/>
              </w:rPr>
              <w:t>partnerAddrEmail</w:t>
            </w:r>
          </w:p>
        </w:tc>
        <w:tc>
          <w:tcPr>
            <w:tcW w:type="dxa" w:w="549"/>
          </w:tcPr>
          <w:p>
            <w:pPr>
              <w:spacing w:after="0" w:line="252" w:lineRule="auto"/>
            </w:pPr>
            <w:r>
              <w:rPr>
                <w:sz w:val="17"/>
              </w:rPr>
              <w:t>S</w:t>
            </w:r>
          </w:p>
        </w:tc>
        <w:tc>
          <w:tcPr>
            <w:tcW w:type="dxa" w:w="549"/>
          </w:tcPr>
          <w:p>
            <w:pPr>
              <w:spacing w:after="0" w:line="252" w:lineRule="auto"/>
            </w:pPr>
            <w:r>
              <w:rPr>
                <w:sz w:val="17"/>
              </w:rPr>
              <w:t>255</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20</w:t>
            </w:r>
          </w:p>
        </w:tc>
        <w:tc>
          <w:tcPr>
            <w:tcW w:type="dxa" w:w="3297"/>
          </w:tcPr>
          <w:p>
            <w:pPr>
              <w:spacing w:after="0" w:line="252" w:lineRule="auto"/>
            </w:pPr>
            <w:r>
              <w:rPr>
                <w:sz w:val="17"/>
              </w:rPr>
              <w:t>Website</w:t>
            </w:r>
          </w:p>
        </w:tc>
        <w:tc>
          <w:tcPr>
            <w:tcW w:type="dxa" w:w="3480"/>
          </w:tcPr>
          <w:p>
            <w:pPr>
              <w:spacing w:after="0" w:line="252" w:lineRule="auto"/>
            </w:pPr>
            <w:r>
              <w:rPr>
                <w:rFonts w:ascii="Consolas" w:hAnsi="Consolas" w:cs="Consolas" w:eastAsia="Consolas"/>
                <w:sz w:val="15"/>
              </w:rPr>
              <w:t>partnerAddrWebsite</w:t>
            </w:r>
          </w:p>
        </w:tc>
        <w:tc>
          <w:tcPr>
            <w:tcW w:type="dxa" w:w="549"/>
          </w:tcPr>
          <w:p>
            <w:pPr>
              <w:spacing w:after="0" w:line="252" w:lineRule="auto"/>
            </w:pPr>
            <w:r>
              <w:rPr>
                <w:sz w:val="17"/>
              </w:rPr>
              <w:t>S</w:t>
            </w:r>
          </w:p>
        </w:tc>
        <w:tc>
          <w:tcPr>
            <w:tcW w:type="dxa" w:w="549"/>
          </w:tcPr>
          <w:p>
            <w:pPr>
              <w:spacing w:after="0" w:line="252" w:lineRule="auto"/>
            </w:pPr>
            <w:r>
              <w:rPr>
                <w:sz w:val="17"/>
              </w:rPr>
              <w:t>40</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21</w:t>
            </w:r>
          </w:p>
        </w:tc>
        <w:tc>
          <w:tcPr>
            <w:tcW w:type="dxa" w:w="3297"/>
          </w:tcPr>
          <w:p>
            <w:pPr>
              <w:spacing w:after="0" w:line="252" w:lineRule="auto"/>
            </w:pPr>
            <w:r>
              <w:rPr>
                <w:sz w:val="17"/>
              </w:rPr>
              <w:t>GLN (13 Stellen)</w:t>
            </w:r>
          </w:p>
        </w:tc>
        <w:tc>
          <w:tcPr>
            <w:tcW w:type="dxa" w:w="3480"/>
          </w:tcPr>
          <w:p>
            <w:pPr>
              <w:spacing w:after="0" w:line="252" w:lineRule="auto"/>
            </w:pPr>
            <w:r>
              <w:rPr>
                <w:rFonts w:ascii="Consolas" w:hAnsi="Consolas" w:cs="Consolas" w:eastAsia="Consolas"/>
                <w:sz w:val="15"/>
              </w:rPr>
              <w:t>partnerAddrGln</w:t>
            </w:r>
          </w:p>
        </w:tc>
        <w:tc>
          <w:tcPr>
            <w:tcW w:type="dxa" w:w="549"/>
          </w:tcPr>
          <w:p>
            <w:pPr>
              <w:spacing w:after="0" w:line="252" w:lineRule="auto"/>
            </w:pPr>
            <w:r>
              <w:rPr>
                <w:sz w:val="17"/>
              </w:rPr>
              <w:t>S</w:t>
            </w:r>
          </w:p>
        </w:tc>
        <w:tc>
          <w:tcPr>
            <w:tcW w:type="dxa" w:w="549"/>
          </w:tcPr>
          <w:p>
            <w:pPr>
              <w:spacing w:after="0" w:line="252" w:lineRule="auto"/>
            </w:pPr>
            <w:r>
              <w:rPr>
                <w:sz w:val="17"/>
              </w:rPr>
              <w:t>13</w:t>
            </w:r>
          </w:p>
        </w:tc>
        <w:tc>
          <w:tcPr>
            <w:tcW w:type="dxa" w:w="549"/>
          </w:tcPr>
          <w:p>
            <w:pPr>
              <w:spacing w:after="0" w:line="252" w:lineRule="auto"/>
            </w:pPr>
          </w:p>
        </w:tc>
        <w:tc>
          <w:tcPr>
            <w:tcW w:type="dxa" w:w="549"/>
          </w:tcPr>
          <w:p>
            <w:pPr>
              <w:spacing w:after="0" w:line="252" w:lineRule="auto"/>
            </w:pPr>
          </w:p>
        </w:tc>
      </w:tr>
      <w:tr>
        <w:tc>
          <w:tcPr>
            <w:tcW w:type="dxa" w:w="549"/>
          </w:tcPr>
          <w:p>
            <w:pPr>
              <w:spacing w:after="0" w:line="252" w:lineRule="auto"/>
            </w:pPr>
            <w:r>
              <w:rPr>
                <w:sz w:val="17"/>
              </w:rPr>
              <w:t>22</w:t>
            </w:r>
          </w:p>
        </w:tc>
        <w:tc>
          <w:tcPr>
            <w:tcW w:type="dxa" w:w="3297"/>
          </w:tcPr>
          <w:p>
            <w:pPr>
              <w:spacing w:after="0" w:line="252" w:lineRule="auto"/>
            </w:pPr>
            <w:r>
              <w:rPr>
                <w:sz w:val="17"/>
              </w:rPr>
              <w:t>Language (ISO 639-2/B, z. B. ger-CH)</w:t>
            </w:r>
          </w:p>
        </w:tc>
        <w:tc>
          <w:tcPr>
            <w:tcW w:type="dxa" w:w="3480"/>
          </w:tcPr>
          <w:p>
            <w:pPr>
              <w:spacing w:after="0" w:line="252" w:lineRule="auto"/>
            </w:pPr>
            <w:r>
              <w:rPr>
                <w:rFonts w:ascii="Consolas" w:hAnsi="Consolas" w:cs="Consolas" w:eastAsia="Consolas"/>
                <w:sz w:val="15"/>
              </w:rPr>
              <w:t>partnerAddrLangId</w:t>
            </w:r>
          </w:p>
        </w:tc>
        <w:tc>
          <w:tcPr>
            <w:tcW w:type="dxa" w:w="549"/>
          </w:tcPr>
          <w:p>
            <w:pPr>
              <w:spacing w:after="0" w:line="252" w:lineRule="auto"/>
            </w:pPr>
            <w:r>
              <w:rPr>
                <w:sz w:val="17"/>
              </w:rPr>
              <w:t>S</w:t>
            </w:r>
          </w:p>
        </w:tc>
        <w:tc>
          <w:tcPr>
            <w:tcW w:type="dxa" w:w="549"/>
          </w:tcPr>
          <w:p>
            <w:pPr>
              <w:spacing w:after="0" w:line="252" w:lineRule="auto"/>
            </w:pPr>
            <w:r>
              <w:rPr>
                <w:sz w:val="17"/>
              </w:rPr>
              <w:t>6</w:t>
            </w:r>
          </w:p>
        </w:tc>
        <w:tc>
          <w:tcPr>
            <w:tcW w:type="dxa" w:w="549"/>
          </w:tcPr>
          <w:p>
            <w:pPr>
              <w:spacing w:after="0" w:line="252" w:lineRule="auto"/>
            </w:pPr>
            <w:r>
              <w:rPr>
                <w:sz w:val="17"/>
              </w:rPr>
              <w:t>X</w:t>
            </w:r>
          </w:p>
        </w:tc>
        <w:tc>
          <w:tcPr>
            <w:tcW w:type="dxa" w:w="549"/>
          </w:tcPr>
          <w:p>
            <w:pPr>
              <w:spacing w:after="0" w:line="252" w:lineRule="auto"/>
            </w:pPr>
            <w:r>
              <w:rPr>
                <w:sz w:val="17"/>
              </w:rPr>
              <w:t>X</w:t>
            </w:r>
          </w:p>
        </w:tc>
      </w:tr>
      <w:tr>
        <w:tc>
          <w:tcPr>
            <w:tcW w:type="dxa" w:w="549"/>
          </w:tcPr>
          <w:p>
            <w:pPr>
              <w:spacing w:after="0" w:line="252" w:lineRule="auto"/>
            </w:pPr>
            <w:r>
              <w:rPr>
                <w:sz w:val="17"/>
              </w:rPr>
              <w:t>23</w:t>
            </w:r>
          </w:p>
        </w:tc>
        <w:tc>
          <w:tcPr>
            <w:tcW w:type="dxa" w:w="3297"/>
          </w:tcPr>
          <w:p>
            <w:pPr>
              <w:spacing w:after="0" w:line="252" w:lineRule="auto"/>
            </w:pPr>
            <w:r>
              <w:rPr>
                <w:sz w:val="17"/>
              </w:rPr>
              <w:t>Time zone</w:t>
            </w:r>
          </w:p>
        </w:tc>
        <w:tc>
          <w:tcPr>
            <w:tcW w:type="dxa" w:w="3480"/>
          </w:tcPr>
          <w:p>
            <w:pPr>
              <w:spacing w:after="0" w:line="252" w:lineRule="auto"/>
            </w:pPr>
            <w:r>
              <w:rPr>
                <w:rFonts w:ascii="Consolas" w:hAnsi="Consolas" w:cs="Consolas" w:eastAsia="Consolas"/>
                <w:sz w:val="15"/>
              </w:rPr>
              <w:t>partnerAddrTimezone</w:t>
            </w:r>
          </w:p>
        </w:tc>
        <w:tc>
          <w:tcPr>
            <w:tcW w:type="dxa" w:w="549"/>
          </w:tcPr>
          <w:p>
            <w:pPr>
              <w:spacing w:after="0" w:line="252" w:lineRule="auto"/>
            </w:pPr>
            <w:r>
              <w:rPr>
                <w:sz w:val="17"/>
              </w:rPr>
              <w:t>S</w:t>
            </w:r>
          </w:p>
        </w:tc>
        <w:tc>
          <w:tcPr>
            <w:tcW w:type="dxa" w:w="549"/>
          </w:tcPr>
          <w:p>
            <w:pPr>
              <w:spacing w:after="0" w:line="252" w:lineRule="auto"/>
            </w:pPr>
            <w:r>
              <w:rPr>
                <w:sz w:val="17"/>
              </w:rPr>
              <w:t>100</w:t>
            </w:r>
          </w:p>
        </w:tc>
        <w:tc>
          <w:tcPr>
            <w:tcW w:type="dxa" w:w="549"/>
          </w:tcPr>
          <w:p>
            <w:pPr>
              <w:spacing w:after="0" w:line="252" w:lineRule="auto"/>
            </w:pPr>
            <w:r>
              <w:rPr>
                <w:sz w:val="17"/>
              </w:rPr>
              <w:t>X</w:t>
            </w:r>
          </w:p>
        </w:tc>
        <w:tc>
          <w:tcPr>
            <w:tcW w:type="dxa" w:w="549"/>
          </w:tcPr>
          <w:p>
            <w:pPr>
              <w:spacing w:after="0" w:line="252" w:lineRule="auto"/>
            </w:pPr>
          </w:p>
        </w:tc>
      </w:tr>
    </w:tbl>
    <w:p>
      <w:pPr>
        <w:pStyle w:val="BeschriftungSSI"/>
      </w:pPr>
      <w:r>
        <w:t>Tab. 10: Felder WLSSDPARTNER001 / WLSPDPARTNER001 / WLSINVDPARTNER001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61"/>
        <w:gridCol w:w="6864"/>
      </w:tblGrid>
      <w:tr>
        <w:trPr>
          <w:tblHeader w:val="true"/>
        </w:trPr>
        <w:tc>
          <w:tcPr>
            <w:tcW w:type="dxa" w:w="2661"/>
            <w:shd w:val="clear" w:color="auto" w:fill="FEEE19"/>
          </w:tcPr>
          <w:p>
            <w:pPr>
              <w:spacing w:after="0"/>
            </w:pPr>
            <w:r>
              <w:rPr>
                <w:b/>
                <w:sz w:val="17"/>
              </w:rPr>
              <w:t>Wert roleKind</w:t>
            </w:r>
          </w:p>
        </w:tc>
        <w:tc>
          <w:tcPr>
            <w:tcW w:type="dxa" w:w="6863"/>
            <w:shd w:val="clear" w:color="auto" w:fill="FEEE19"/>
          </w:tcPr>
          <w:p>
            <w:pPr>
              <w:spacing w:after="0"/>
            </w:pPr>
            <w:r>
              <w:rPr>
                <w:b/>
                <w:sz w:val="17"/>
              </w:rPr>
              <w:t>Bedeutung laut Interface Manual</w:t>
            </w:r>
          </w:p>
        </w:tc>
      </w:tr>
      <w:tr>
        <w:tc>
          <w:tcPr>
            <w:tcW w:type="dxa" w:w="2661"/>
          </w:tcPr>
          <w:p>
            <w:pPr>
              <w:spacing w:after="0" w:line="252" w:lineRule="auto"/>
            </w:pPr>
            <w:r>
              <w:rPr>
                <w:rFonts w:ascii="Consolas" w:hAnsi="Consolas" w:cs="Consolas" w:eastAsia="Consolas"/>
                <w:sz w:val="15"/>
              </w:rPr>
              <w:t>CONTRACTEE</w:t>
            </w:r>
          </w:p>
        </w:tc>
        <w:tc>
          <w:tcPr>
            <w:tcW w:type="dxa" w:w="6863"/>
          </w:tcPr>
          <w:p>
            <w:pPr>
              <w:spacing w:after="0" w:line="252" w:lineRule="auto"/>
            </w:pPr>
            <w:r>
              <w:rPr>
                <w:sz w:val="17"/>
              </w:rPr>
              <w:t>Auftraggeber (Käufer)</w:t>
            </w:r>
          </w:p>
        </w:tc>
      </w:tr>
      <w:tr>
        <w:tc>
          <w:tcPr>
            <w:tcW w:type="dxa" w:w="2661"/>
          </w:tcPr>
          <w:p>
            <w:pPr>
              <w:spacing w:after="0" w:line="252" w:lineRule="auto"/>
            </w:pPr>
            <w:r>
              <w:rPr>
                <w:rFonts w:ascii="Consolas" w:hAnsi="Consolas" w:cs="Consolas" w:eastAsia="Consolas"/>
                <w:sz w:val="15"/>
              </w:rPr>
              <w:t>SUPPLIER</w:t>
            </w:r>
          </w:p>
        </w:tc>
        <w:tc>
          <w:tcPr>
            <w:tcW w:type="dxa" w:w="6863"/>
          </w:tcPr>
          <w:p>
            <w:pPr>
              <w:spacing w:after="0" w:line="252" w:lineRule="auto"/>
            </w:pPr>
            <w:r>
              <w:rPr>
                <w:sz w:val="17"/>
              </w:rPr>
              <w:t>Lieferant; laut Handbuch „This role is mandatory“</w:t>
            </w:r>
          </w:p>
        </w:tc>
      </w:tr>
      <w:tr>
        <w:tc>
          <w:tcPr>
            <w:tcW w:type="dxa" w:w="2661"/>
          </w:tcPr>
          <w:p>
            <w:pPr>
              <w:spacing w:after="0" w:line="252" w:lineRule="auto"/>
            </w:pPr>
            <w:r>
              <w:rPr>
                <w:rFonts w:ascii="Consolas" w:hAnsi="Consolas" w:cs="Consolas" w:eastAsia="Consolas"/>
                <w:sz w:val="15"/>
              </w:rPr>
              <w:t>CONSIGNEE</w:t>
            </w:r>
          </w:p>
        </w:tc>
        <w:tc>
          <w:tcPr>
            <w:tcW w:type="dxa" w:w="6863"/>
          </w:tcPr>
          <w:p>
            <w:pPr>
              <w:spacing w:after="0" w:line="252" w:lineRule="auto"/>
            </w:pPr>
            <w:r>
              <w:rPr>
                <w:sz w:val="17"/>
              </w:rPr>
              <w:t>Warenempfänger</w:t>
            </w:r>
          </w:p>
        </w:tc>
      </w:tr>
      <w:tr>
        <w:tc>
          <w:tcPr>
            <w:tcW w:type="dxa" w:w="2661"/>
          </w:tcPr>
          <w:p>
            <w:pPr>
              <w:spacing w:after="0" w:line="252" w:lineRule="auto"/>
            </w:pPr>
            <w:r>
              <w:rPr>
                <w:rFonts w:ascii="Consolas" w:hAnsi="Consolas" w:cs="Consolas" w:eastAsia="Consolas"/>
                <w:sz w:val="15"/>
              </w:rPr>
              <w:t>FINAL_CONSIGNEE</w:t>
            </w:r>
          </w:p>
        </w:tc>
        <w:tc>
          <w:tcPr>
            <w:tcW w:type="dxa" w:w="6863"/>
          </w:tcPr>
          <w:p>
            <w:pPr>
              <w:spacing w:after="0" w:line="252" w:lineRule="auto"/>
            </w:pPr>
            <w:r>
              <w:rPr>
                <w:sz w:val="17"/>
              </w:rPr>
              <w:t>Endempfänger nach Cross Docking</w:t>
            </w:r>
          </w:p>
        </w:tc>
      </w:tr>
      <w:tr>
        <w:tc>
          <w:tcPr>
            <w:tcW w:type="dxa" w:w="2661"/>
          </w:tcPr>
          <w:p>
            <w:pPr>
              <w:spacing w:after="0" w:line="252" w:lineRule="auto"/>
            </w:pPr>
            <w:r>
              <w:rPr>
                <w:rFonts w:ascii="Consolas" w:hAnsi="Consolas" w:cs="Consolas" w:eastAsia="Consolas"/>
                <w:sz w:val="15"/>
              </w:rPr>
              <w:t>ORDERER</w:t>
            </w:r>
          </w:p>
        </w:tc>
        <w:tc>
          <w:tcPr>
            <w:tcW w:type="dxa" w:w="6863"/>
          </w:tcPr>
          <w:p>
            <w:pPr>
              <w:spacing w:after="0" w:line="252" w:lineRule="auto"/>
            </w:pPr>
            <w:r>
              <w:rPr>
                <w:sz w:val="17"/>
              </w:rPr>
              <w:t>Besteller (hat den Auftrag initiiert)</w:t>
            </w:r>
          </w:p>
        </w:tc>
      </w:tr>
      <w:tr>
        <w:tc>
          <w:tcPr>
            <w:tcW w:type="dxa" w:w="2661"/>
          </w:tcPr>
          <w:p>
            <w:pPr>
              <w:spacing w:after="0" w:line="252" w:lineRule="auto"/>
            </w:pPr>
            <w:r>
              <w:rPr>
                <w:rFonts w:ascii="Consolas" w:hAnsi="Consolas" w:cs="Consolas" w:eastAsia="Consolas"/>
                <w:sz w:val="15"/>
              </w:rPr>
              <w:t>INVOICE_RECIPIENT</w:t>
            </w:r>
          </w:p>
        </w:tc>
        <w:tc>
          <w:tcPr>
            <w:tcW w:type="dxa" w:w="6863"/>
          </w:tcPr>
          <w:p>
            <w:pPr>
              <w:spacing w:after="0" w:line="252" w:lineRule="auto"/>
            </w:pPr>
            <w:r>
              <w:rPr>
                <w:sz w:val="17"/>
              </w:rPr>
              <w:t>Rechnungsempfänger</w:t>
            </w:r>
          </w:p>
        </w:tc>
      </w:tr>
      <w:tr>
        <w:tc>
          <w:tcPr>
            <w:tcW w:type="dxa" w:w="2661"/>
          </w:tcPr>
          <w:p>
            <w:pPr>
              <w:spacing w:after="0" w:line="252" w:lineRule="auto"/>
            </w:pPr>
            <w:r>
              <w:rPr>
                <w:rFonts w:ascii="Consolas" w:hAnsi="Consolas" w:cs="Consolas" w:eastAsia="Consolas"/>
                <w:sz w:val="15"/>
              </w:rPr>
              <w:t>FREIGHT_CARRIER</w:t>
            </w:r>
          </w:p>
        </w:tc>
        <w:tc>
          <w:tcPr>
            <w:tcW w:type="dxa" w:w="6863"/>
          </w:tcPr>
          <w:p>
            <w:pPr>
              <w:spacing w:after="0" w:line="252" w:lineRule="auto"/>
            </w:pPr>
            <w:r>
              <w:rPr>
                <w:sz w:val="17"/>
              </w:rPr>
              <w:t>Frachtführer</w:t>
            </w:r>
          </w:p>
        </w:tc>
      </w:tr>
    </w:tbl>
    <w:p>
      <w:pPr>
        <w:pStyle w:val="BeschriftungSSI"/>
      </w:pPr>
      <w:r>
        <w:t>Tab. 11: Partnerrollen (roleKind)</w:t>
      </w:r>
    </w:p>
    <w:p>
      <w:r>
        <w:rPr>
          <w:rFonts w:ascii="Consolas" w:hAnsi="Consolas" w:cs="Consolas" w:eastAsia="Consolas"/>
          <w:sz w:val="18"/>
        </w:rPr>
        <w:t>recordState</w:t>
      </w:r>
      <w:r>
        <w:t xml:space="preserve">: </w:t>
      </w:r>
      <w:r>
        <w:rPr>
          <w:rFonts w:ascii="Consolas" w:hAnsi="Consolas" w:cs="Consolas" w:eastAsia="Consolas"/>
          <w:sz w:val="18"/>
        </w:rPr>
        <w:t>CREATE</w:t>
      </w:r>
      <w:r>
        <w:t xml:space="preserve">, </w:t>
      </w:r>
      <w:r>
        <w:rPr>
          <w:rFonts w:ascii="Consolas" w:hAnsi="Consolas" w:cs="Consolas" w:eastAsia="Consolas"/>
          <w:sz w:val="18"/>
        </w:rPr>
        <w:t>UPDATE</w:t>
      </w:r>
      <w:r>
        <w:t xml:space="preserve">, </w:t>
      </w:r>
      <w:r>
        <w:rPr>
          <w:rFonts w:ascii="Consolas" w:hAnsi="Consolas" w:cs="Consolas" w:eastAsia="Consolas"/>
          <w:sz w:val="18"/>
        </w:rPr>
        <w:t>CANCEL</w:t>
      </w:r>
      <w:r>
        <w:t xml:space="preserve">. Der Initialwert von </w:t>
      </w:r>
      <w:r>
        <w:rPr>
          <w:rFonts w:ascii="Consolas" w:hAnsi="Consolas" w:cs="Consolas" w:eastAsia="Consolas"/>
          <w:sz w:val="18"/>
        </w:rPr>
        <w:t>clientId</w:t>
      </w:r>
      <w:r>
        <w:t xml:space="preserve"> ist laut Beschreibung </w:t>
      </w:r>
      <w:r>
        <w:rPr>
          <w:rFonts w:ascii="Consolas" w:hAnsi="Consolas" w:cs="Consolas" w:eastAsia="Consolas"/>
          <w:sz w:val="18"/>
        </w:rPr>
        <w:t>DEFAULT</w:t>
      </w:r>
      <w:r>
        <w:t xml:space="preserve">. Ein Fremdschlüssel (Spalte F) bedeutet laut Handbuch: Der Wert muss entweder bei der Schnittstellenspezifikation vereinbart oder über Stammdatennachrichten übertragen werden. Da es keine Partner-Stammsatzart gibt, muss die </w:t>
      </w:r>
      <w:r>
        <w:rPr>
          <w:rFonts w:ascii="Consolas" w:hAnsi="Consolas" w:cs="Consolas" w:eastAsia="Consolas"/>
          <w:sz w:val="18"/>
        </w:rPr>
        <w:t>partnerId</w:t>
      </w:r>
      <w:r>
        <w:t xml:space="preserve"> nach dieser Regel in WAMAS bekannt sein, d. h. in </w:t>
      </w:r>
      <w:r>
        <w:rPr>
          <w:b/>
        </w:rPr>
        <w:t>MD018</w:t>
      </w:r>
      <w:r>
        <w:t xml:space="preserve"> gepflegt. Das ist eine Ableitung aus der Spaltendefinition; siehe Lücke in 8.4.</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HOST;WAMAS;1;20250311113048;WLSPD002;DEFAULT;803;CREATE;1;;;SHPG;;;ZONE1</w:t>
            </w:r>
          </w:p>
          <w:p>
            <w:pPr>
              <w:pStyle w:val="Code"/>
            </w:pPr>
            <w:r>
              <w:t>HOST;WAMAS;2;20250311113048;WLSPDL002;803;1;CREATE;1002-BOX_10x10;00000;1;A;</w:t>
            </w:r>
          </w:p>
          <w:p>
            <w:pPr>
              <w:pStyle w:val="Code"/>
            </w:pPr>
            <w:r>
              <w:t xml:space="preserve">   20250101;20240101;13;;;;;;;;;;;;;;;;;;;;;pDEFAULT;100</w:t>
            </w:r>
          </w:p>
          <w:p>
            <w:pPr>
              <w:pStyle w:val="Code"/>
            </w:pPr>
            <w:r>
              <w:t>HOST;WAMAS;3;20250311113048;WLSPDPARTNER001;DEFAULT;803;CONTRACTEE;pDEFAULT;</w:t>
            </w:r>
          </w:p>
          <w:p>
            <w:pPr>
              <w:pStyle w:val="Code"/>
            </w:pPr>
            <w:r>
              <w:t xml:space="preserve">   CREATE;;;;;;;;;;RO;;;;;;;eng-US;Europe/Bucharest</w:t>
            </w:r>
          </w:p>
        </w:tc>
      </w:tr>
    </w:tbl>
    <w:p>
      <w:pPr>
        <w:pStyle w:val="BeschriftungSSI"/>
      </w:pPr>
      <w:r>
        <w:t>Abb. 5: Kommissionierbedarf mit Partnerrolle als CSV (Telegrammbeispiel 2.7, PD/with PARTNER/pd2.csv)</w:t>
      </w:r>
    </w:p>
    <w:p>
      <w:r>
        <w:t xml:space="preserve">Hinweis zu Abb. 5: Zeilen 2 und 3 sind zur Darstellung umbrochen. Im Telegramm steht jede Satzart in genau einer Zeile. Das Beispiel für den Einlagerbedarf (SD/with PARTNER/sd2.csv) ist gleich aufgebaut, mit </w:t>
      </w:r>
      <w:r>
        <w:rPr>
          <w:rFonts w:ascii="Consolas" w:hAnsi="Consolas" w:cs="Consolas" w:eastAsia="Consolas"/>
          <w:sz w:val="18"/>
        </w:rPr>
        <w:t>WLSSDPARTNER001</w:t>
      </w:r>
      <w:r>
        <w:t xml:space="preserve"> und </w:t>
      </w:r>
      <w:r>
        <w:rPr>
          <w:rFonts w:ascii="Consolas" w:hAnsi="Consolas" w:cs="Consolas" w:eastAsia="Consolas"/>
          <w:sz w:val="18"/>
        </w:rPr>
        <w:t>CONSIGNEE</w:t>
      </w:r>
      <w:r>
        <w:t>.</w:t>
      </w:r>
    </w:p>
    <w:p>
      <w:pPr>
        <w:pStyle w:val="Quelle"/>
      </w:pPr>
      <w:r>
        <w:rPr>
          <w:b/>
        </w:rPr>
        <w:t xml:space="preserve">Quelle: </w:t>
      </w:r>
      <w:r>
        <w:rPr>
          <w:sz w:val="17"/>
        </w:rPr>
        <w:t>IF 2.7, Kap. 6.1.1.3/6.1.2.3 (S. 71–79), 7.1.1.3/7.1.2.3 (S. 99–106), 8.1.1.3 (S. 127 ff.), 2.1.6 (S. 30); IF 2.8, Kap. 6.1.1.3 (S. 72–74); Telegrammbeispiele 2.7</w:t>
      </w:r>
    </w:p>
    <w:p>
      <w:pPr>
        <w:pStyle w:val="Heading2"/>
      </w:pPr>
      <w:r>
        <w:t>8.4 Widersprüche und Lücken in der Schnittstellendoku</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Partnerrolle und Partneranlage</w:t>
            </w:r>
          </w:p>
          <w:p>
            <w:pPr>
              <w:spacing w:after="40"/>
            </w:pPr>
            <w:r>
              <w:rPr>
                <w:sz w:val="19"/>
              </w:rPr>
              <w:t xml:space="preserve">- </w:t>
            </w:r>
            <w:r>
              <w:rPr>
                <w:rFonts w:ascii="Consolas" w:hAnsi="Consolas" w:cs="Consolas" w:eastAsia="Consolas"/>
                <w:sz w:val="17"/>
              </w:rPr>
              <w:t>SUPPLIER</w:t>
            </w:r>
            <w:r>
              <w:rPr>
                <w:sz w:val="19"/>
              </w:rPr>
              <w:t xml:space="preserve"> ist laut Tabelle „mandatory“. Die offiziellen Telegrammbeispiele enthalten aber nur </w:t>
            </w:r>
            <w:r>
              <w:rPr>
                <w:rFonts w:ascii="Consolas" w:hAnsi="Consolas" w:cs="Consolas" w:eastAsia="Consolas"/>
                <w:sz w:val="17"/>
              </w:rPr>
              <w:t>CONTRACTEE</w:t>
            </w:r>
            <w:r>
              <w:rPr>
                <w:sz w:val="19"/>
              </w:rPr>
              <w:t xml:space="preserve"> (Kommissionierbedarf) bzw. </w:t>
            </w:r>
            <w:r>
              <w:rPr>
                <w:rFonts w:ascii="Consolas" w:hAnsi="Consolas" w:cs="Consolas" w:eastAsia="Consolas"/>
                <w:sz w:val="17"/>
              </w:rPr>
              <w:t>CONSIGNEE</w:t>
            </w:r>
            <w:r>
              <w:rPr>
                <w:sz w:val="19"/>
              </w:rPr>
              <w:t xml:space="preserve"> (Einlagerbedarf). Ob </w:t>
            </w:r>
            <w:r>
              <w:rPr>
                <w:rFonts w:ascii="Consolas" w:hAnsi="Consolas" w:cs="Consolas" w:eastAsia="Consolas"/>
                <w:sz w:val="17"/>
              </w:rPr>
              <w:t>SUPPLIER</w:t>
            </w:r>
            <w:r>
              <w:rPr>
                <w:sz w:val="19"/>
              </w:rPr>
              <w:t xml:space="preserve"> tatsächlich in jedem Bedarf mitgeschickt werden muss, ist offen.</w:t>
            </w:r>
          </w:p>
          <w:p>
            <w:pPr>
              <w:spacing w:after="40"/>
            </w:pPr>
            <w:r>
              <w:rPr>
                <w:sz w:val="19"/>
              </w:rPr>
              <w:t xml:space="preserve">- Ob ein unbekannter </w:t>
            </w:r>
            <w:r>
              <w:rPr>
                <w:rFonts w:ascii="Consolas" w:hAnsi="Consolas" w:cs="Consolas" w:eastAsia="Consolas"/>
                <w:sz w:val="17"/>
              </w:rPr>
              <w:t>partnerId</w:t>
            </w:r>
            <w:r>
              <w:rPr>
                <w:sz w:val="19"/>
              </w:rPr>
              <w:t xml:space="preserve"> automatisch angelegt oder als Fehler abgewiesen wird, ist nicht beschrieben.</w:t>
            </w:r>
          </w:p>
          <w:p>
            <w:pPr>
              <w:spacing w:after="40"/>
            </w:pPr>
            <w:r>
              <w:rPr>
                <w:sz w:val="19"/>
              </w:rPr>
              <w:t xml:space="preserve">- Ob die Adresse aus dem Bedarf die Adresse aus </w:t>
            </w:r>
            <w:r>
              <w:rPr>
                <w:b/>
                <w:sz w:val="19"/>
              </w:rPr>
              <w:t>MD018</w:t>
            </w:r>
            <w:r>
              <w:rPr>
                <w:sz w:val="19"/>
              </w:rPr>
              <w:t xml:space="preserve"> übersteuert oder nur für diesen Bedarf gilt, ist nicht beschrieben.</w:t>
            </w:r>
          </w:p>
          <w:p>
            <w:pPr>
              <w:spacing w:after="40"/>
            </w:pPr>
            <w:r>
              <w:rPr>
                <w:sz w:val="19"/>
              </w:rPr>
              <w:t>- Redaktionelle Fehler im Manual: Tab. 55 (Kap. 7.1.1.3) heißt „WLSSDPARTNER001“, gemeint ist WLSPDPARTNER001. Kap. 8.1.2.3 heißt „WLSPDPARTNER001“, gemeint ist WLSINVDPARTNER001.</w:t>
            </w:r>
          </w:p>
        </w:tc>
      </w:tr>
    </w:tbl>
    <w:p>
      <w:pPr>
        <w:spacing w:after="40"/>
      </w:pPr>
    </w:p>
    <w:p>
      <w:pPr>
        <w:pStyle w:val="Heading1"/>
      </w:pPr>
      <w:r>
        <w:t>9 Adressen prüfen und wo sie erscheinen</w:t>
      </w:r>
    </w:p>
    <w:p>
      <w:pPr>
        <w:pStyle w:val="Heading2"/>
      </w:pPr>
      <w:r>
        <w:t>9.1 Prüfen</w:t>
      </w:r>
    </w:p>
    <w:p>
      <w:pPr>
        <w:tabs>
          <w:tab w:pos="425" w:val="left"/>
        </w:tabs>
        <w:spacing w:after="60"/>
        <w:ind w:left="425" w:hanging="425"/>
      </w:pPr>
      <w:r>
        <w:rPr>
          <w:b/>
        </w:rPr>
        <w:t>1.</w:t>
        <w:tab/>
      </w:r>
      <w:r>
        <w:rPr>
          <w:b/>
        </w:rPr>
        <w:t>Klient:</w:t>
      </w:r>
      <w:r>
        <w:t xml:space="preserve"> </w:t>
      </w:r>
      <w:r>
        <w:rPr>
          <w:b/>
        </w:rPr>
        <w:t>MD017</w:t>
      </w:r>
      <w:r>
        <w:t xml:space="preserve"> öffnen, Klient wählen, Registerkarte </w:t>
      </w:r>
      <w:r>
        <w:rPr>
          <w:b/>
        </w:rPr>
        <w:t>Klient</w:t>
      </w:r>
      <w:r>
        <w:t xml:space="preserve">, Bereich </w:t>
      </w:r>
      <w:r>
        <w:rPr>
          <w:b/>
        </w:rPr>
        <w:t>Adresse</w:t>
      </w:r>
      <w:r>
        <w:t xml:space="preserve">: Adresse, </w:t>
      </w:r>
      <w:r>
        <w:rPr>
          <w:b/>
        </w:rPr>
        <w:t>Sprache</w:t>
      </w:r>
      <w:r>
        <w:t xml:space="preserve"> und </w:t>
      </w:r>
      <w:r>
        <w:rPr>
          <w:b/>
        </w:rPr>
        <w:t>Zeitzone</w:t>
      </w:r>
      <w:r>
        <w:t xml:space="preserve"> prüfen.</w:t>
      </w:r>
    </w:p>
    <w:p>
      <w:pPr>
        <w:tabs>
          <w:tab w:pos="425" w:val="left"/>
        </w:tabs>
        <w:spacing w:after="60"/>
        <w:ind w:left="425" w:hanging="425"/>
      </w:pPr>
      <w:r>
        <w:rPr>
          <w:b/>
        </w:rPr>
        <w:t>2.</w:t>
        <w:tab/>
      </w:r>
      <w:r>
        <w:rPr>
          <w:b/>
        </w:rPr>
        <w:t>Partner:</w:t>
      </w:r>
      <w:r>
        <w:t xml:space="preserve"> </w:t>
      </w:r>
      <w:r>
        <w:rPr>
          <w:b/>
        </w:rPr>
        <w:t>MD018</w:t>
      </w:r>
      <w:r>
        <w:t xml:space="preserve"> öffnen, Klient und Partner wählen. Auf der Registerkarte </w:t>
      </w:r>
      <w:r>
        <w:rPr>
          <w:b/>
        </w:rPr>
        <w:t>Partner</w:t>
      </w:r>
      <w:r>
        <w:t xml:space="preserve"> die Partnerart (</w:t>
      </w:r>
      <w:r>
        <w:rPr>
          <w:b/>
        </w:rPr>
        <w:t>Lieferant</w:t>
      </w:r>
      <w:r>
        <w:t>/</w:t>
      </w:r>
      <w:r>
        <w:rPr>
          <w:b/>
        </w:rPr>
        <w:t>Kunde</w:t>
      </w:r>
      <w:r>
        <w:t xml:space="preserve">) und den </w:t>
      </w:r>
      <w:r>
        <w:rPr>
          <w:b/>
        </w:rPr>
        <w:t>Stammdatenstatus</w:t>
      </w:r>
      <w:r>
        <w:t xml:space="preserve"> = </w:t>
      </w:r>
      <w:r>
        <w:rPr>
          <w:b/>
        </w:rPr>
        <w:t>Normal</w:t>
      </w:r>
      <w:r>
        <w:t xml:space="preserve"> prüfen. Auf der Registerkarte </w:t>
      </w:r>
      <w:r>
        <w:rPr>
          <w:b/>
        </w:rPr>
        <w:t>Adresse</w:t>
      </w:r>
      <w:r>
        <w:t xml:space="preserve"> jede </w:t>
      </w:r>
      <w:r>
        <w:rPr>
          <w:b/>
        </w:rPr>
        <w:t>Art der Adresse</w:t>
      </w:r>
      <w:r>
        <w:t xml:space="preserve"> (Partner, Lieferung, Rechnung) und die </w:t>
      </w:r>
      <w:r>
        <w:rPr>
          <w:b/>
        </w:rPr>
        <w:t>Zeitzone</w:t>
      </w:r>
      <w:r>
        <w:t xml:space="preserve"> prüfen.</w:t>
      </w:r>
    </w:p>
    <w:p>
      <w:pPr>
        <w:tabs>
          <w:tab w:pos="425" w:val="left"/>
        </w:tabs>
        <w:spacing w:after="60"/>
        <w:ind w:left="425" w:hanging="425"/>
      </w:pPr>
      <w:r>
        <w:rPr>
          <w:b/>
        </w:rPr>
        <w:t>3.</w:t>
        <w:tab/>
      </w:r>
      <w:r>
        <w:rPr>
          <w:b/>
        </w:rPr>
        <w:t>Wareneigentümer:</w:t>
      </w:r>
      <w:r>
        <w:t xml:space="preserve"> In </w:t>
      </w:r>
      <w:r>
        <w:rPr>
          <w:b/>
        </w:rPr>
        <w:t>MD017</w:t>
      </w:r>
      <w:r>
        <w:t xml:space="preserve">, Registerkarte </w:t>
      </w:r>
      <w:r>
        <w:rPr>
          <w:b/>
        </w:rPr>
        <w:t>Wareneigentümer</w:t>
      </w:r>
      <w:r>
        <w:t xml:space="preserve">, prüfen, ob der Partner zugeordnet und ggf. als </w:t>
      </w:r>
      <w:r>
        <w:rPr>
          <w:b/>
        </w:rPr>
        <w:t>Standard</w:t>
      </w:r>
      <w:r>
        <w:t xml:space="preserve"> markiert ist.</w:t>
      </w:r>
    </w:p>
    <w:p>
      <w:pPr>
        <w:tabs>
          <w:tab w:pos="425" w:val="left"/>
        </w:tabs>
        <w:spacing w:after="60"/>
        <w:ind w:left="425" w:hanging="425"/>
      </w:pPr>
      <w:r>
        <w:rPr>
          <w:b/>
        </w:rPr>
        <w:t>4.</w:t>
        <w:tab/>
      </w:r>
      <w:r>
        <w:rPr>
          <w:b/>
        </w:rPr>
        <w:t>Adresse im Bedarf:</w:t>
      </w:r>
      <w:r>
        <w:t xml:space="preserve"> In </w:t>
      </w:r>
      <w:r>
        <w:rPr>
          <w:b/>
        </w:rPr>
        <w:t>LM072 Kommissionierbedarf pflegen</w:t>
      </w:r>
      <w:r>
        <w:t xml:space="preserve"> den Bereich </w:t>
      </w:r>
      <w:r>
        <w:rPr>
          <w:b/>
        </w:rPr>
        <w:t>Kommissionierbedarfspartnerrolle</w:t>
      </w:r>
      <w:r>
        <w:t xml:space="preserve"> öffnen (</w:t>
      </w:r>
      <w:r>
        <w:rPr>
          <w:b/>
        </w:rPr>
        <w:t>LM079</w:t>
      </w:r>
      <w:r>
        <w:t>). Partner, Rolle (</w:t>
      </w:r>
      <w:r>
        <w:rPr>
          <w:b/>
        </w:rPr>
        <w:t>Auftraggeber</w:t>
      </w:r>
      <w:r>
        <w:t>/</w:t>
      </w:r>
      <w:r>
        <w:rPr>
          <w:b/>
        </w:rPr>
        <w:t>Lieferant</w:t>
      </w:r>
      <w:r>
        <w:t xml:space="preserve">), Adressdetails und </w:t>
      </w:r>
      <w:r>
        <w:rPr>
          <w:b/>
        </w:rPr>
        <w:t>Zeitzone</w:t>
      </w:r>
      <w:r>
        <w:t xml:space="preserve"> prüfen.</w:t>
      </w:r>
    </w:p>
    <w:p>
      <w:pPr>
        <w:tabs>
          <w:tab w:pos="425" w:val="left"/>
        </w:tabs>
        <w:spacing w:after="60"/>
        <w:ind w:left="425" w:hanging="425"/>
      </w:pPr>
      <w:r>
        <w:rPr>
          <w:b/>
        </w:rPr>
        <w:t>5.</w:t>
        <w:tab/>
      </w:r>
      <w:r>
        <w:rPr>
          <w:b/>
        </w:rPr>
        <w:t>Über die Schnittstelle:</w:t>
      </w:r>
      <w:r>
        <w:t xml:space="preserve"> In </w:t>
      </w:r>
      <w:r>
        <w:rPr>
          <w:b/>
        </w:rPr>
        <w:t>DI002 Übersicht eingehende Systempartnernachrichten</w:t>
      </w:r>
      <w:r>
        <w:t xml:space="preserve"> die Nachricht suchen. Bei Fehlern das </w:t>
      </w:r>
      <w:r>
        <w:rPr>
          <w:b/>
        </w:rPr>
        <w:t>Fehlerprotokoll</w:t>
      </w:r>
      <w:r>
        <w:t xml:space="preserve"> (</w:t>
      </w:r>
      <w:r>
        <w:rPr>
          <w:b/>
        </w:rPr>
        <w:t>DI003</w:t>
      </w:r>
      <w:r>
        <w:t>) öffnen. Typische Ursachen laut Interface Manual sind überschrittene Feldlängen (Telegramm wird auf Fehler gesetzt) und fehlende Pflichtfelder (Land, Sprache, Zeitzone).</w:t>
      </w:r>
    </w:p>
    <w:p>
      <w:pPr>
        <w:tabs>
          <w:tab w:pos="425" w:val="left"/>
        </w:tabs>
        <w:spacing w:after="60"/>
        <w:ind w:left="425" w:hanging="425"/>
      </w:pPr>
      <w:r>
        <w:rPr>
          <w:b/>
        </w:rPr>
        <w:t>6.</w:t>
        <w:tab/>
      </w:r>
      <w:r>
        <w:rPr>
          <w:b/>
        </w:rPr>
        <w:t>Länder:</w:t>
      </w:r>
      <w:r>
        <w:t xml:space="preserve"> Ländercodes müssen in </w:t>
      </w:r>
      <w:r>
        <w:rPr>
          <w:b/>
        </w:rPr>
        <w:t>MD016</w:t>
      </w:r>
      <w:r>
        <w:t xml:space="preserve"> vorhanden sein. In der Schnittstelle ist das Land ein Fremdschlüssel (ISO 3166-1 alpha-2).</w:t>
      </w:r>
    </w:p>
    <w:p>
      <w:pPr>
        <w:pStyle w:val="Quelle"/>
      </w:pPr>
      <w:r>
        <w:rPr>
          <w:b/>
        </w:rPr>
        <w:t xml:space="preserve">Quelle: </w:t>
      </w:r>
      <w:r>
        <w:rPr>
          <w:sz w:val="17"/>
        </w:rPr>
        <w:t>AH 2.7, Kap. 3.2.7, 3.5.5.1, 3.6.1, 3.6.2; BH 2.7, Kap. 6.2.2.1.2; IF 2.7, Kap. 2.1.6, 7.1.2.3</w:t>
      </w:r>
    </w:p>
    <w:p>
      <w:pPr>
        <w:pStyle w:val="Heading2"/>
      </w:pPr>
      <w:r>
        <w:t>9.2 Wo Adressen und Partnerdaten erscheinen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Ort</w:t>
            </w:r>
          </w:p>
        </w:tc>
        <w:tc>
          <w:tcPr>
            <w:tcW w:type="dxa" w:w="4762"/>
            <w:shd w:val="clear" w:color="auto" w:fill="FEEE19"/>
          </w:tcPr>
          <w:p>
            <w:pPr>
              <w:spacing w:after="0"/>
            </w:pPr>
            <w:r>
              <w:rPr>
                <w:b/>
                <w:sz w:val="17"/>
              </w:rPr>
              <w:t>Was laut Quelle erscheint</w:t>
            </w:r>
          </w:p>
        </w:tc>
      </w:tr>
      <w:tr>
        <w:tc>
          <w:tcPr>
            <w:tcW w:type="dxa" w:w="4762"/>
          </w:tcPr>
          <w:p>
            <w:pPr>
              <w:spacing w:after="0" w:line="252" w:lineRule="auto"/>
            </w:pPr>
            <w:r>
              <w:rPr>
                <w:sz w:val="17"/>
              </w:rPr>
              <w:t>Kommissionierbedarf (</w:t>
            </w:r>
            <w:r>
              <w:rPr>
                <w:b/>
                <w:sz w:val="17"/>
              </w:rPr>
              <w:t>LM072</w:t>
            </w:r>
            <w:r>
              <w:rPr>
                <w:sz w:val="17"/>
              </w:rPr>
              <w:t>/</w:t>
            </w:r>
            <w:r>
              <w:rPr>
                <w:b/>
                <w:sz w:val="17"/>
              </w:rPr>
              <w:t>LM079</w:t>
            </w:r>
            <w:r>
              <w:rPr>
                <w:sz w:val="17"/>
              </w:rPr>
              <w:t>)</w:t>
            </w:r>
          </w:p>
        </w:tc>
        <w:tc>
          <w:tcPr>
            <w:tcW w:type="dxa" w:w="4762"/>
          </w:tcPr>
          <w:p>
            <w:pPr>
              <w:spacing w:after="0" w:line="252" w:lineRule="auto"/>
            </w:pPr>
            <w:r>
              <w:rPr>
                <w:sz w:val="17"/>
              </w:rPr>
              <w:t>Partner, Rolle Auftraggeber oder Lieferant, Adressdetails, Zeitzone</w:t>
            </w:r>
          </w:p>
        </w:tc>
      </w:tr>
      <w:tr>
        <w:tc>
          <w:tcPr>
            <w:tcW w:type="dxa" w:w="4762"/>
          </w:tcPr>
          <w:p>
            <w:pPr>
              <w:spacing w:after="0" w:line="252" w:lineRule="auto"/>
            </w:pPr>
            <w:r>
              <w:rPr>
                <w:sz w:val="17"/>
              </w:rPr>
              <w:t>Einlager-, Kommissionier-, Inventurbedarf über Schnittstelle</w:t>
            </w:r>
          </w:p>
        </w:tc>
        <w:tc>
          <w:tcPr>
            <w:tcW w:type="dxa" w:w="4762"/>
          </w:tcPr>
          <w:p>
            <w:pPr>
              <w:spacing w:after="0" w:line="252" w:lineRule="auto"/>
            </w:pPr>
            <w:r>
              <w:rPr>
                <w:sz w:val="17"/>
              </w:rPr>
              <w:t>Partnerrolle mit vollständiger Adresse (</w:t>
            </w:r>
            <w:r>
              <w:rPr>
                <w:rFonts w:ascii="Consolas" w:hAnsi="Consolas" w:cs="Consolas" w:eastAsia="Consolas"/>
                <w:sz w:val="15"/>
              </w:rPr>
              <w:t>WLS*PARTNER001</w:t>
            </w:r>
            <w:r>
              <w:rPr>
                <w:sz w:val="17"/>
              </w:rPr>
              <w:t>)</w:t>
            </w:r>
          </w:p>
        </w:tc>
      </w:tr>
      <w:tr>
        <w:tc>
          <w:tcPr>
            <w:tcW w:type="dxa" w:w="4762"/>
          </w:tcPr>
          <w:p>
            <w:pPr>
              <w:spacing w:after="0" w:line="252" w:lineRule="auto"/>
            </w:pPr>
            <w:r>
              <w:rPr>
                <w:sz w:val="17"/>
              </w:rPr>
              <w:t>Bedarfszeilen (</w:t>
            </w:r>
            <w:r>
              <w:rPr>
                <w:b/>
                <w:sz w:val="17"/>
              </w:rPr>
              <w:t>LM073</w:t>
            </w:r>
            <w:r>
              <w:rPr>
                <w:sz w:val="17"/>
              </w:rPr>
              <w:t xml:space="preserve">, </w:t>
            </w:r>
            <w:r>
              <w:rPr>
                <w:b/>
                <w:sz w:val="17"/>
              </w:rPr>
              <w:t>LM082</w:t>
            </w:r>
            <w:r>
              <w:rPr>
                <w:sz w:val="17"/>
              </w:rPr>
              <w:t xml:space="preserve">, </w:t>
            </w:r>
            <w:r>
              <w:rPr>
                <w:b/>
                <w:sz w:val="17"/>
              </w:rPr>
              <w:t>LM111</w:t>
            </w:r>
            <w:r>
              <w:rPr>
                <w:sz w:val="17"/>
              </w:rPr>
              <w:t>)</w:t>
            </w:r>
          </w:p>
        </w:tc>
        <w:tc>
          <w:tcPr>
            <w:tcW w:type="dxa" w:w="4762"/>
          </w:tcPr>
          <w:p>
            <w:pPr>
              <w:spacing w:after="0" w:line="252" w:lineRule="auto"/>
            </w:pPr>
            <w:r>
              <w:rPr>
                <w:sz w:val="17"/>
              </w:rPr>
              <w:t>Wareneigentümer (Partner)</w:t>
            </w:r>
          </w:p>
        </w:tc>
      </w:tr>
      <w:tr>
        <w:tc>
          <w:tcPr>
            <w:tcW w:type="dxa" w:w="4762"/>
          </w:tcPr>
          <w:p>
            <w:pPr>
              <w:spacing w:after="0" w:line="252" w:lineRule="auto"/>
            </w:pPr>
            <w:r>
              <w:rPr>
                <w:sz w:val="17"/>
              </w:rPr>
              <w:t>Dokumente: Ladeliste, Auslieferungsdifferenzliste, Auslieferschein, Versandetikett, Kommissionierstornoliste</w:t>
            </w:r>
          </w:p>
        </w:tc>
        <w:tc>
          <w:tcPr>
            <w:tcW w:type="dxa" w:w="4762"/>
          </w:tcPr>
          <w:p>
            <w:pPr>
              <w:spacing w:after="0" w:line="252" w:lineRule="auto"/>
            </w:pPr>
            <w:r>
              <w:rPr>
                <w:sz w:val="17"/>
              </w:rPr>
              <w:t xml:space="preserve">Die </w:t>
            </w:r>
            <w:r>
              <w:rPr>
                <w:b/>
                <w:sz w:val="17"/>
              </w:rPr>
              <w:t>Zeitzone des Partners</w:t>
            </w:r>
            <w:r>
              <w:rPr>
                <w:sz w:val="17"/>
              </w:rPr>
              <w:t xml:space="preserve"> kann gedruckt werden; standardmäßig enthalten Dokumente keine Zeitzone</w:t>
            </w:r>
          </w:p>
        </w:tc>
      </w:tr>
      <w:tr>
        <w:tc>
          <w:tcPr>
            <w:tcW w:type="dxa" w:w="4762"/>
          </w:tcPr>
          <w:p>
            <w:pPr>
              <w:spacing w:after="0" w:line="252" w:lineRule="auto"/>
            </w:pPr>
            <w:r>
              <w:rPr>
                <w:sz w:val="17"/>
              </w:rPr>
              <w:t>Lieferschein für Kommissionierbedarf (</w:t>
            </w:r>
            <w:r>
              <w:rPr>
                <w:b/>
                <w:sz w:val="17"/>
              </w:rPr>
              <w:t>LM071</w:t>
            </w:r>
            <w:r>
              <w:rPr>
                <w:sz w:val="17"/>
              </w:rPr>
              <w:t xml:space="preserve"> → </w:t>
            </w:r>
            <w:r>
              <w:rPr>
                <w:b/>
                <w:sz w:val="17"/>
              </w:rPr>
              <w:t>RM001 Dokument erzeugen</w:t>
            </w:r>
            <w:r>
              <w:rPr>
                <w:sz w:val="17"/>
              </w:rPr>
              <w:t>)</w:t>
            </w:r>
          </w:p>
        </w:tc>
        <w:tc>
          <w:tcPr>
            <w:tcW w:type="dxa" w:w="4762"/>
          </w:tcPr>
          <w:p>
            <w:pPr>
              <w:spacing w:after="0" w:line="252" w:lineRule="auto"/>
            </w:pPr>
            <w:r>
              <w:rPr>
                <w:sz w:val="17"/>
              </w:rPr>
              <w:t xml:space="preserve">Druck über Kontextmenü </w:t>
            </w:r>
            <w:r>
              <w:rPr>
                <w:b/>
                <w:sz w:val="17"/>
              </w:rPr>
              <w:t>Lieferschein drucken</w:t>
            </w:r>
            <w:r>
              <w:rPr>
                <w:sz w:val="17"/>
              </w:rPr>
              <w:t xml:space="preserve"> oder automatisch (Checkbox </w:t>
            </w:r>
            <w:r>
              <w:rPr>
                <w:b/>
                <w:sz w:val="17"/>
              </w:rPr>
              <w:t>Kommissionierlieferschein drucken</w:t>
            </w:r>
            <w:r>
              <w:rPr>
                <w:sz w:val="17"/>
              </w:rPr>
              <w:t xml:space="preserve"> im Kommissionierbedarfstyp)</w:t>
            </w:r>
          </w:p>
        </w:tc>
      </w:tr>
      <w:tr>
        <w:tc>
          <w:tcPr>
            <w:tcW w:type="dxa" w:w="4762"/>
          </w:tcPr>
          <w:p>
            <w:pPr>
              <w:spacing w:after="0" w:line="252" w:lineRule="auto"/>
            </w:pPr>
            <w:r>
              <w:rPr>
                <w:sz w:val="17"/>
              </w:rPr>
              <w:t>Schulung „Consultant Training Part 1“</w:t>
            </w:r>
          </w:p>
        </w:tc>
        <w:tc>
          <w:tcPr>
            <w:tcW w:type="dxa" w:w="4762"/>
          </w:tcPr>
          <w:p>
            <w:pPr>
              <w:spacing w:after="0" w:line="252" w:lineRule="auto"/>
            </w:pPr>
            <w:r>
              <w:rPr>
                <w:sz w:val="17"/>
              </w:rPr>
              <w:t>„Client and Partner data – only used for reports“</w:t>
            </w:r>
          </w:p>
        </w:tc>
      </w:tr>
    </w:tbl>
    <w:p>
      <w:pPr>
        <w:pStyle w:val="BeschriftungSSI"/>
      </w:pPr>
      <w:r>
        <w:t>Tab. 12: Fundstellen von Adress- und Partnerdaten</w:t>
      </w:r>
    </w:p>
    <w:p>
      <w:pPr>
        <w:pStyle w:val="Quelle"/>
      </w:pPr>
      <w:r>
        <w:rPr>
          <w:b/>
        </w:rPr>
        <w:t xml:space="preserve">Quelle: </w:t>
      </w:r>
      <w:r>
        <w:rPr>
          <w:sz w:val="17"/>
        </w:rPr>
        <w:t>AH 2.7, Kap. 3.2.2 (S. 35–36), 3.6.1.10; BH 2.7, Kap. 6.2.1.1.2, 6.2.2.1.2, 6.8.1.4 (Tab. 101); Schulung „Consultant Training Part 1“ (12.01.2024), Folie „Client Configuration (1)“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Adresse auf dem Lieferschein</w:t>
            </w:r>
          </w:p>
          <w:p>
            <w:pPr>
              <w:spacing w:after="40"/>
            </w:pPr>
            <w:r>
              <w:rPr>
                <w:sz w:val="19"/>
              </w:rPr>
              <w:t>Welche Adresse (Klient, Partner-Hauptadresse, Lieferadresse oder Adresse aus der Bedarfspartnerrolle) und welche Felder auf Lieferschein oder Auslieferschein gedruckt werden, ist nicht dokumentiert. Das hängt vom Dokumentlayout (</w:t>
            </w:r>
            <w:r>
              <w:rPr>
                <w:b/>
                <w:sz w:val="19"/>
              </w:rPr>
              <w:t>RM010</w:t>
            </w:r>
            <w:r>
              <w:rPr>
                <w:sz w:val="19"/>
              </w:rPr>
              <w:t>/Layoutpflege) ab und muss am System bzw. im Layout geprüft werden.</w:t>
            </w:r>
          </w:p>
        </w:tc>
      </w:tr>
    </w:tbl>
    <w:p>
      <w:pPr>
        <w:spacing w:after="40"/>
      </w:pPr>
    </w:p>
    <w:p>
      <w:pPr>
        <w:pStyle w:val="Heading1"/>
      </w:pPr>
      <w:r>
        <w:t>10 Stolperfallen</w:t>
      </w:r>
    </w:p>
    <w:p>
      <w:pPr>
        <w:pStyle w:val="ListBullet"/>
      </w:pPr>
      <w:r>
        <w:rPr>
          <w:b/>
        </w:rPr>
        <w:t>Systempartner ≠ Partner:</w:t>
      </w:r>
      <w:r>
        <w:t xml:space="preserve"> </w:t>
      </w:r>
      <w:r>
        <w:rPr>
          <w:b/>
        </w:rPr>
        <w:t>MD021</w:t>
      </w:r>
      <w:r>
        <w:t xml:space="preserve"> pflegt IT-Systeme (ERP, WCS), </w:t>
      </w:r>
      <w:r>
        <w:rPr>
          <w:b/>
        </w:rPr>
        <w:t>MD018</w:t>
      </w:r>
      <w:r>
        <w:t xml:space="preserve"> pflegt Geschäftspartner. Der Begriff „Partner“ in Schnittstellenfeldern (</w:t>
      </w:r>
      <w:r>
        <w:rPr>
          <w:rFonts w:ascii="Consolas" w:hAnsi="Consolas" w:cs="Consolas" w:eastAsia="Consolas"/>
          <w:sz w:val="18"/>
        </w:rPr>
        <w:t>partnerId</w:t>
      </w:r>
      <w:r>
        <w:t>) meint den Geschäftspartner.</w:t>
      </w:r>
    </w:p>
    <w:p>
      <w:pPr>
        <w:pStyle w:val="ListBullet"/>
      </w:pPr>
      <w:r>
        <w:rPr>
          <w:b/>
        </w:rPr>
        <w:t>Lieferant/Kunde sind Checkboxen</w:t>
      </w:r>
      <w:r>
        <w:t>, keine eigenen Objekte. Fehlt die Checkbox, ist der Partner fachlich nicht als Lieferant bzw. Kunde gekennzeichnet.</w:t>
      </w:r>
    </w:p>
    <w:p>
      <w:pPr>
        <w:pStyle w:val="ListBullet"/>
      </w:pPr>
      <w:r>
        <w:rPr>
          <w:b/>
        </w:rPr>
        <w:t>Falsche Reihenfolge:</w:t>
      </w:r>
      <w:r>
        <w:t xml:space="preserve"> Der Wareneigentümer in </w:t>
      </w:r>
      <w:r>
        <w:rPr>
          <w:b/>
        </w:rPr>
        <w:t>MD017</w:t>
      </w:r>
      <w:r>
        <w:t xml:space="preserve"> ist erst wählbar, wenn der Partner in </w:t>
      </w:r>
      <w:r>
        <w:rPr>
          <w:b/>
        </w:rPr>
        <w:t>MD018</w:t>
      </w:r>
      <w:r>
        <w:t xml:space="preserve"> unter diesem Klienten existiert.</w:t>
      </w:r>
    </w:p>
    <w:p>
      <w:pPr>
        <w:pStyle w:val="ListBullet"/>
      </w:pPr>
      <w:r>
        <w:rPr>
          <w:b/>
        </w:rPr>
        <w:t>Partner gehören zu genau einem Klienten:</w:t>
      </w:r>
      <w:r>
        <w:t xml:space="preserve"> Beim Anlegen wird zuerst der Klient gewählt. Für einen zweiten Klienten ist der Partner dort erneut anzulegen. Dies folgt aus dem Anlegeschritt, eine Mehrfachzuordnung ist nicht beschrieben.</w:t>
      </w:r>
    </w:p>
    <w:p>
      <w:pPr>
        <w:pStyle w:val="ListBullet"/>
      </w:pPr>
      <w:r>
        <w:rPr>
          <w:b/>
        </w:rPr>
        <w:t>Zeitzone des Klienten wirkt nicht.</w:t>
      </w:r>
      <w:r>
        <w:t xml:space="preserve"> Für Termine sind die Zeitzonen von Partner, Lagerstandort und Systempartner entscheidend.</w:t>
      </w:r>
    </w:p>
    <w:p>
      <w:pPr>
        <w:pStyle w:val="ListBullet"/>
      </w:pPr>
      <w:r>
        <w:rPr>
          <w:b/>
        </w:rPr>
        <w:t>Feldlängen der Schnittstelle:</w:t>
      </w:r>
      <w:r>
        <w:t xml:space="preserve"> </w:t>
      </w:r>
      <w:r>
        <w:rPr>
          <w:rFonts w:ascii="Consolas" w:hAnsi="Consolas" w:cs="Consolas" w:eastAsia="Consolas"/>
          <w:sz w:val="18"/>
        </w:rPr>
        <w:t>clientId</w:t>
      </w:r>
      <w:r>
        <w:t xml:space="preserve"> maximal 10, </w:t>
      </w:r>
      <w:r>
        <w:rPr>
          <w:rFonts w:ascii="Consolas" w:hAnsi="Consolas" w:cs="Consolas" w:eastAsia="Consolas"/>
          <w:sz w:val="18"/>
        </w:rPr>
        <w:t>partnerId</w:t>
      </w:r>
      <w:r>
        <w:t xml:space="preserve"> maximal 15 Zeichen, Namen und Straße maximal 35. Längere Werte setzen das Telegramm auf Fehler.</w:t>
      </w:r>
    </w:p>
    <w:p>
      <w:pPr>
        <w:pStyle w:val="ListBullet"/>
      </w:pPr>
      <w:r>
        <w:rPr>
          <w:b/>
        </w:rPr>
        <w:t>Pflichtfelder in WLS*PARTNER001:</w:t>
      </w:r>
      <w:r>
        <w:t xml:space="preserve"> Land, Sprache und Zeitzone sind Pflicht, auch wenn die übrige Adresse leer bleibt (so auch in den Telegrammbeispielen).</w:t>
      </w:r>
    </w:p>
    <w:p>
      <w:pPr>
        <w:pStyle w:val="ListBullet"/>
      </w:pPr>
      <w:r>
        <w:rPr>
          <w:b/>
        </w:rPr>
        <w:t>Sprachcode-Format:</w:t>
      </w:r>
      <w:r>
        <w:t xml:space="preserve"> ISO 639-2/B mit 3 Buchstaben, optional mit Land (</w:t>
      </w:r>
      <w:r>
        <w:rPr>
          <w:rFonts w:ascii="Consolas" w:hAnsi="Consolas" w:cs="Consolas" w:eastAsia="Consolas"/>
          <w:sz w:val="18"/>
        </w:rPr>
        <w:t>ger-CH</w:t>
      </w:r>
      <w:r>
        <w:t xml:space="preserve">, </w:t>
      </w:r>
      <w:r>
        <w:rPr>
          <w:rFonts w:ascii="Consolas" w:hAnsi="Consolas" w:cs="Consolas" w:eastAsia="Consolas"/>
          <w:sz w:val="18"/>
        </w:rPr>
        <w:t>eng-US</w:t>
      </w:r>
      <w:r>
        <w:t xml:space="preserve">), maximal 6 Zeichen. Nicht </w:t>
      </w:r>
      <w:r>
        <w:rPr>
          <w:rFonts w:ascii="Consolas" w:hAnsi="Consolas" w:cs="Consolas" w:eastAsia="Consolas"/>
          <w:sz w:val="18"/>
        </w:rPr>
        <w:t>de</w:t>
      </w:r>
      <w:r>
        <w:t xml:space="preserve"> oder </w:t>
      </w:r>
      <w:r>
        <w:rPr>
          <w:rFonts w:ascii="Consolas" w:hAnsi="Consolas" w:cs="Consolas" w:eastAsia="Consolas"/>
          <w:sz w:val="18"/>
        </w:rPr>
        <w:t>de-CH</w:t>
      </w:r>
      <w:r>
        <w:t>.</w:t>
      </w:r>
    </w:p>
    <w:p>
      <w:pPr>
        <w:pStyle w:val="ListBullet"/>
      </w:pPr>
      <w:r>
        <w:rPr>
          <w:b/>
        </w:rPr>
        <w:t>Stammdatenstatus Unvollständig/Gesperrt:</w:t>
      </w:r>
      <w:r>
        <w:t xml:space="preserve"> Der Partner kann dann in Prozessdialogen nicht verwendet werden. Bei </w:t>
      </w:r>
      <w:r>
        <w:rPr>
          <w:b/>
        </w:rPr>
        <w:t>Auslaufend</w:t>
      </w:r>
      <w:r>
        <w:t xml:space="preserve"> erscheint eine Warnung.</w:t>
      </w:r>
    </w:p>
    <w:p>
      <w:pPr>
        <w:pStyle w:val="ListBullet"/>
      </w:pPr>
      <w:r>
        <w:rPr>
          <w:b/>
        </w:rPr>
        <w:t>Löschvorschlag:</w:t>
      </w:r>
      <w:r>
        <w:t xml:space="preserve"> Partner mit </w:t>
      </w:r>
      <w:r>
        <w:rPr>
          <w:b/>
        </w:rPr>
        <w:t>In Löschvorschlagsüberprüfung inkludieren = Ja</w:t>
      </w:r>
      <w:r>
        <w:t xml:space="preserve"> können nach dem in </w:t>
      </w:r>
      <w:r>
        <w:rPr>
          <w:b/>
        </w:rPr>
        <w:t>MD017</w:t>
      </w:r>
      <w:r>
        <w:t xml:space="preserve"> gesetzten Zeitraum zum Löschen empfohlen werden.</w:t>
      </w:r>
    </w:p>
    <w:p>
      <w:pPr>
        <w:pStyle w:val="ListBullet"/>
      </w:pPr>
      <w:r>
        <w:rPr>
          <w:b/>
        </w:rPr>
        <w:t>RM010-Zuordnungen im Data Stage</w:t>
      </w:r>
      <w:r>
        <w:t xml:space="preserve"> nicht ändern oder löschen, sondern eine neue Zuordnung anlegen.</w:t>
      </w:r>
    </w:p>
    <w:p>
      <w:pPr>
        <w:pStyle w:val="Quelle"/>
      </w:pPr>
      <w:r>
        <w:rPr>
          <w:b/>
        </w:rPr>
        <w:t xml:space="preserve">Quelle: </w:t>
      </w:r>
      <w:r>
        <w:rPr>
          <w:sz w:val="17"/>
        </w:rPr>
        <w:t>AH 2.7, Kap. 3.2.2, 3.6.1, 3.6.2, 3.7.2.5; IF 2.7, Kap. 2.1.6, 4.1, 7.1</w:t>
      </w:r>
    </w:p>
    <w:p>
      <w:pPr>
        <w:pStyle w:val="Heading1"/>
      </w:pPr>
      <w:r>
        <w:t>11 Praxisbeispiele</w:t>
      </w:r>
    </w:p>
    <w:p>
      <w:pPr>
        <w:pStyle w:val="Heading2"/>
      </w:pPr>
      <w:r>
        <w:t>11.1 Beispiel (konstruiert, bitte prüfen): Neuer Klient mit Lieferant und Kunde, manuell</w:t>
      </w:r>
    </w:p>
    <w:p>
      <w:r>
        <w:t xml:space="preserve">Ausgangslage: Ein Kunde lagert künftig Ware eines zweiten Unternehmensbereichs im selben SSI LOGIMAT. Dafür sind ein eigener Klient </w:t>
      </w:r>
      <w:r>
        <w:rPr>
          <w:rFonts w:ascii="Consolas" w:hAnsi="Consolas" w:cs="Consolas" w:eastAsia="Consolas"/>
          <w:sz w:val="18"/>
        </w:rPr>
        <w:t>BEREICH2</w:t>
      </w:r>
      <w:r>
        <w:t>, ein Lieferant und ein Kunde nötig. Alle Namen sind frei erfunden.</w:t>
      </w:r>
    </w:p>
    <w:p>
      <w:pPr>
        <w:tabs>
          <w:tab w:pos="425" w:val="left"/>
        </w:tabs>
        <w:spacing w:after="60"/>
        <w:ind w:left="425" w:hanging="425"/>
      </w:pPr>
      <w:r>
        <w:rPr>
          <w:b/>
        </w:rPr>
        <w:t>1.</w:t>
        <w:tab/>
      </w:r>
      <w:r>
        <w:rPr>
          <w:b/>
        </w:rPr>
        <w:t>MD016</w:t>
      </w:r>
      <w:r>
        <w:t xml:space="preserve">: prüfen, ob </w:t>
      </w:r>
      <w:r>
        <w:rPr>
          <w:rFonts w:ascii="Consolas" w:hAnsi="Consolas" w:cs="Consolas" w:eastAsia="Consolas"/>
          <w:sz w:val="18"/>
        </w:rPr>
        <w:t>CH</w:t>
      </w:r>
      <w:r>
        <w:t xml:space="preserve"> und </w:t>
      </w:r>
      <w:r>
        <w:rPr>
          <w:rFonts w:ascii="Consolas" w:hAnsi="Consolas" w:cs="Consolas" w:eastAsia="Consolas"/>
          <w:sz w:val="18"/>
        </w:rPr>
        <w:t>DE</w:t>
      </w:r>
      <w:r>
        <w:t xml:space="preserve"> vorhanden sind.</w:t>
      </w:r>
    </w:p>
    <w:p>
      <w:pPr>
        <w:tabs>
          <w:tab w:pos="425" w:val="left"/>
        </w:tabs>
        <w:spacing w:after="60"/>
        <w:ind w:left="425" w:hanging="425"/>
      </w:pPr>
      <w:r>
        <w:rPr>
          <w:b/>
        </w:rPr>
        <w:t>2.</w:t>
        <w:tab/>
      </w:r>
      <w:r>
        <w:rPr>
          <w:b/>
        </w:rPr>
        <w:t>MD021</w:t>
      </w:r>
      <w:r>
        <w:t xml:space="preserve">: prüfen, ob der Systempartner </w:t>
      </w:r>
      <w:r>
        <w:rPr>
          <w:rFonts w:ascii="Consolas" w:hAnsi="Consolas" w:cs="Consolas" w:eastAsia="Consolas"/>
          <w:sz w:val="18"/>
        </w:rPr>
        <w:t>HOST</w:t>
      </w:r>
      <w:r>
        <w:t xml:space="preserve"> mit der richtigen </w:t>
      </w:r>
      <w:r>
        <w:rPr>
          <w:b/>
        </w:rPr>
        <w:t>Zeitzone</w:t>
      </w:r>
      <w:r>
        <w:t xml:space="preserve"> gepflegt ist.</w:t>
      </w:r>
    </w:p>
    <w:p>
      <w:pPr>
        <w:tabs>
          <w:tab w:pos="425" w:val="left"/>
        </w:tabs>
        <w:spacing w:after="60"/>
        <w:ind w:left="425" w:hanging="425"/>
      </w:pPr>
      <w:r>
        <w:rPr>
          <w:b/>
        </w:rPr>
        <w:t>3.</w:t>
        <w:tab/>
      </w:r>
      <w:r>
        <w:rPr>
          <w:b/>
        </w:rPr>
        <w:t>MD017</w:t>
      </w:r>
      <w:r>
        <w:t xml:space="preserve">: Klient </w:t>
      </w:r>
      <w:r>
        <w:rPr>
          <w:rFonts w:ascii="Consolas" w:hAnsi="Consolas" w:cs="Consolas" w:eastAsia="Consolas"/>
          <w:sz w:val="18"/>
        </w:rPr>
        <w:t>BEREICH2</w:t>
      </w:r>
      <w:r>
        <w:t xml:space="preserve"> anlegen. Registerkarte </w:t>
      </w:r>
      <w:r>
        <w:rPr>
          <w:b/>
        </w:rPr>
        <w:t>Klient</w:t>
      </w:r>
      <w:r>
        <w:t xml:space="preserve">: Adresse, </w:t>
      </w:r>
      <w:r>
        <w:rPr>
          <w:b/>
        </w:rPr>
        <w:t>Sprache</w:t>
      </w:r>
      <w:r>
        <w:t xml:space="preserve">, </w:t>
      </w:r>
      <w:r>
        <w:rPr>
          <w:b/>
        </w:rPr>
        <w:t>Zeitzone</w:t>
      </w:r>
      <w:r>
        <w:t xml:space="preserve">, </w:t>
      </w:r>
      <w:r>
        <w:rPr>
          <w:b/>
        </w:rPr>
        <w:t>UID-Nr.</w:t>
      </w:r>
      <w:r>
        <w:t xml:space="preserve"> eintragen. Speichern.</w:t>
      </w:r>
    </w:p>
    <w:p>
      <w:pPr>
        <w:tabs>
          <w:tab w:pos="425" w:val="left"/>
        </w:tabs>
        <w:spacing w:after="60"/>
        <w:ind w:left="425" w:hanging="425"/>
      </w:pPr>
      <w:r>
        <w:rPr>
          <w:b/>
        </w:rPr>
        <w:t>4.</w:t>
        <w:tab/>
      </w:r>
      <w:r>
        <w:rPr>
          <w:b/>
        </w:rPr>
        <w:t>MD017</w:t>
      </w:r>
      <w:r>
        <w:t xml:space="preserve">: Mengeneinheiten, Artikeltypen, Bestandsklassifizierung (Standard), Kommissionier-, Einlager- und Inventurbedarfstyp für </w:t>
      </w:r>
      <w:r>
        <w:rPr>
          <w:rFonts w:ascii="Consolas" w:hAnsi="Consolas" w:cs="Consolas" w:eastAsia="Consolas"/>
          <w:sz w:val="18"/>
        </w:rPr>
        <w:t>BEREICH2</w:t>
      </w:r>
      <w:r>
        <w:t xml:space="preserve"> anlegen.</w:t>
      </w:r>
    </w:p>
    <w:p>
      <w:pPr>
        <w:tabs>
          <w:tab w:pos="425" w:val="left"/>
        </w:tabs>
        <w:spacing w:after="60"/>
        <w:ind w:left="425" w:hanging="425"/>
      </w:pPr>
      <w:r>
        <w:rPr>
          <w:b/>
        </w:rPr>
        <w:t>5.</w:t>
        <w:tab/>
      </w:r>
      <w:r>
        <w:rPr>
          <w:b/>
        </w:rPr>
        <w:t>MD018</w:t>
      </w:r>
      <w:r>
        <w:t xml:space="preserve">: Klient </w:t>
      </w:r>
      <w:r>
        <w:rPr>
          <w:rFonts w:ascii="Consolas" w:hAnsi="Consolas" w:cs="Consolas" w:eastAsia="Consolas"/>
          <w:sz w:val="18"/>
        </w:rPr>
        <w:t>BEREICH2</w:t>
      </w:r>
      <w:r>
        <w:t xml:space="preserve"> wählen, Partner </w:t>
      </w:r>
      <w:r>
        <w:rPr>
          <w:rFonts w:ascii="Consolas" w:hAnsi="Consolas" w:cs="Consolas" w:eastAsia="Consolas"/>
          <w:sz w:val="18"/>
        </w:rPr>
        <w:t>LIEF_MUSTER</w:t>
      </w:r>
      <w:r>
        <w:t xml:space="preserve"> anlegen. Checkbox </w:t>
      </w:r>
      <w:r>
        <w:rPr>
          <w:b/>
        </w:rPr>
        <w:t>Lieferant</w:t>
      </w:r>
      <w:r>
        <w:t xml:space="preserve">, </w:t>
      </w:r>
      <w:r>
        <w:rPr>
          <w:b/>
        </w:rPr>
        <w:t>Stammdatenstatus</w:t>
      </w:r>
      <w:r>
        <w:t xml:space="preserve"> = </w:t>
      </w:r>
      <w:r>
        <w:rPr>
          <w:b/>
        </w:rPr>
        <w:t>Normal</w:t>
      </w:r>
      <w:r>
        <w:t xml:space="preserve">. Registerkarte </w:t>
      </w:r>
      <w:r>
        <w:rPr>
          <w:b/>
        </w:rPr>
        <w:t>Adresse</w:t>
      </w:r>
      <w:r>
        <w:t xml:space="preserve">: Art </w:t>
      </w:r>
      <w:r>
        <w:rPr>
          <w:b/>
        </w:rPr>
        <w:t>Partner</w:t>
      </w:r>
      <w:r>
        <w:t xml:space="preserve"> mit Adresse und Zeitzone. Speichern.</w:t>
      </w:r>
    </w:p>
    <w:p>
      <w:pPr>
        <w:tabs>
          <w:tab w:pos="425" w:val="left"/>
        </w:tabs>
        <w:spacing w:after="60"/>
        <w:ind w:left="425" w:hanging="425"/>
      </w:pPr>
      <w:r>
        <w:rPr>
          <w:b/>
        </w:rPr>
        <w:t>6.</w:t>
        <w:tab/>
      </w:r>
      <w:r>
        <w:rPr>
          <w:b/>
        </w:rPr>
        <w:t>MD018</w:t>
      </w:r>
      <w:r>
        <w:t xml:space="preserve">: Partner </w:t>
      </w:r>
      <w:r>
        <w:rPr>
          <w:rFonts w:ascii="Consolas" w:hAnsi="Consolas" w:cs="Consolas" w:eastAsia="Consolas"/>
          <w:sz w:val="18"/>
        </w:rPr>
        <w:t>KUNDE_BEISPIEL</w:t>
      </w:r>
      <w:r>
        <w:t xml:space="preserve"> anlegen. Checkbox </w:t>
      </w:r>
      <w:r>
        <w:rPr>
          <w:b/>
        </w:rPr>
        <w:t>Kunde</w:t>
      </w:r>
      <w:r>
        <w:t xml:space="preserve">. Registerkarte </w:t>
      </w:r>
      <w:r>
        <w:rPr>
          <w:b/>
        </w:rPr>
        <w:t>Adresse</w:t>
      </w:r>
      <w:r>
        <w:t xml:space="preserve">: Art </w:t>
      </w:r>
      <w:r>
        <w:rPr>
          <w:b/>
        </w:rPr>
        <w:t>Partner</w:t>
      </w:r>
      <w:r>
        <w:t xml:space="preserve"> und zusätzlich Art </w:t>
      </w:r>
      <w:r>
        <w:rPr>
          <w:b/>
        </w:rPr>
        <w:t>Lieferung</w:t>
      </w:r>
      <w:r>
        <w:t xml:space="preserve"> (abweichende Lieferadresse). Speichern.</w:t>
      </w:r>
    </w:p>
    <w:p>
      <w:pPr>
        <w:tabs>
          <w:tab w:pos="425" w:val="left"/>
        </w:tabs>
        <w:spacing w:after="60"/>
        <w:ind w:left="425" w:hanging="425"/>
      </w:pPr>
      <w:r>
        <w:rPr>
          <w:b/>
        </w:rPr>
        <w:t>7.</w:t>
        <w:tab/>
      </w:r>
      <w:r>
        <w:rPr>
          <w:b/>
        </w:rPr>
        <w:t>MD017</w:t>
      </w:r>
      <w:r>
        <w:t xml:space="preserve">, Registerkarte </w:t>
      </w:r>
      <w:r>
        <w:rPr>
          <w:b/>
        </w:rPr>
        <w:t>Wareneigentümer</w:t>
      </w:r>
      <w:r>
        <w:t xml:space="preserve">: nur wenn </w:t>
      </w:r>
      <w:r>
        <w:rPr>
          <w:rFonts w:ascii="Consolas" w:hAnsi="Consolas" w:cs="Consolas" w:eastAsia="Consolas"/>
          <w:sz w:val="18"/>
        </w:rPr>
        <w:t>BEREICH2</w:t>
      </w:r>
      <w:r>
        <w:t xml:space="preserve"> nicht selbst Wareneigentümer ist, den Partner zuordnen und ggf. </w:t>
      </w:r>
      <w:r>
        <w:rPr>
          <w:b/>
        </w:rPr>
        <w:t>Standard</w:t>
      </w:r>
      <w:r>
        <w:t xml:space="preserve"> setzen.</w:t>
      </w:r>
    </w:p>
    <w:p>
      <w:pPr>
        <w:tabs>
          <w:tab w:pos="425" w:val="left"/>
        </w:tabs>
        <w:spacing w:after="60"/>
        <w:ind w:left="425" w:hanging="425"/>
      </w:pPr>
      <w:r>
        <w:rPr>
          <w:b/>
        </w:rPr>
        <w:t>8.</w:t>
        <w:tab/>
      </w:r>
      <w:r>
        <w:rPr>
          <w:b/>
        </w:rPr>
        <w:t>Benutzereinstellungen</w:t>
      </w:r>
      <w:r>
        <w:t xml:space="preserve">: Für die Bediener des Bereichs </w:t>
      </w:r>
      <w:r>
        <w:rPr>
          <w:rFonts w:ascii="Consolas" w:hAnsi="Consolas" w:cs="Consolas" w:eastAsia="Consolas"/>
          <w:sz w:val="18"/>
        </w:rPr>
        <w:t>BEREICH2</w:t>
      </w:r>
      <w:r>
        <w:t xml:space="preserve"> als Standard-</w:t>
      </w:r>
      <w:r>
        <w:rPr>
          <w:b/>
        </w:rPr>
        <w:t>Klient</w:t>
      </w:r>
      <w:r>
        <w:t xml:space="preserve"> setzen und </w:t>
      </w:r>
      <w:r>
        <w:rPr>
          <w:b/>
        </w:rPr>
        <w:t>Als Standard speichern</w:t>
      </w:r>
      <w:r>
        <w:t>.</w:t>
      </w:r>
    </w:p>
    <w:p>
      <w:pPr>
        <w:tabs>
          <w:tab w:pos="425" w:val="left"/>
        </w:tabs>
        <w:spacing w:after="60"/>
        <w:ind w:left="425" w:hanging="425"/>
      </w:pPr>
      <w:r>
        <w:rPr>
          <w:b/>
        </w:rPr>
        <w:t>9.</w:t>
        <w:tab/>
      </w:r>
      <w:r>
        <w:t xml:space="preserve">Test: In </w:t>
      </w:r>
      <w:r>
        <w:rPr>
          <w:b/>
        </w:rPr>
        <w:t>LM072</w:t>
      </w:r>
      <w:r>
        <w:t xml:space="preserve"> einen Kommissionierbedarf für </w:t>
      </w:r>
      <w:r>
        <w:rPr>
          <w:rFonts w:ascii="Consolas" w:hAnsi="Consolas" w:cs="Consolas" w:eastAsia="Consolas"/>
          <w:sz w:val="18"/>
        </w:rPr>
        <w:t>BEREICH2</w:t>
      </w:r>
      <w:r>
        <w:t xml:space="preserve"> anlegen. Über </w:t>
      </w:r>
      <w:r>
        <w:rPr>
          <w:b/>
        </w:rPr>
        <w:t>LM079</w:t>
      </w:r>
      <w:r>
        <w:t xml:space="preserve"> </w:t>
      </w:r>
      <w:r>
        <w:rPr>
          <w:rFonts w:ascii="Consolas" w:hAnsi="Consolas" w:cs="Consolas" w:eastAsia="Consolas"/>
          <w:sz w:val="18"/>
        </w:rPr>
        <w:t>KUNDE_BEISPIEL</w:t>
      </w:r>
      <w:r>
        <w:t xml:space="preserve"> als Partner zuordnen. Nach der Kommissionierung den Lieferschein über </w:t>
      </w:r>
      <w:r>
        <w:rPr>
          <w:b/>
        </w:rPr>
        <w:t>LM071</w:t>
      </w:r>
      <w:r>
        <w:t xml:space="preserve"> drucken und die gedruckte Adresse prüfen.</w:t>
      </w:r>
    </w:p>
    <w:p>
      <w:pPr>
        <w:pStyle w:val="Heading2"/>
      </w:pPr>
      <w:r>
        <w:t>11.2 Beispiel (konstruiert, bitte prüfen): Klient und Empfängeradresse per ERP</w:t>
      </w:r>
    </w:p>
    <w:p>
      <w:r>
        <w:t xml:space="preserve">Ausgangslage: Das ERP legt den Klienten an und schickt Kommissionierbedarfe mit Warenempfänger. Partner </w:t>
      </w:r>
      <w:r>
        <w:rPr>
          <w:rFonts w:ascii="Consolas" w:hAnsi="Consolas" w:cs="Consolas" w:eastAsia="Consolas"/>
          <w:sz w:val="18"/>
        </w:rPr>
        <w:t>KUNDE_BEISPIEL</w:t>
      </w:r>
      <w:r>
        <w:t xml:space="preserve"> wurde vorher in </w:t>
      </w:r>
      <w:r>
        <w:rPr>
          <w:b/>
        </w:rPr>
        <w:t>MD018</w:t>
      </w:r>
      <w:r>
        <w:t xml:space="preserve"> gepflegt (siehe Lücke in 8.4). Aufbau nach Tab. 9 und Tab. 10. Die Werte sind erfunden. Jede Satzart steht im Telegramm in einer Zeile.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HOST;WAMAS;1;20261014090000;WLSCLIENT001;BEREICH2;Muster AG;Bereich 2;;;+41 00 000 00 00</w:t>
            </w:r>
          </w:p>
        </w:tc>
      </w:tr>
    </w:tbl>
    <w:p>
      <w:pPr>
        <w:pStyle w:val="BeschriftungSSI"/>
      </w:pPr>
      <w:r>
        <w:t>Abb. 6: Konstruiertes CSV – Klient (nicht getestet)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HOST;WAMAS;3;20261014090500;WLSPDPARTNER001;BEREICH2;4711;CONSIGNEE;KUNDE_BEISPIEL;</w:t>
            </w:r>
          </w:p>
          <w:p>
            <w:pPr>
              <w:pStyle w:val="Code"/>
            </w:pPr>
            <w:r>
              <w:t xml:space="preserve">   CREATE;;Beispiel GmbH;;;;Musterstrasse 1;Musterstadt;;;CH;8000;;;;;;ger-CH;Europe/Zurich</w:t>
            </w:r>
          </w:p>
        </w:tc>
      </w:tr>
    </w:tbl>
    <w:p>
      <w:pPr>
        <w:pStyle w:val="BeschriftungSSI"/>
      </w:pPr>
      <w:r>
        <w:t>Abb. 7: Konstruiertes CSV – Partnerrolle CONSIGNEE zum Kommissionierbedarf 4711 (nicht getestet)</w:t>
      </w:r>
    </w:p>
    <w:p>
      <w:r>
        <w:t xml:space="preserve">Prüfschritte: Nachricht in </w:t>
      </w:r>
      <w:r>
        <w:rPr>
          <w:b/>
        </w:rPr>
        <w:t>DI002</w:t>
      </w:r>
      <w:r>
        <w:t xml:space="preserve"> auf Status und Fehlerprotokoll prüfen. Danach in </w:t>
      </w:r>
      <w:r>
        <w:rPr>
          <w:b/>
        </w:rPr>
        <w:t>LM071</w:t>
      </w:r>
      <w:r>
        <w:t>/</w:t>
      </w:r>
      <w:r>
        <w:rPr>
          <w:b/>
        </w:rPr>
        <w:t>LM072</w:t>
      </w:r>
      <w:r>
        <w:t xml:space="preserve"> kontrollieren, ob der Bedarf mit der Partnerrolle und der Adresse angekommen ist.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Vor Einsatz klären</w:t>
            </w:r>
          </w:p>
          <w:p>
            <w:pPr>
              <w:spacing w:after="40"/>
            </w:pPr>
            <w:r>
              <w:rPr>
                <w:sz w:val="19"/>
              </w:rPr>
              <w:t xml:space="preserve">Ob neben </w:t>
            </w:r>
            <w:r>
              <w:rPr>
                <w:rFonts w:ascii="Consolas" w:hAnsi="Consolas" w:cs="Consolas" w:eastAsia="Consolas"/>
                <w:sz w:val="17"/>
              </w:rPr>
              <w:t>CONSIGNEE</w:t>
            </w:r>
            <w:r>
              <w:rPr>
                <w:sz w:val="19"/>
              </w:rPr>
              <w:t xml:space="preserve"> zwingend eine Rolle </w:t>
            </w:r>
            <w:r>
              <w:rPr>
                <w:rFonts w:ascii="Consolas" w:hAnsi="Consolas" w:cs="Consolas" w:eastAsia="Consolas"/>
                <w:sz w:val="17"/>
              </w:rPr>
              <w:t>SUPPLIER</w:t>
            </w:r>
            <w:r>
              <w:rPr>
                <w:sz w:val="19"/>
              </w:rPr>
              <w:t xml:space="preserve"> mitgesendet werden muss, ist offen (Kap. 8.4). Die Zeilen 1 (</w:t>
            </w:r>
            <w:r>
              <w:rPr>
                <w:rFonts w:ascii="Consolas" w:hAnsi="Consolas" w:cs="Consolas" w:eastAsia="Consolas"/>
                <w:sz w:val="17"/>
              </w:rPr>
              <w:t>WLSPD002</w:t>
            </w:r>
            <w:r>
              <w:rPr>
                <w:sz w:val="19"/>
              </w:rPr>
              <w:t>) und 2 (</w:t>
            </w:r>
            <w:r>
              <w:rPr>
                <w:rFonts w:ascii="Consolas" w:hAnsi="Consolas" w:cs="Consolas" w:eastAsia="Consolas"/>
                <w:sz w:val="17"/>
              </w:rPr>
              <w:t>WLSPDL002</w:t>
            </w:r>
            <w:r>
              <w:rPr>
                <w:sz w:val="19"/>
              </w:rPr>
              <w:t>) des Bedarfs sind hier nicht abgebildet. Ihr Aufbau steht in IF 2.7, Kap. 7.1.</w:t>
            </w:r>
          </w:p>
        </w:tc>
      </w:tr>
    </w:tbl>
    <w:p>
      <w:pPr>
        <w:spacing w:after="40"/>
      </w:pPr>
    </w:p>
    <w:p>
      <w:pPr>
        <w:pStyle w:val="Heading1"/>
      </w:pPr>
      <w:r>
        <w:t>12 Lücken und offene Fragen</w:t>
      </w:r>
    </w:p>
    <w:p>
      <w:pPr>
        <w:pStyle w:val="Heading2"/>
      </w:pPr>
      <w:r>
        <w:t>12.1 Dokumentationslücken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08"/>
        <w:gridCol w:w="6080"/>
        <w:gridCol w:w="2837"/>
      </w:tblGrid>
      <w:tr>
        <w:trPr>
          <w:tblHeader w:val="true"/>
        </w:trPr>
        <w:tc>
          <w:tcPr>
            <w:tcW w:type="dxa" w:w="608"/>
            <w:shd w:val="clear" w:color="auto" w:fill="FEEE19"/>
          </w:tcPr>
          <w:p>
            <w:pPr>
              <w:spacing w:after="0"/>
            </w:pPr>
            <w:r>
              <w:rPr>
                <w:b/>
                <w:sz w:val="17"/>
              </w:rPr>
              <w:t>Nr.</w:t>
            </w:r>
          </w:p>
        </w:tc>
        <w:tc>
          <w:tcPr>
            <w:tcW w:type="dxa" w:w="6079"/>
            <w:shd w:val="clear" w:color="auto" w:fill="FEEE19"/>
          </w:tcPr>
          <w:p>
            <w:pPr>
              <w:spacing w:after="0"/>
            </w:pPr>
            <w:r>
              <w:rPr>
                <w:b/>
                <w:sz w:val="17"/>
              </w:rPr>
              <w:t>Lücke</w:t>
            </w:r>
          </w:p>
        </w:tc>
        <w:tc>
          <w:tcPr>
            <w:tcW w:type="dxa" w:w="2837"/>
            <w:shd w:val="clear" w:color="auto" w:fill="FEEE19"/>
          </w:tcPr>
          <w:p>
            <w:pPr>
              <w:spacing w:after="0"/>
            </w:pPr>
            <w:r>
              <w:rPr>
                <w:b/>
                <w:sz w:val="17"/>
              </w:rPr>
              <w:t>Fundstelle</w:t>
            </w:r>
          </w:p>
        </w:tc>
      </w:tr>
      <w:tr>
        <w:tc>
          <w:tcPr>
            <w:tcW w:type="dxa" w:w="608"/>
          </w:tcPr>
          <w:p>
            <w:pPr>
              <w:spacing w:after="0" w:line="252" w:lineRule="auto"/>
            </w:pPr>
            <w:r>
              <w:rPr>
                <w:sz w:val="17"/>
              </w:rPr>
              <w:t>L1</w:t>
            </w:r>
          </w:p>
        </w:tc>
        <w:tc>
          <w:tcPr>
            <w:tcW w:type="dxa" w:w="6079"/>
          </w:tcPr>
          <w:p>
            <w:pPr>
              <w:spacing w:after="0" w:line="252" w:lineRule="auto"/>
            </w:pPr>
            <w:r>
              <w:rPr>
                <w:sz w:val="17"/>
              </w:rPr>
              <w:t xml:space="preserve">Pflichtfelder in </w:t>
            </w:r>
            <w:r>
              <w:rPr>
                <w:b/>
                <w:sz w:val="17"/>
              </w:rPr>
              <w:t>MD017</w:t>
            </w:r>
            <w:r>
              <w:rPr>
                <w:sz w:val="17"/>
              </w:rPr>
              <w:t>/</w:t>
            </w:r>
            <w:r>
              <w:rPr>
                <w:b/>
                <w:sz w:val="17"/>
              </w:rPr>
              <w:t>MD018</w:t>
            </w:r>
            <w:r>
              <w:rPr>
                <w:sz w:val="17"/>
              </w:rPr>
              <w:t xml:space="preserve"> außer der ID nicht dokumentiert</w:t>
            </w:r>
          </w:p>
        </w:tc>
        <w:tc>
          <w:tcPr>
            <w:tcW w:type="dxa" w:w="2837"/>
          </w:tcPr>
          <w:p>
            <w:pPr>
              <w:spacing w:after="0" w:line="252" w:lineRule="auto"/>
            </w:pPr>
            <w:r>
              <w:rPr>
                <w:sz w:val="17"/>
              </w:rPr>
              <w:t>AH 3.6.1, 3.6.2</w:t>
            </w:r>
          </w:p>
        </w:tc>
      </w:tr>
      <w:tr>
        <w:tc>
          <w:tcPr>
            <w:tcW w:type="dxa" w:w="608"/>
          </w:tcPr>
          <w:p>
            <w:pPr>
              <w:spacing w:after="0" w:line="252" w:lineRule="auto"/>
            </w:pPr>
            <w:r>
              <w:rPr>
                <w:sz w:val="17"/>
              </w:rPr>
              <w:t>L2</w:t>
            </w:r>
          </w:p>
        </w:tc>
        <w:tc>
          <w:tcPr>
            <w:tcW w:type="dxa" w:w="6079"/>
          </w:tcPr>
          <w:p>
            <w:pPr>
              <w:spacing w:after="0" w:line="252" w:lineRule="auto"/>
            </w:pPr>
            <w:r>
              <w:rPr>
                <w:sz w:val="17"/>
              </w:rPr>
              <w:t xml:space="preserve">Feld für den Hauptsystempartner in </w:t>
            </w:r>
            <w:r>
              <w:rPr>
                <w:b/>
                <w:sz w:val="17"/>
              </w:rPr>
              <w:t>MD018</w:t>
            </w:r>
            <w:r>
              <w:rPr>
                <w:sz w:val="17"/>
              </w:rPr>
              <w:t xml:space="preserve"> nicht beschrieben</w:t>
            </w:r>
          </w:p>
        </w:tc>
        <w:tc>
          <w:tcPr>
            <w:tcW w:type="dxa" w:w="2837"/>
          </w:tcPr>
          <w:p>
            <w:pPr>
              <w:spacing w:after="0" w:line="252" w:lineRule="auto"/>
            </w:pPr>
            <w:r>
              <w:rPr>
                <w:sz w:val="17"/>
              </w:rPr>
              <w:t>AH 3.6.2</w:t>
            </w:r>
          </w:p>
        </w:tc>
      </w:tr>
      <w:tr>
        <w:tc>
          <w:tcPr>
            <w:tcW w:type="dxa" w:w="608"/>
          </w:tcPr>
          <w:p>
            <w:pPr>
              <w:spacing w:after="0" w:line="252" w:lineRule="auto"/>
            </w:pPr>
            <w:r>
              <w:rPr>
                <w:sz w:val="17"/>
              </w:rPr>
              <w:t>L3</w:t>
            </w:r>
          </w:p>
        </w:tc>
        <w:tc>
          <w:tcPr>
            <w:tcW w:type="dxa" w:w="6079"/>
          </w:tcPr>
          <w:p>
            <w:pPr>
              <w:spacing w:after="0" w:line="252" w:lineRule="auto"/>
            </w:pPr>
            <w:r>
              <w:rPr>
                <w:sz w:val="17"/>
              </w:rPr>
              <w:t xml:space="preserve">Registerkarte </w:t>
            </w:r>
            <w:r>
              <w:rPr>
                <w:b/>
                <w:sz w:val="17"/>
              </w:rPr>
              <w:t>Warenausgang</w:t>
            </w:r>
            <w:r>
              <w:rPr>
                <w:sz w:val="17"/>
              </w:rPr>
              <w:t xml:space="preserve"> in </w:t>
            </w:r>
            <w:r>
              <w:rPr>
                <w:b/>
                <w:sz w:val="17"/>
              </w:rPr>
              <w:t>MD018</w:t>
            </w:r>
            <w:r>
              <w:rPr>
                <w:sz w:val="17"/>
              </w:rPr>
              <w:t xml:space="preserve"> und Anlage der Partnergruppe in </w:t>
            </w:r>
            <w:r>
              <w:rPr>
                <w:b/>
                <w:sz w:val="17"/>
              </w:rPr>
              <w:t>MD017</w:t>
            </w:r>
            <w:r>
              <w:rPr>
                <w:sz w:val="17"/>
              </w:rPr>
              <w:t xml:space="preserve"> nicht beschrieben</w:t>
            </w:r>
          </w:p>
        </w:tc>
        <w:tc>
          <w:tcPr>
            <w:tcW w:type="dxa" w:w="2837"/>
          </w:tcPr>
          <w:p>
            <w:pPr>
              <w:spacing w:after="0" w:line="252" w:lineRule="auto"/>
            </w:pPr>
            <w:r>
              <w:rPr>
                <w:sz w:val="17"/>
              </w:rPr>
              <w:t>AH 3.6.2.1, 3.6.3</w:t>
            </w:r>
          </w:p>
        </w:tc>
      </w:tr>
      <w:tr>
        <w:tc>
          <w:tcPr>
            <w:tcW w:type="dxa" w:w="608"/>
          </w:tcPr>
          <w:p>
            <w:pPr>
              <w:spacing w:after="0" w:line="252" w:lineRule="auto"/>
            </w:pPr>
            <w:r>
              <w:rPr>
                <w:sz w:val="17"/>
              </w:rPr>
              <w:t>L4</w:t>
            </w:r>
          </w:p>
        </w:tc>
        <w:tc>
          <w:tcPr>
            <w:tcW w:type="dxa" w:w="6079"/>
          </w:tcPr>
          <w:p>
            <w:pPr>
              <w:spacing w:after="0" w:line="252" w:lineRule="auto"/>
            </w:pPr>
            <w:r>
              <w:rPr>
                <w:sz w:val="17"/>
              </w:rPr>
              <w:t xml:space="preserve">Keine Partner- oder Adress-Stammsatzart für Lift &amp; Store; </w:t>
            </w:r>
            <w:r>
              <w:rPr>
                <w:rFonts w:ascii="Consolas" w:hAnsi="Consolas" w:cs="Consolas" w:eastAsia="Consolas"/>
                <w:sz w:val="15"/>
              </w:rPr>
              <w:t>PARTNER00008</w:t>
            </w:r>
            <w:r>
              <w:rPr>
                <w:sz w:val="17"/>
              </w:rPr>
              <w:t xml:space="preserve"> nur als Formatbeispiel</w:t>
            </w:r>
          </w:p>
        </w:tc>
        <w:tc>
          <w:tcPr>
            <w:tcW w:type="dxa" w:w="2837"/>
          </w:tcPr>
          <w:p>
            <w:pPr>
              <w:spacing w:after="0" w:line="252" w:lineRule="auto"/>
            </w:pPr>
            <w:r>
              <w:rPr>
                <w:sz w:val="17"/>
              </w:rPr>
              <w:t>IF 3.3, 4</w:t>
            </w:r>
          </w:p>
        </w:tc>
      </w:tr>
      <w:tr>
        <w:tc>
          <w:tcPr>
            <w:tcW w:type="dxa" w:w="608"/>
          </w:tcPr>
          <w:p>
            <w:pPr>
              <w:spacing w:after="0" w:line="252" w:lineRule="auto"/>
            </w:pPr>
            <w:r>
              <w:rPr>
                <w:sz w:val="17"/>
              </w:rPr>
              <w:t>L5</w:t>
            </w:r>
          </w:p>
        </w:tc>
        <w:tc>
          <w:tcPr>
            <w:tcW w:type="dxa" w:w="6079"/>
          </w:tcPr>
          <w:p>
            <w:pPr>
              <w:spacing w:after="0" w:line="252" w:lineRule="auto"/>
            </w:pPr>
            <w:r>
              <w:rPr>
                <w:rFonts w:ascii="Consolas" w:hAnsi="Consolas" w:cs="Consolas" w:eastAsia="Consolas"/>
                <w:sz w:val="15"/>
              </w:rPr>
              <w:t>WLSCLIENT001</w:t>
            </w:r>
            <w:r>
              <w:rPr>
                <w:sz w:val="17"/>
              </w:rPr>
              <w:t xml:space="preserve"> ohne Anschrift und ohne </w:t>
            </w:r>
            <w:r>
              <w:rPr>
                <w:rFonts w:ascii="Consolas" w:hAnsi="Consolas" w:cs="Consolas" w:eastAsia="Consolas"/>
                <w:sz w:val="15"/>
              </w:rPr>
              <w:t>recordState</w:t>
            </w:r>
          </w:p>
        </w:tc>
        <w:tc>
          <w:tcPr>
            <w:tcW w:type="dxa" w:w="2837"/>
          </w:tcPr>
          <w:p>
            <w:pPr>
              <w:spacing w:after="0" w:line="252" w:lineRule="auto"/>
            </w:pPr>
            <w:r>
              <w:rPr>
                <w:sz w:val="17"/>
              </w:rPr>
              <w:t>IF 4.1</w:t>
            </w:r>
          </w:p>
        </w:tc>
      </w:tr>
      <w:tr>
        <w:tc>
          <w:tcPr>
            <w:tcW w:type="dxa" w:w="608"/>
          </w:tcPr>
          <w:p>
            <w:pPr>
              <w:spacing w:after="0" w:line="252" w:lineRule="auto"/>
            </w:pPr>
            <w:r>
              <w:rPr>
                <w:sz w:val="17"/>
              </w:rPr>
              <w:t>L6</w:t>
            </w:r>
          </w:p>
        </w:tc>
        <w:tc>
          <w:tcPr>
            <w:tcW w:type="dxa" w:w="6079"/>
          </w:tcPr>
          <w:p>
            <w:pPr>
              <w:spacing w:after="0" w:line="252" w:lineRule="auto"/>
            </w:pPr>
            <w:r>
              <w:rPr>
                <w:rFonts w:ascii="Consolas" w:hAnsi="Consolas" w:cs="Consolas" w:eastAsia="Consolas"/>
                <w:sz w:val="15"/>
              </w:rPr>
              <w:t>SUPPLIER</w:t>
            </w:r>
            <w:r>
              <w:rPr>
                <w:sz w:val="17"/>
              </w:rPr>
              <w:t xml:space="preserve"> „mandatory“ widerspricht den Telegrammbeispielen</w:t>
            </w:r>
          </w:p>
        </w:tc>
        <w:tc>
          <w:tcPr>
            <w:tcW w:type="dxa" w:w="2837"/>
          </w:tcPr>
          <w:p>
            <w:pPr>
              <w:spacing w:after="0" w:line="252" w:lineRule="auto"/>
            </w:pPr>
            <w:r>
              <w:rPr>
                <w:sz w:val="17"/>
              </w:rPr>
              <w:t>IF 6.1.2.3, 7.1.2.3</w:t>
            </w:r>
          </w:p>
        </w:tc>
      </w:tr>
      <w:tr>
        <w:tc>
          <w:tcPr>
            <w:tcW w:type="dxa" w:w="608"/>
          </w:tcPr>
          <w:p>
            <w:pPr>
              <w:spacing w:after="0" w:line="252" w:lineRule="auto"/>
            </w:pPr>
            <w:r>
              <w:rPr>
                <w:sz w:val="17"/>
              </w:rPr>
              <w:t>L7</w:t>
            </w:r>
          </w:p>
        </w:tc>
        <w:tc>
          <w:tcPr>
            <w:tcW w:type="dxa" w:w="6079"/>
          </w:tcPr>
          <w:p>
            <w:pPr>
              <w:spacing w:after="0" w:line="252" w:lineRule="auto"/>
            </w:pPr>
            <w:r>
              <w:rPr>
                <w:sz w:val="17"/>
              </w:rPr>
              <w:t xml:space="preserve">Verhalten bei unbekanntem </w:t>
            </w:r>
            <w:r>
              <w:rPr>
                <w:rFonts w:ascii="Consolas" w:hAnsi="Consolas" w:cs="Consolas" w:eastAsia="Consolas"/>
                <w:sz w:val="15"/>
              </w:rPr>
              <w:t>partnerId</w:t>
            </w:r>
            <w:r>
              <w:rPr>
                <w:sz w:val="17"/>
              </w:rPr>
              <w:t xml:space="preserve"> und Vorrang Bedarfsadresse vs. </w:t>
            </w:r>
            <w:r>
              <w:rPr>
                <w:b/>
                <w:sz w:val="17"/>
              </w:rPr>
              <w:t>MD018</w:t>
            </w:r>
            <w:r>
              <w:rPr>
                <w:sz w:val="17"/>
              </w:rPr>
              <w:t xml:space="preserve"> offen</w:t>
            </w:r>
          </w:p>
        </w:tc>
        <w:tc>
          <w:tcPr>
            <w:tcW w:type="dxa" w:w="2837"/>
          </w:tcPr>
          <w:p>
            <w:pPr>
              <w:spacing w:after="0" w:line="252" w:lineRule="auto"/>
            </w:pPr>
            <w:r>
              <w:rPr>
                <w:sz w:val="17"/>
              </w:rPr>
              <w:t>IF 7.1</w:t>
            </w:r>
          </w:p>
        </w:tc>
      </w:tr>
      <w:tr>
        <w:tc>
          <w:tcPr>
            <w:tcW w:type="dxa" w:w="608"/>
          </w:tcPr>
          <w:p>
            <w:pPr>
              <w:spacing w:after="0" w:line="252" w:lineRule="auto"/>
            </w:pPr>
            <w:r>
              <w:rPr>
                <w:sz w:val="17"/>
              </w:rPr>
              <w:t>L8</w:t>
            </w:r>
          </w:p>
        </w:tc>
        <w:tc>
          <w:tcPr>
            <w:tcW w:type="dxa" w:w="6079"/>
          </w:tcPr>
          <w:p>
            <w:pPr>
              <w:spacing w:after="0" w:line="252" w:lineRule="auto"/>
            </w:pPr>
            <w:r>
              <w:rPr>
                <w:sz w:val="17"/>
              </w:rPr>
              <w:t>Gedruckte Adresse auf Lieferschein/Auslieferschein nicht dokumentiert</w:t>
            </w:r>
          </w:p>
        </w:tc>
        <w:tc>
          <w:tcPr>
            <w:tcW w:type="dxa" w:w="2837"/>
          </w:tcPr>
          <w:p>
            <w:pPr>
              <w:spacing w:after="0" w:line="252" w:lineRule="auto"/>
            </w:pPr>
            <w:r>
              <w:rPr>
                <w:sz w:val="17"/>
              </w:rPr>
              <w:t>BH 6.8.1.4</w:t>
            </w:r>
          </w:p>
        </w:tc>
      </w:tr>
      <w:tr>
        <w:tc>
          <w:tcPr>
            <w:tcW w:type="dxa" w:w="608"/>
          </w:tcPr>
          <w:p>
            <w:pPr>
              <w:spacing w:after="0" w:line="252" w:lineRule="auto"/>
            </w:pPr>
            <w:r>
              <w:rPr>
                <w:sz w:val="17"/>
              </w:rPr>
              <w:t>L9</w:t>
            </w:r>
          </w:p>
        </w:tc>
        <w:tc>
          <w:tcPr>
            <w:tcW w:type="dxa" w:w="6079"/>
          </w:tcPr>
          <w:p>
            <w:pPr>
              <w:spacing w:after="0" w:line="252" w:lineRule="auto"/>
            </w:pPr>
            <w:r>
              <w:rPr>
                <w:sz w:val="17"/>
              </w:rPr>
              <w:t>Datenzugriffsprofil pro Klient und Systemparameter für neuen Klienten nicht beschrieben</w:t>
            </w:r>
          </w:p>
        </w:tc>
        <w:tc>
          <w:tcPr>
            <w:tcW w:type="dxa" w:w="2837"/>
          </w:tcPr>
          <w:p>
            <w:pPr>
              <w:spacing w:after="0" w:line="252" w:lineRule="auto"/>
            </w:pPr>
            <w:r>
              <w:rPr>
                <w:sz w:val="17"/>
              </w:rPr>
              <w:t>AH 3.3.2.2</w:t>
            </w:r>
          </w:p>
        </w:tc>
      </w:tr>
      <w:tr>
        <w:tc>
          <w:tcPr>
            <w:tcW w:type="dxa" w:w="608"/>
          </w:tcPr>
          <w:p>
            <w:pPr>
              <w:spacing w:after="0" w:line="252" w:lineRule="auto"/>
            </w:pPr>
            <w:r>
              <w:rPr>
                <w:sz w:val="17"/>
              </w:rPr>
              <w:t>L10</w:t>
            </w:r>
          </w:p>
        </w:tc>
        <w:tc>
          <w:tcPr>
            <w:tcW w:type="dxa" w:w="6079"/>
          </w:tcPr>
          <w:p>
            <w:pPr>
              <w:spacing w:after="0" w:line="252" w:lineRule="auto"/>
            </w:pPr>
            <w:r>
              <w:rPr>
                <w:sz w:val="17"/>
              </w:rPr>
              <w:t>Übersichtsdialoge für Klienten und Partner werden erwähnt, aber ohne Dialognummer</w:t>
            </w:r>
          </w:p>
        </w:tc>
        <w:tc>
          <w:tcPr>
            <w:tcW w:type="dxa" w:w="2837"/>
          </w:tcPr>
          <w:p>
            <w:pPr>
              <w:spacing w:after="0" w:line="252" w:lineRule="auto"/>
            </w:pPr>
            <w:r>
              <w:rPr>
                <w:sz w:val="17"/>
              </w:rPr>
              <w:t>BH 3.4.1 (Suchen nach Daten)</w:t>
            </w:r>
          </w:p>
        </w:tc>
      </w:tr>
      <w:tr>
        <w:tc>
          <w:tcPr>
            <w:tcW w:type="dxa" w:w="608"/>
          </w:tcPr>
          <w:p>
            <w:pPr>
              <w:spacing w:after="0" w:line="252" w:lineRule="auto"/>
            </w:pPr>
            <w:r>
              <w:rPr>
                <w:sz w:val="17"/>
              </w:rPr>
              <w:t>L11</w:t>
            </w:r>
          </w:p>
        </w:tc>
        <w:tc>
          <w:tcPr>
            <w:tcW w:type="dxa" w:w="6079"/>
          </w:tcPr>
          <w:p>
            <w:pPr>
              <w:spacing w:after="0" w:line="252" w:lineRule="auto"/>
            </w:pPr>
            <w:r>
              <w:rPr>
                <w:sz w:val="17"/>
              </w:rPr>
              <w:t>Begriff „Mandant“ in keiner Quelle; Gleichsetzung mit Klient ist eine Übersetzung</w:t>
            </w:r>
          </w:p>
        </w:tc>
        <w:tc>
          <w:tcPr>
            <w:tcW w:type="dxa" w:w="2837"/>
          </w:tcPr>
          <w:p>
            <w:pPr>
              <w:spacing w:after="0" w:line="252" w:lineRule="auto"/>
            </w:pPr>
            <w:r>
              <w:rPr>
                <w:sz w:val="17"/>
              </w:rPr>
              <w:t>AH 3.6.1</w:t>
            </w:r>
          </w:p>
        </w:tc>
      </w:tr>
      <w:tr>
        <w:tc>
          <w:tcPr>
            <w:tcW w:type="dxa" w:w="608"/>
          </w:tcPr>
          <w:p>
            <w:pPr>
              <w:spacing w:after="0" w:line="252" w:lineRule="auto"/>
            </w:pPr>
            <w:r>
              <w:rPr>
                <w:sz w:val="17"/>
              </w:rPr>
              <w:t>L12</w:t>
            </w:r>
          </w:p>
        </w:tc>
        <w:tc>
          <w:tcPr>
            <w:tcW w:type="dxa" w:w="6079"/>
          </w:tcPr>
          <w:p>
            <w:pPr>
              <w:spacing w:after="0" w:line="252" w:lineRule="auto"/>
            </w:pPr>
            <w:r>
              <w:rPr>
                <w:sz w:val="17"/>
              </w:rPr>
              <w:t>Datenzugriffsprofil: Einschränkung auf Klient und Pflegedialog nicht beschrieben</w:t>
            </w:r>
          </w:p>
        </w:tc>
        <w:tc>
          <w:tcPr>
            <w:tcW w:type="dxa" w:w="2837"/>
          </w:tcPr>
          <w:p>
            <w:pPr>
              <w:spacing w:after="0" w:line="252" w:lineRule="auto"/>
            </w:pPr>
            <w:r>
              <w:rPr>
                <w:sz w:val="17"/>
              </w:rPr>
              <w:t>AH 3.3.2.2</w:t>
            </w:r>
          </w:p>
        </w:tc>
      </w:tr>
      <w:tr>
        <w:tc>
          <w:tcPr>
            <w:tcW w:type="dxa" w:w="608"/>
          </w:tcPr>
          <w:p>
            <w:pPr>
              <w:spacing w:after="0" w:line="252" w:lineRule="auto"/>
            </w:pPr>
            <w:r>
              <w:rPr>
                <w:sz w:val="17"/>
              </w:rPr>
              <w:t>L13</w:t>
            </w:r>
          </w:p>
        </w:tc>
        <w:tc>
          <w:tcPr>
            <w:tcW w:type="dxa" w:w="6079"/>
          </w:tcPr>
          <w:p>
            <w:pPr>
              <w:spacing w:after="0" w:line="252" w:lineRule="auto"/>
            </w:pPr>
            <w:r>
              <w:rPr>
                <w:sz w:val="17"/>
              </w:rPr>
              <w:t>Gemeinsame Nutzung von Lagerplätzen und Tablaren nur abgeleitet; L&amp;S-Quittierungen (MD021) nur je Lagerstandort filterbar</w:t>
            </w:r>
          </w:p>
        </w:tc>
        <w:tc>
          <w:tcPr>
            <w:tcW w:type="dxa" w:w="2837"/>
          </w:tcPr>
          <w:p>
            <w:pPr>
              <w:spacing w:after="0" w:line="252" w:lineRule="auto"/>
            </w:pPr>
            <w:r>
              <w:rPr>
                <w:sz w:val="17"/>
              </w:rPr>
              <w:t>AH 3.5.1.6, 3.6.1.13</w:t>
            </w:r>
          </w:p>
        </w:tc>
      </w:tr>
      <w:tr>
        <w:tc>
          <w:tcPr>
            <w:tcW w:type="dxa" w:w="608"/>
          </w:tcPr>
          <w:p>
            <w:pPr>
              <w:spacing w:after="0" w:line="252" w:lineRule="auto"/>
            </w:pPr>
            <w:r>
              <w:rPr>
                <w:sz w:val="17"/>
              </w:rPr>
              <w:t>L14</w:t>
            </w:r>
          </w:p>
        </w:tc>
        <w:tc>
          <w:tcPr>
            <w:tcW w:type="dxa" w:w="6079"/>
          </w:tcPr>
          <w:p>
            <w:pPr>
              <w:spacing w:after="0" w:line="252" w:lineRule="auto"/>
            </w:pPr>
            <w:r>
              <w:rPr>
                <w:sz w:val="17"/>
              </w:rPr>
              <w:t xml:space="preserve">Klient </w:t>
            </w:r>
            <w:r>
              <w:rPr>
                <w:rFonts w:ascii="Consolas" w:hAnsi="Consolas" w:cs="Consolas" w:eastAsia="Consolas"/>
                <w:sz w:val="15"/>
              </w:rPr>
              <w:t>DEFAULT</w:t>
            </w:r>
            <w:r>
              <w:rPr>
                <w:sz w:val="17"/>
              </w:rPr>
              <w:t xml:space="preserve">/Partner </w:t>
            </w:r>
            <w:r>
              <w:rPr>
                <w:rFonts w:ascii="Consolas" w:hAnsi="Consolas" w:cs="Consolas" w:eastAsia="Consolas"/>
                <w:sz w:val="15"/>
              </w:rPr>
              <w:t>pDEFAULT</w:t>
            </w:r>
            <w:r>
              <w:rPr>
                <w:sz w:val="17"/>
              </w:rPr>
              <w:t>: Auslieferungszustand und Umgang nicht dokumentiert</w:t>
            </w:r>
          </w:p>
        </w:tc>
        <w:tc>
          <w:tcPr>
            <w:tcW w:type="dxa" w:w="2837"/>
          </w:tcPr>
          <w:p>
            <w:pPr>
              <w:spacing w:after="0" w:line="252" w:lineRule="auto"/>
            </w:pPr>
            <w:r>
              <w:rPr>
                <w:sz w:val="17"/>
              </w:rPr>
              <w:t>IF 4–11</w:t>
            </w:r>
          </w:p>
        </w:tc>
      </w:tr>
    </w:tbl>
    <w:p>
      <w:pPr>
        <w:pStyle w:val="BeschriftungSSI"/>
      </w:pPr>
      <w:r>
        <w:t>Tab. 13: Dokumentationslücken</w:t>
      </w:r>
    </w:p>
    <w:p>
      <w:pPr>
        <w:pStyle w:val="Heading2"/>
      </w:pPr>
      <w:r>
        <w:t>12.2 Fragen an Marek</w:t>
      </w:r>
    </w:p>
    <w:p>
      <w:pPr>
        <w:tabs>
          <w:tab w:pos="425" w:val="left"/>
        </w:tabs>
        <w:spacing w:after="60"/>
        <w:ind w:left="425" w:hanging="425"/>
      </w:pPr>
      <w:r>
        <w:rPr>
          <w:b/>
        </w:rPr>
        <w:t>1.</w:t>
        <w:tab/>
      </w:r>
      <w:r>
        <w:t xml:space="preserve">Welche Felder in </w:t>
      </w:r>
      <w:r>
        <w:rPr>
          <w:b/>
        </w:rPr>
        <w:t>MD017</w:t>
      </w:r>
      <w:r>
        <w:t>/</w:t>
      </w:r>
      <w:r>
        <w:rPr>
          <w:b/>
        </w:rPr>
        <w:t>MD018</w:t>
      </w:r>
      <w:r>
        <w:t xml:space="preserve"> sind im System tatsächlich Pflicht, und wo wird in </w:t>
      </w:r>
      <w:r>
        <w:rPr>
          <w:b/>
        </w:rPr>
        <w:t>MD018</w:t>
      </w:r>
      <w:r>
        <w:t xml:space="preserve"> der Hauptsystempartner gesetzt?</w:t>
      </w:r>
    </w:p>
    <w:p>
      <w:pPr>
        <w:tabs>
          <w:tab w:pos="425" w:val="left"/>
        </w:tabs>
        <w:spacing w:after="60"/>
        <w:ind w:left="425" w:hanging="425"/>
      </w:pPr>
      <w:r>
        <w:rPr>
          <w:b/>
        </w:rPr>
        <w:t>2.</w:t>
        <w:tab/>
      </w:r>
      <w:r>
        <w:t>Verarbeitet WAMAS Lift &amp; Store 2.7 einen Partner-Stammsatz (</w:t>
      </w:r>
      <w:r>
        <w:rPr>
          <w:rFonts w:ascii="Consolas" w:hAnsi="Consolas" w:cs="Consolas" w:eastAsia="Consolas"/>
          <w:sz w:val="18"/>
        </w:rPr>
        <w:t>PARTNER00008</w:t>
      </w:r>
      <w:r>
        <w:t>/</w:t>
      </w:r>
      <w:r>
        <w:rPr>
          <w:rFonts w:ascii="Consolas" w:hAnsi="Consolas" w:cs="Consolas" w:eastAsia="Consolas"/>
          <w:sz w:val="18"/>
        </w:rPr>
        <w:t>PARTNERADDR00007</w:t>
      </w:r>
      <w:r>
        <w:t xml:space="preserve">) oder müssen Partner immer manuell in </w:t>
      </w:r>
      <w:r>
        <w:rPr>
          <w:b/>
        </w:rPr>
        <w:t>MD018</w:t>
      </w:r>
      <w:r>
        <w:t xml:space="preserve"> angelegt werden?</w:t>
      </w:r>
    </w:p>
    <w:p>
      <w:pPr>
        <w:tabs>
          <w:tab w:pos="425" w:val="left"/>
        </w:tabs>
        <w:spacing w:after="60"/>
        <w:ind w:left="425" w:hanging="425"/>
      </w:pPr>
      <w:r>
        <w:rPr>
          <w:b/>
        </w:rPr>
        <w:t>3.</w:t>
        <w:tab/>
      </w:r>
      <w:r>
        <w:t xml:space="preserve">Was passiert, wenn </w:t>
      </w:r>
      <w:r>
        <w:rPr>
          <w:rFonts w:ascii="Consolas" w:hAnsi="Consolas" w:cs="Consolas" w:eastAsia="Consolas"/>
          <w:sz w:val="18"/>
        </w:rPr>
        <w:t>WLSPDPARTNER001</w:t>
      </w:r>
      <w:r>
        <w:t>/</w:t>
      </w:r>
      <w:r>
        <w:rPr>
          <w:rFonts w:ascii="Consolas" w:hAnsi="Consolas" w:cs="Consolas" w:eastAsia="Consolas"/>
          <w:sz w:val="18"/>
        </w:rPr>
        <w:t>WLSSDPARTNER001</w:t>
      </w:r>
      <w:r>
        <w:t xml:space="preserve"> eine in </w:t>
      </w:r>
      <w:r>
        <w:rPr>
          <w:b/>
        </w:rPr>
        <w:t>MD018</w:t>
      </w:r>
      <w:r>
        <w:t xml:space="preserve"> unbekannte </w:t>
      </w:r>
      <w:r>
        <w:rPr>
          <w:rFonts w:ascii="Consolas" w:hAnsi="Consolas" w:cs="Consolas" w:eastAsia="Consolas"/>
          <w:sz w:val="18"/>
        </w:rPr>
        <w:t>partnerId</w:t>
      </w:r>
      <w:r>
        <w:t xml:space="preserve"> enthält: Fehler, automatische Anlage oder Übernahme nur im Bedarf?</w:t>
      </w:r>
    </w:p>
    <w:p>
      <w:pPr>
        <w:tabs>
          <w:tab w:pos="425" w:val="left"/>
        </w:tabs>
        <w:spacing w:after="60"/>
        <w:ind w:left="425" w:hanging="425"/>
      </w:pPr>
      <w:r>
        <w:rPr>
          <w:b/>
        </w:rPr>
        <w:t>4.</w:t>
        <w:tab/>
      </w:r>
      <w:r>
        <w:t xml:space="preserve">Muss die Rolle </w:t>
      </w:r>
      <w:r>
        <w:rPr>
          <w:rFonts w:ascii="Consolas" w:hAnsi="Consolas" w:cs="Consolas" w:eastAsia="Consolas"/>
          <w:sz w:val="18"/>
        </w:rPr>
        <w:t>SUPPLIER</w:t>
      </w:r>
      <w:r>
        <w:t xml:space="preserve"> in jedem Bedarf mitgeschickt werden, oder reicht </w:t>
      </w:r>
      <w:r>
        <w:rPr>
          <w:rFonts w:ascii="Consolas" w:hAnsi="Consolas" w:cs="Consolas" w:eastAsia="Consolas"/>
          <w:sz w:val="18"/>
        </w:rPr>
        <w:t>CONSIGNEE</w:t>
      </w:r>
      <w:r>
        <w:t>/</w:t>
      </w:r>
      <w:r>
        <w:rPr>
          <w:rFonts w:ascii="Consolas" w:hAnsi="Consolas" w:cs="Consolas" w:eastAsia="Consolas"/>
          <w:sz w:val="18"/>
        </w:rPr>
        <w:t>CONTRACTEE</w:t>
      </w:r>
      <w:r>
        <w:t xml:space="preserve"> wie in den Beispielen?</w:t>
      </w:r>
    </w:p>
    <w:p>
      <w:pPr>
        <w:tabs>
          <w:tab w:pos="425" w:val="left"/>
        </w:tabs>
        <w:spacing w:after="60"/>
        <w:ind w:left="425" w:hanging="425"/>
      </w:pPr>
      <w:r>
        <w:rPr>
          <w:b/>
        </w:rPr>
        <w:t>5.</w:t>
        <w:tab/>
      </w:r>
      <w:r>
        <w:t xml:space="preserve">Welche Adresse (Bedarfspartnerrolle, Lieferadresse oder Hauptadresse aus </w:t>
      </w:r>
      <w:r>
        <w:rPr>
          <w:b/>
        </w:rPr>
        <w:t>MD018</w:t>
      </w:r>
      <w:r>
        <w:t>, Klient) druckt das Standard-Lieferscheinlayout?</w:t>
      </w:r>
    </w:p>
    <w:p>
      <w:pPr>
        <w:tabs>
          <w:tab w:pos="425" w:val="left"/>
        </w:tabs>
        <w:spacing w:after="60"/>
        <w:ind w:left="425" w:hanging="425"/>
      </w:pPr>
      <w:r>
        <w:rPr>
          <w:b/>
        </w:rPr>
        <w:t>6.</w:t>
        <w:tab/>
      </w:r>
      <w:r>
        <w:t>Wie wird beim Kunden ein Benutzer auf einen Klienten eingeschränkt (Datenzugriffsprofil)? Gibt es klientenbezogene Systemparameter?</w:t>
      </w:r>
    </w:p>
    <w:p>
      <w:pPr>
        <w:tabs>
          <w:tab w:pos="425" w:val="left"/>
        </w:tabs>
        <w:spacing w:after="60"/>
        <w:ind w:left="425" w:hanging="425"/>
      </w:pPr>
      <w:r>
        <w:rPr>
          <w:b/>
        </w:rPr>
        <w:t>7.</w:t>
        <w:tab/>
      </w:r>
      <w:r>
        <w:t xml:space="preserve">Ändert ein erneutes </w:t>
      </w:r>
      <w:r>
        <w:rPr>
          <w:rFonts w:ascii="Consolas" w:hAnsi="Consolas" w:cs="Consolas" w:eastAsia="Consolas"/>
          <w:sz w:val="18"/>
        </w:rPr>
        <w:t>WLSCLIENT001</w:t>
      </w:r>
      <w:r>
        <w:t xml:space="preserve"> mit gleicher </w:t>
      </w:r>
      <w:r>
        <w:rPr>
          <w:rFonts w:ascii="Consolas" w:hAnsi="Consolas" w:cs="Consolas" w:eastAsia="Consolas"/>
          <w:sz w:val="18"/>
        </w:rPr>
        <w:t>clientId</w:t>
      </w:r>
      <w:r>
        <w:t xml:space="preserve"> den bestehenden Klienten (Update) oder wird es abgewiesen?</w:t>
      </w:r>
    </w:p>
    <w:p>
      <w:pPr>
        <w:tabs>
          <w:tab w:pos="425" w:val="left"/>
        </w:tabs>
        <w:spacing w:after="60"/>
        <w:ind w:left="425" w:hanging="425"/>
      </w:pPr>
      <w:r>
        <w:rPr>
          <w:b/>
        </w:rPr>
        <w:t>8.</w:t>
        <w:tab/>
      </w:r>
      <w:r>
        <w:t>Welche Dialognummern haben die Übersichtsdialoge für Klienten und Partner beim Kunden?</w:t>
      </w:r>
    </w:p>
    <w:p>
      <w:pPr>
        <w:tabs>
          <w:tab w:pos="425" w:val="left"/>
        </w:tabs>
        <w:spacing w:after="60"/>
        <w:ind w:left="425" w:hanging="425"/>
      </w:pPr>
      <w:r>
        <w:rPr>
          <w:b/>
        </w:rPr>
        <w:t>9.</w:t>
        <w:tab/>
      </w:r>
      <w:r>
        <w:t>Wie wird ein Datenzugriffsprofil auf einen Klienten eingeschränkt, sodass ein Benutzer nur Bestand und Bedarfe „seines“ Klienten sieht?</w:t>
      </w:r>
    </w:p>
    <w:p>
      <w:pPr>
        <w:tabs>
          <w:tab w:pos="425" w:val="left"/>
        </w:tabs>
        <w:spacing w:after="60"/>
        <w:ind w:left="425" w:hanging="425"/>
      </w:pPr>
      <w:r>
        <w:rPr>
          <w:b/>
        </w:rPr>
        <w:t>10.</w:t>
        <w:tab/>
      </w:r>
      <w:r>
        <w:t xml:space="preserve">Ist der Klient </w:t>
      </w:r>
      <w:r>
        <w:rPr>
          <w:rFonts w:ascii="Consolas" w:hAnsi="Consolas" w:cs="Consolas" w:eastAsia="Consolas"/>
          <w:sz w:val="18"/>
        </w:rPr>
        <w:t>DEFAULT</w:t>
      </w:r>
      <w:r>
        <w:t xml:space="preserve"> (mit </w:t>
      </w:r>
      <w:r>
        <w:rPr>
          <w:rFonts w:ascii="Consolas" w:hAnsi="Consolas" w:cs="Consolas" w:eastAsia="Consolas"/>
          <w:sz w:val="18"/>
        </w:rPr>
        <w:t>pDEFAULT</w:t>
      </w:r>
      <w:r>
        <w:t>) im Auslieferungszustand vorhanden, und soll ein Projekt ihn weiterverwenden oder durch einen eigenen Klienten ersetzen?</w:t>
      </w:r>
    </w:p>
    <w:p>
      <w:pPr>
        <w:pStyle w:val="Heading1"/>
      </w:pPr>
      <w:r>
        <w:t>13 Quellenverzeichnis</w:t>
      </w:r>
    </w:p>
    <w:p>
      <w:pPr>
        <w:pStyle w:val="Heading3"/>
      </w:pPr>
      <w:r>
        <w:t>13.1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Kürzel</w:t>
            </w:r>
          </w:p>
        </w:tc>
        <w:tc>
          <w:tcPr>
            <w:tcW w:type="dxa" w:w="7937"/>
            <w:shd w:val="clear" w:color="auto" w:fill="FEEE19"/>
          </w:tcPr>
          <w:p>
            <w:pPr>
              <w:spacing w:after="0"/>
            </w:pPr>
            <w:r>
              <w:rPr>
                <w:b/>
                <w:sz w:val="17"/>
              </w:rPr>
              <w:t>Bedeutung</w:t>
            </w:r>
          </w:p>
        </w:tc>
      </w:tr>
      <w:tr>
        <w:tc>
          <w:tcPr>
            <w:tcW w:type="dxa" w:w="1587"/>
          </w:tcPr>
          <w:p>
            <w:pPr>
              <w:spacing w:after="0" w:line="252" w:lineRule="auto"/>
            </w:pPr>
            <w:r>
              <w:rPr>
                <w:sz w:val="17"/>
              </w:rPr>
              <w:t>AH 2.7</w:t>
            </w:r>
          </w:p>
        </w:tc>
        <w:tc>
          <w:tcPr>
            <w:tcW w:type="dxa" w:w="7937"/>
          </w:tcPr>
          <w:p>
            <w:pPr>
              <w:spacing w:after="0" w:line="252" w:lineRule="auto"/>
            </w:pPr>
            <w:r>
              <w:rPr>
                <w:sz w:val="17"/>
              </w:rPr>
              <w:t>Administratorhandbuch WAMAS Lift &amp; Store 2.7, V 1.0, deDE</w:t>
            </w:r>
          </w:p>
        </w:tc>
      </w:tr>
      <w:tr>
        <w:tc>
          <w:tcPr>
            <w:tcW w:type="dxa" w:w="1587"/>
          </w:tcPr>
          <w:p>
            <w:pPr>
              <w:spacing w:after="0" w:line="252" w:lineRule="auto"/>
            </w:pPr>
            <w:r>
              <w:rPr>
                <w:sz w:val="17"/>
              </w:rPr>
              <w:t>BH 2.7</w:t>
            </w:r>
          </w:p>
        </w:tc>
        <w:tc>
          <w:tcPr>
            <w:tcW w:type="dxa" w:w="7937"/>
          </w:tcPr>
          <w:p>
            <w:pPr>
              <w:spacing w:after="0" w:line="252" w:lineRule="auto"/>
            </w:pPr>
            <w:r>
              <w:rPr>
                <w:sz w:val="17"/>
              </w:rPr>
              <w:t>Benutzerhandbuch WAMAS Lift &amp; Store 2.7, V 1.0, deDE</w:t>
            </w:r>
          </w:p>
        </w:tc>
      </w:tr>
      <w:tr>
        <w:tc>
          <w:tcPr>
            <w:tcW w:type="dxa" w:w="1587"/>
          </w:tcPr>
          <w:p>
            <w:pPr>
              <w:spacing w:after="0" w:line="252" w:lineRule="auto"/>
            </w:pPr>
            <w:r>
              <w:rPr>
                <w:sz w:val="17"/>
              </w:rPr>
              <w:t>IF 2.7</w:t>
            </w:r>
          </w:p>
        </w:tc>
        <w:tc>
          <w:tcPr>
            <w:tcW w:type="dxa" w:w="7937"/>
          </w:tcPr>
          <w:p>
            <w:pPr>
              <w:spacing w:after="0" w:line="252" w:lineRule="auto"/>
            </w:pPr>
            <w:r>
              <w:rPr>
                <w:sz w:val="17"/>
              </w:rPr>
              <w:t>Interface Manual WLS – ERP 2.7, V 1.0, enUS</w:t>
            </w:r>
          </w:p>
        </w:tc>
      </w:tr>
      <w:tr>
        <w:tc>
          <w:tcPr>
            <w:tcW w:type="dxa" w:w="1587"/>
          </w:tcPr>
          <w:p>
            <w:pPr>
              <w:spacing w:after="0" w:line="252" w:lineRule="auto"/>
            </w:pPr>
            <w:r>
              <w:rPr>
                <w:sz w:val="17"/>
              </w:rPr>
              <w:t>AH/BH/IF 2.8</w:t>
            </w:r>
          </w:p>
        </w:tc>
        <w:tc>
          <w:tcPr>
            <w:tcW w:type="dxa" w:w="7937"/>
          </w:tcPr>
          <w:p>
            <w:pPr>
              <w:spacing w:after="0" w:line="252" w:lineRule="auto"/>
            </w:pPr>
            <w:r>
              <w:rPr>
                <w:sz w:val="17"/>
              </w:rPr>
              <w:t>Administrator Manual, User Manual, Interface Manual WLS – ERP 2.8, V 1.0, enUS</w:t>
            </w:r>
          </w:p>
        </w:tc>
      </w:tr>
      <w:tr>
        <w:tc>
          <w:tcPr>
            <w:tcW w:type="dxa" w:w="1587"/>
          </w:tcPr>
          <w:p>
            <w:pPr>
              <w:spacing w:after="0" w:line="252" w:lineRule="auto"/>
            </w:pPr>
            <w:r>
              <w:rPr>
                <w:sz w:val="17"/>
              </w:rPr>
              <w:t>SPM</w:t>
            </w:r>
          </w:p>
        </w:tc>
        <w:tc>
          <w:tcPr>
            <w:tcW w:type="dxa" w:w="7937"/>
          </w:tcPr>
          <w:p>
            <w:pPr>
              <w:spacing w:after="0" w:line="252" w:lineRule="auto"/>
            </w:pPr>
            <w:r>
              <w:rPr>
                <w:sz w:val="17"/>
              </w:rPr>
              <w:t>Systempartnernachricht (inSPM eingehend, outSPM ausgehend)</w:t>
            </w:r>
          </w:p>
        </w:tc>
      </w:tr>
      <w:tr>
        <w:tc>
          <w:tcPr>
            <w:tcW w:type="dxa" w:w="1587"/>
          </w:tcPr>
          <w:p>
            <w:pPr>
              <w:spacing w:after="0" w:line="252" w:lineRule="auto"/>
            </w:pPr>
            <w:r>
              <w:rPr>
                <w:sz w:val="17"/>
              </w:rPr>
              <w:t>ABIA</w:t>
            </w:r>
          </w:p>
        </w:tc>
        <w:tc>
          <w:tcPr>
            <w:tcW w:type="dxa" w:w="7937"/>
          </w:tcPr>
          <w:p>
            <w:pPr>
              <w:spacing w:after="0" w:line="252" w:lineRule="auto"/>
            </w:pPr>
            <w:r>
              <w:rPr>
                <w:sz w:val="17"/>
              </w:rPr>
              <w:t>anpassbares bestandsidentifizierendes Attribut</w:t>
            </w:r>
          </w:p>
        </w:tc>
      </w:tr>
    </w:tbl>
    <w:p>
      <w:pPr>
        <w:pStyle w:val="BeschriftungSSI"/>
      </w:pPr>
      <w:r>
        <w:t>Tab. 14: Abkürzungen</w:t>
      </w:r>
    </w:p>
    <w:p>
      <w:pPr>
        <w:pStyle w:val="Heading3"/>
      </w:pPr>
      <w:r>
        <w:t>13.2 Verwendete Dateien und Kapitel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Datei (MAN = …\01 WAMAS Lift &amp; Store\02 Manuals)</w:t>
            </w:r>
          </w:p>
        </w:tc>
        <w:tc>
          <w:tcPr>
            <w:tcW w:type="dxa" w:w="4762"/>
            <w:shd w:val="clear" w:color="auto" w:fill="FEEE19"/>
          </w:tcPr>
          <w:p>
            <w:pPr>
              <w:spacing w:after="0"/>
            </w:pPr>
            <w:r>
              <w:rPr>
                <w:b/>
                <w:sz w:val="17"/>
              </w:rPr>
              <w:t>Verwendete Kapitel</w:t>
            </w:r>
          </w:p>
        </w:tc>
      </w:tr>
      <w:tr>
        <w:tc>
          <w:tcPr>
            <w:tcW w:type="dxa" w:w="4762"/>
          </w:tcPr>
          <w:p>
            <w:pPr>
              <w:spacing w:after="0" w:line="252" w:lineRule="auto"/>
            </w:pPr>
            <w:r>
              <w:rPr>
                <w:sz w:val="17"/>
              </w:rPr>
              <w:t>MAN\01 Admin &amp; User\2.7\WAMAS.LS_2.7_man.administrator_V01.0_deDE.pdf</w:t>
            </w:r>
          </w:p>
        </w:tc>
        <w:tc>
          <w:tcPr>
            <w:tcW w:type="dxa" w:w="4762"/>
          </w:tcPr>
          <w:p>
            <w:pPr>
              <w:spacing w:after="0" w:line="252" w:lineRule="auto"/>
            </w:pPr>
            <w:r>
              <w:rPr>
                <w:sz w:val="17"/>
              </w:rPr>
              <w:t>3.1.3, 3.1.9.2, 3.1.9.2.1, 3.2.2, 3.2.7, 3.3, 3.4.1, 3.5.1 (inkl. 3.5.1.6), 3.5.2 (inkl. 3.5.2.9), 3.5.5, 3.6.1–3.6.3, 3.6.6, 3.6.7, 3.6.9, 3.7.2.5</w:t>
            </w:r>
          </w:p>
        </w:tc>
      </w:tr>
      <w:tr>
        <w:tc>
          <w:tcPr>
            <w:tcW w:type="dxa" w:w="4762"/>
          </w:tcPr>
          <w:p>
            <w:pPr>
              <w:spacing w:after="0" w:line="252" w:lineRule="auto"/>
            </w:pPr>
            <w:r>
              <w:rPr>
                <w:sz w:val="17"/>
              </w:rPr>
              <w:t>MAN\01 Admin &amp; User\2.7\WAMAS.LS_2.7_man.user_V01.0_deDE.pdf</w:t>
            </w:r>
          </w:p>
        </w:tc>
        <w:tc>
          <w:tcPr>
            <w:tcW w:type="dxa" w:w="4762"/>
          </w:tcPr>
          <w:p>
            <w:pPr>
              <w:spacing w:after="0" w:line="252" w:lineRule="auto"/>
            </w:pPr>
            <w:r>
              <w:rPr>
                <w:sz w:val="17"/>
              </w:rPr>
              <w:t>2.4, 3.2.3, 3.4.1, 5.1.1, 5.3.1, 6.2.1.1, 6.2.2.1, 6.8.1.4</w:t>
            </w:r>
          </w:p>
        </w:tc>
      </w:tr>
      <w:tr>
        <w:tc>
          <w:tcPr>
            <w:tcW w:type="dxa" w:w="4762"/>
          </w:tcPr>
          <w:p>
            <w:pPr>
              <w:spacing w:after="0" w:line="252" w:lineRule="auto"/>
            </w:pPr>
            <w:r>
              <w:rPr>
                <w:sz w:val="17"/>
              </w:rPr>
              <w:t>MAN\01 Admin &amp; User\2.7\WAMAS.LS_2.7_man.interface.wls.erp_V01.0_enUS.pdf</w:t>
            </w:r>
          </w:p>
        </w:tc>
        <w:tc>
          <w:tcPr>
            <w:tcW w:type="dxa" w:w="4762"/>
          </w:tcPr>
          <w:p>
            <w:pPr>
              <w:spacing w:after="0" w:line="252" w:lineRule="auto"/>
            </w:pPr>
            <w:r>
              <w:rPr>
                <w:sz w:val="17"/>
              </w:rPr>
              <w:t>2.1.6, 3.1, 3.3, 4, 6.1, 7.1, 8.1, 9.1, 10.1, 11.1</w:t>
            </w:r>
          </w:p>
        </w:tc>
      </w:tr>
      <w:tr>
        <w:tc>
          <w:tcPr>
            <w:tcW w:type="dxa" w:w="4762"/>
          </w:tcPr>
          <w:p>
            <w:pPr>
              <w:spacing w:after="0" w:line="252" w:lineRule="auto"/>
            </w:pPr>
            <w:r>
              <w:rPr>
                <w:sz w:val="17"/>
              </w:rPr>
              <w:t>MAN\01 Admin &amp; User\2.8\WAMAS.LS_2.8_man.administrator_V01.0_enUS.pdf</w:t>
            </w:r>
          </w:p>
        </w:tc>
        <w:tc>
          <w:tcPr>
            <w:tcW w:type="dxa" w:w="4762"/>
          </w:tcPr>
          <w:p>
            <w:pPr>
              <w:spacing w:after="0" w:line="252" w:lineRule="auto"/>
            </w:pPr>
            <w:r>
              <w:rPr>
                <w:sz w:val="17"/>
              </w:rPr>
              <w:t>3.6.1, 3.6.2 (Abgleich)</w:t>
            </w:r>
          </w:p>
        </w:tc>
      </w:tr>
      <w:tr>
        <w:tc>
          <w:tcPr>
            <w:tcW w:type="dxa" w:w="4762"/>
          </w:tcPr>
          <w:p>
            <w:pPr>
              <w:spacing w:after="0" w:line="252" w:lineRule="auto"/>
            </w:pPr>
            <w:r>
              <w:rPr>
                <w:sz w:val="17"/>
              </w:rPr>
              <w:t>MAN\01 Admin &amp; User\2.8\WAMAS.LS_2.8_man.user_V01.0_enUS.pdf</w:t>
            </w:r>
          </w:p>
        </w:tc>
        <w:tc>
          <w:tcPr>
            <w:tcW w:type="dxa" w:w="4762"/>
          </w:tcPr>
          <w:p>
            <w:pPr>
              <w:spacing w:after="0" w:line="252" w:lineRule="auto"/>
            </w:pPr>
            <w:r>
              <w:rPr>
                <w:sz w:val="17"/>
              </w:rPr>
              <w:t>Picking demand / LM079 (Abgleich)</w:t>
            </w:r>
          </w:p>
        </w:tc>
      </w:tr>
      <w:tr>
        <w:tc>
          <w:tcPr>
            <w:tcW w:type="dxa" w:w="4762"/>
          </w:tcPr>
          <w:p>
            <w:pPr>
              <w:spacing w:after="0" w:line="252" w:lineRule="auto"/>
            </w:pPr>
            <w:r>
              <w:rPr>
                <w:sz w:val="17"/>
              </w:rPr>
              <w:t>MAN\01 Admin &amp; User\2.8\WAMAS.LS_2.8_man.interface.wls.erp_V01.0_enUS.pdf</w:t>
            </w:r>
          </w:p>
        </w:tc>
        <w:tc>
          <w:tcPr>
            <w:tcW w:type="dxa" w:w="4762"/>
          </w:tcPr>
          <w:p>
            <w:pPr>
              <w:spacing w:after="0" w:line="252" w:lineRule="auto"/>
            </w:pPr>
            <w:r>
              <w:rPr>
                <w:sz w:val="17"/>
              </w:rPr>
              <w:t>4.1, 6.1.1.3 (Abgleich)</w:t>
            </w:r>
          </w:p>
        </w:tc>
      </w:tr>
      <w:tr>
        <w:tc>
          <w:tcPr>
            <w:tcW w:type="dxa" w:w="4762"/>
          </w:tcPr>
          <w:p>
            <w:pPr>
              <w:spacing w:after="0" w:line="252" w:lineRule="auto"/>
            </w:pPr>
            <w:r>
              <w:rPr>
                <w:sz w:val="17"/>
              </w:rPr>
              <w:t>MAN\04 Install\telegram_examples_2_7 1\examples\…\CLIENT, PD\with PARTNER, SD\with PARTNER</w:t>
            </w:r>
          </w:p>
        </w:tc>
        <w:tc>
          <w:tcPr>
            <w:tcW w:type="dxa" w:w="4762"/>
          </w:tcPr>
          <w:p>
            <w:pPr>
              <w:spacing w:after="0" w:line="252" w:lineRule="auto"/>
            </w:pPr>
            <w:r>
              <w:rPr>
                <w:sz w:val="17"/>
              </w:rPr>
              <w:t>Telegrammbeispiele</w:t>
            </w:r>
          </w:p>
        </w:tc>
      </w:tr>
      <w:tr>
        <w:tc>
          <w:tcPr>
            <w:tcW w:type="dxa" w:w="4762"/>
          </w:tcPr>
          <w:p>
            <w:pPr>
              <w:spacing w:after="0" w:line="252" w:lineRule="auto"/>
            </w:pPr>
            <w:r>
              <w:rPr>
                <w:sz w:val="17"/>
              </w:rPr>
              <w:t>WAMAS LogiMat Consultant Training – Part 1, 12.01.2024 (lokale Kopie Schulung24_Config.pdf)</w:t>
            </w:r>
          </w:p>
        </w:tc>
        <w:tc>
          <w:tcPr>
            <w:tcW w:type="dxa" w:w="4762"/>
          </w:tcPr>
          <w:p>
            <w:pPr>
              <w:spacing w:after="0" w:line="252" w:lineRule="auto"/>
            </w:pPr>
            <w:r>
              <w:rPr>
                <w:sz w:val="17"/>
              </w:rPr>
              <w:t>Folien Clients, Systempartner</w:t>
            </w:r>
          </w:p>
        </w:tc>
      </w:tr>
      <w:tr>
        <w:tc>
          <w:tcPr>
            <w:tcW w:type="dxa" w:w="4762"/>
          </w:tcPr>
          <w:p>
            <w:pPr>
              <w:spacing w:after="0" w:line="252" w:lineRule="auto"/>
            </w:pPr>
            <w:r>
              <w:rPr>
                <w:sz w:val="17"/>
              </w:rPr>
              <w:t>MAN\03 Schulung\QG_INVENTUR_20231220.pdf</w:t>
            </w:r>
          </w:p>
        </w:tc>
        <w:tc>
          <w:tcPr>
            <w:tcW w:type="dxa" w:w="4762"/>
          </w:tcPr>
          <w:p>
            <w:pPr>
              <w:spacing w:after="0" w:line="252" w:lineRule="auto"/>
            </w:pPr>
            <w:r>
              <w:rPr>
                <w:sz w:val="17"/>
              </w:rPr>
              <w:t>XML-Beispiel mit Klient DEFAULT</w:t>
            </w:r>
          </w:p>
        </w:tc>
      </w:tr>
      <w:tr>
        <w:tc>
          <w:tcPr>
            <w:tcW w:type="dxa" w:w="4762"/>
          </w:tcPr>
          <w:p>
            <w:pPr>
              <w:spacing w:after="0" w:line="252" w:lineRule="auto"/>
            </w:pPr>
            <w:r>
              <w:rPr>
                <w:sz w:val="17"/>
              </w:rPr>
              <w:t>MAN\03 Schulung\WLM-Schulungsleitfaden_1-5.pdf</w:t>
            </w:r>
          </w:p>
        </w:tc>
        <w:tc>
          <w:tcPr>
            <w:tcW w:type="dxa" w:w="4762"/>
          </w:tcPr>
          <w:p>
            <w:pPr>
              <w:spacing w:after="0" w:line="252" w:lineRule="auto"/>
            </w:pPr>
            <w:r>
              <w:rPr>
                <w:sz w:val="17"/>
              </w:rPr>
              <w:t>Dialogliste (MD017, DI002, DI004)</w:t>
            </w:r>
          </w:p>
        </w:tc>
      </w:tr>
    </w:tbl>
    <w:p>
      <w:pPr>
        <w:pStyle w:val="BeschriftungSSI"/>
      </w:pPr>
      <w:r>
        <w:t>Tab. 15: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How-to-Handbuch V 1.1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Klienten, Lieferanten und Partner anlegen (inkl. Adressen)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Klienten, Lieferanten und Partner anlegen (inkl. Adressen)</dc:title>
  <dc:subject>Stammdaten MD017 / MD018, Systempartner-Bezug und ERP-Schnittstelle</dc:subject>
  <dc:creator>Marek,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