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Zielplätze – Aufbau, Ablauf, Anlegen, Generieren und Abbauen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Zielplätze, Zielplatzgruppen, Kommissionierwagen und Ziel-LE einrichten, betreiben und zurückbauen (Abgleich mit 2.8)</w:t>
            </w:r>
          </w:p>
          <w:p>
            <w:pPr>
              <w:spacing w:after="0"/>
            </w:pPr>
            <w:r>
              <w:rPr>
                <w:b w:val="0"/>
                <w:color w:val="555555"/>
                <w:sz w:val="18"/>
              </w:rPr>
              <w:t>Marek, SSI SCHÄFER</w:t>
            </w:r>
          </w:p>
        </w:tc>
      </w:tr>
    </w:tbl>
    <w:p>
      <w:pPr>
        <w:spacing w:before="8617"/>
      </w:pPr>
      <w:r>
        <w:rPr>
          <w:sz w:val="18"/>
        </w:rPr>
        <w:t>V 1.1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Abgrenzung zu den anderen How-tos</w:t>
        <w:tab/>
        <w:t>5</w:t>
      </w:r>
    </w:p>
    <w:p>
      <w:pPr>
        <w:pStyle w:val="TOC2"/>
        <w:tabs>
          <w:tab w:pos="9524" w:val="right" w:leader="dot"/>
        </w:tabs>
      </w:pPr>
      <w:r>
        <w:t>1.4 Dokumentinformationen</w:t>
        <w:tab/>
        <w:t>5</w:t>
      </w:r>
    </w:p>
    <w:p>
      <w:pPr>
        <w:pStyle w:val="TOC1"/>
        <w:tabs>
          <w:tab w:pos="9524" w:val="right" w:leader="dot"/>
        </w:tabs>
      </w:pPr>
      <w:r>
        <w:t>2 Was sind Zielplätze?</w:t>
        <w:tab/>
        <w:t>6</w:t>
      </w:r>
    </w:p>
    <w:p>
      <w:pPr>
        <w:pStyle w:val="TOC2"/>
        <w:tabs>
          <w:tab w:pos="9524" w:val="right" w:leader="dot"/>
        </w:tabs>
      </w:pPr>
      <w:r>
        <w:t>2.1 Definition</w:t>
        <w:tab/>
        <w:t>6</w:t>
      </w:r>
    </w:p>
    <w:p>
      <w:pPr>
        <w:pStyle w:val="TOC2"/>
        <w:tabs>
          <w:tab w:pos="9524" w:val="right" w:leader="dot"/>
        </w:tabs>
      </w:pPr>
      <w:r>
        <w:t>2.2 Objektmodell</w:t>
        <w:tab/>
        <w:t>6</w:t>
      </w:r>
    </w:p>
    <w:p>
      <w:pPr>
        <w:pStyle w:val="TOC2"/>
        <w:tabs>
          <w:tab w:pos="9524" w:val="right" w:leader="dot"/>
        </w:tabs>
      </w:pPr>
      <w:r>
        <w:t>2.3 Abgrenzung zu ähnlichen Platzarten</w:t>
        <w:tab/>
        <w:t>7</w:t>
      </w:r>
    </w:p>
    <w:p>
      <w:pPr>
        <w:pStyle w:val="TOC2"/>
        <w:tabs>
          <w:tab w:pos="9524" w:val="right" w:leader="dot"/>
        </w:tabs>
      </w:pPr>
      <w:r>
        <w:t>2.4 Dialogübersicht</w:t>
        <w:tab/>
        <w:t>7</w:t>
      </w:r>
    </w:p>
    <w:p>
      <w:pPr>
        <w:pStyle w:val="TOC1"/>
        <w:tabs>
          <w:tab w:pos="9524" w:val="right" w:leader="dot"/>
        </w:tabs>
      </w:pPr>
      <w:r>
        <w:t>3 Aufbau eines Zielplatzes</w:t>
        <w:tab/>
        <w:t>8</w:t>
      </w:r>
    </w:p>
    <w:p>
      <w:pPr>
        <w:pStyle w:val="TOC2"/>
        <w:tabs>
          <w:tab w:pos="9524" w:val="right" w:leader="dot"/>
        </w:tabs>
      </w:pPr>
      <w:r>
        <w:t>3.1 Zielplatzgruppe (LM065, LM064)</w:t>
        <w:tab/>
        <w:t>8</w:t>
      </w:r>
    </w:p>
    <w:p>
      <w:pPr>
        <w:pStyle w:val="TOC2"/>
        <w:tabs>
          <w:tab w:pos="9524" w:val="right" w:leader="dot"/>
        </w:tabs>
      </w:pPr>
      <w:r>
        <w:t>3.2 Zielplatz (LM088)</w:t>
        <w:tab/>
        <w:t>8</w:t>
      </w:r>
    </w:p>
    <w:p>
      <w:pPr>
        <w:pStyle w:val="TOC2"/>
        <w:tabs>
          <w:tab w:pos="9524" w:val="right" w:leader="dot"/>
        </w:tabs>
      </w:pPr>
      <w:r>
        <w:t>3.3 Zuordnung zu Zugriffsöffnungen</w:t>
        <w:tab/>
        <w:t>8</w:t>
      </w:r>
    </w:p>
    <w:p>
      <w:pPr>
        <w:pStyle w:val="TOC2"/>
        <w:tabs>
          <w:tab w:pos="9524" w:val="right" w:leader="dot"/>
        </w:tabs>
      </w:pPr>
      <w:r>
        <w:t>3.4 Kommissionierwagen als Zielplatzgruppe</w:t>
        <w:tab/>
        <w:t>9</w:t>
      </w:r>
    </w:p>
    <w:p>
      <w:pPr>
        <w:pStyle w:val="TOC2"/>
        <w:tabs>
          <w:tab w:pos="9524" w:val="right" w:leader="dot"/>
        </w:tabs>
      </w:pPr>
      <w:r>
        <w:t>3.5 Ziel-LE, externe LE und Kommissionier-Plan-LE</w:t>
        <w:tab/>
        <w:t>9</w:t>
      </w:r>
    </w:p>
    <w:p>
      <w:pPr>
        <w:pStyle w:val="TOC1"/>
        <w:tabs>
          <w:tab w:pos="9524" w:val="right" w:leader="dot"/>
        </w:tabs>
      </w:pPr>
      <w:r>
        <w:t>4 Ablauf am Arbeitsplatz</w:t>
        <w:tab/>
        <w:t>11</w:t>
      </w:r>
    </w:p>
    <w:p>
      <w:pPr>
        <w:pStyle w:val="TOC2"/>
        <w:tabs>
          <w:tab w:pos="9524" w:val="right" w:leader="dot"/>
        </w:tabs>
      </w:pPr>
      <w:r>
        <w:t>4.1 Gesamtablauf</w:t>
        <w:tab/>
        <w:t>11</w:t>
      </w:r>
    </w:p>
    <w:p>
      <w:pPr>
        <w:pStyle w:val="TOC2"/>
        <w:tabs>
          <w:tab w:pos="9524" w:val="right" w:leader="dot"/>
        </w:tabs>
      </w:pPr>
      <w:r>
        <w:t>4.2 Was der Kommissionierer am Touch-Client tut</w:t>
        <w:tab/>
        <w:t>12</w:t>
      </w:r>
    </w:p>
    <w:p>
      <w:pPr>
        <w:pStyle w:val="TOC2"/>
        <w:tabs>
          <w:tab w:pos="9524" w:val="right" w:leader="dot"/>
        </w:tabs>
      </w:pPr>
      <w:r>
        <w:t>4.3 Put to Light</w:t>
        <w:tab/>
        <w:t>12</w:t>
      </w:r>
    </w:p>
    <w:p>
      <w:pPr>
        <w:pStyle w:val="TOC2"/>
        <w:tabs>
          <w:tab w:pos="9524" w:val="right" w:leader="dot"/>
        </w:tabs>
      </w:pPr>
      <w:r>
        <w:t>4.4 Ablauf mit Kommissionierwagen</w:t>
        <w:tab/>
        <w:t>13</w:t>
      </w:r>
    </w:p>
    <w:p>
      <w:pPr>
        <w:pStyle w:val="TOC2"/>
        <w:tabs>
          <w:tab w:pos="9524" w:val="right" w:leader="dot"/>
        </w:tabs>
      </w:pPr>
      <w:r>
        <w:t>4.5 Abgrenzung Mobilterminal</w:t>
        <w:tab/>
        <w:t>13</w:t>
      </w:r>
    </w:p>
    <w:p>
      <w:pPr>
        <w:pStyle w:val="TOC1"/>
        <w:tabs>
          <w:tab w:pos="9524" w:val="right" w:leader="dot"/>
        </w:tabs>
      </w:pPr>
      <w:r>
        <w:t>5 Zielplätze manuell anlegen</w:t>
        <w:tab/>
        <w:t>14</w:t>
      </w:r>
    </w:p>
    <w:p>
      <w:pPr>
        <w:pStyle w:val="TOC2"/>
        <w:tabs>
          <w:tab w:pos="9524" w:val="right" w:leader="dot"/>
        </w:tabs>
      </w:pPr>
      <w:r>
        <w:t>5.1 Vorbereitung</w:t>
        <w:tab/>
        <w:t>14</w:t>
      </w:r>
    </w:p>
    <w:p>
      <w:pPr>
        <w:pStyle w:val="TOC2"/>
        <w:tabs>
          <w:tab w:pos="9524" w:val="right" w:leader="dot"/>
        </w:tabs>
      </w:pPr>
      <w:r>
        <w:t>5.2 Am Desktop (LM065 → LM064)</w:t>
        <w:tab/>
        <w:t>14</w:t>
      </w:r>
    </w:p>
    <w:p>
      <w:pPr>
        <w:pStyle w:val="TOC2"/>
        <w:tabs>
          <w:tab w:pos="9524" w:val="right" w:leader="dot"/>
        </w:tabs>
      </w:pPr>
      <w:r>
        <w:t>5.3 Am Touch-Client (LM044 → LM106)</w:t>
        <w:tab/>
        <w:t>14</w:t>
      </w:r>
    </w:p>
    <w:p>
      <w:pPr>
        <w:pStyle w:val="TOC2"/>
        <w:tabs>
          <w:tab w:pos="9524" w:val="right" w:leader="dot"/>
        </w:tabs>
      </w:pPr>
      <w:r>
        <w:t>5.4 Lagerplatzkennung und Reihenfolge am Touch-Client (LM107)</w:t>
        <w:tab/>
        <w:t>14</w:t>
      </w:r>
    </w:p>
    <w:p>
      <w:pPr>
        <w:pStyle w:val="TOC2"/>
        <w:tabs>
          <w:tab w:pos="9524" w:val="right" w:leader="dot"/>
        </w:tabs>
      </w:pPr>
      <w:r>
        <w:t>5.5 Kommissionierwagen anlegen</w:t>
        <w:tab/>
        <w:t>15</w:t>
      </w:r>
    </w:p>
    <w:p>
      <w:pPr>
        <w:pStyle w:val="TOC1"/>
        <w:tabs>
          <w:tab w:pos="9524" w:val="right" w:leader="dot"/>
        </w:tabs>
      </w:pPr>
      <w:r>
        <w:t>6 Zielplätze generieren (Massenanlage)</w:t>
        <w:tab/>
        <w:t>16</w:t>
      </w:r>
    </w:p>
    <w:p>
      <w:pPr>
        <w:pStyle w:val="TOC2"/>
        <w:tabs>
          <w:tab w:pos="9524" w:val="right" w:leader="dot"/>
        </w:tabs>
      </w:pPr>
      <w:r>
        <w:t>6.1 Der Generator ist der dokumentierte Weg</w:t>
        <w:tab/>
        <w:t>16</w:t>
      </w:r>
    </w:p>
    <w:p>
      <w:pPr>
        <w:pStyle w:val="TOC2"/>
        <w:tabs>
          <w:tab w:pos="9524" w:val="right" w:leader="dot"/>
        </w:tabs>
      </w:pPr>
      <w:r>
        <w:t>6.2 Planungshilfe für das Raster</w:t>
        <w:tab/>
        <w:t>16</w:t>
      </w:r>
    </w:p>
    <w:p>
      <w:pPr>
        <w:pStyle w:val="TOC1"/>
        <w:tabs>
          <w:tab w:pos="9524" w:val="right" w:leader="dot"/>
        </w:tabs>
      </w:pPr>
      <w:r>
        <w:t>7 Zielplätze ändern</w:t>
        <w:tab/>
        <w:t>17</w:t>
      </w:r>
    </w:p>
    <w:p>
      <w:pPr>
        <w:pStyle w:val="TOC2"/>
        <w:tabs>
          <w:tab w:pos="9524" w:val="right" w:leader="dot"/>
        </w:tabs>
      </w:pPr>
      <w:r>
        <w:t>7.1 Platzdaten pflegen (LM088)</w:t>
        <w:tab/>
        <w:t>17</w:t>
      </w:r>
    </w:p>
    <w:p>
      <w:pPr>
        <w:pStyle w:val="TOC2"/>
        <w:tabs>
          <w:tab w:pos="9524" w:val="right" w:leader="dot"/>
        </w:tabs>
      </w:pPr>
      <w:r>
        <w:t>7.2 Gruppe oder Zugriffsöffnung wechseln</w:t>
        <w:tab/>
        <w:t>17</w:t>
      </w:r>
    </w:p>
    <w:p>
      <w:pPr>
        <w:pStyle w:val="TOC2"/>
        <w:tabs>
          <w:tab w:pos="9524" w:val="right" w:leader="dot"/>
        </w:tabs>
      </w:pPr>
      <w:r>
        <w:t>7.3 LE auf einem Zielplatz buchen, entfernen, umbuchen</w:t>
        <w:tab/>
        <w:t>17</w:t>
      </w:r>
    </w:p>
    <w:p>
      <w:pPr>
        <w:pStyle w:val="TOC1"/>
        <w:tabs>
          <w:tab w:pos="9524" w:val="right" w:leader="dot"/>
        </w:tabs>
      </w:pPr>
      <w:r>
        <w:t>8 Zielplätze deaktivieren und abbauen</w:t>
        <w:tab/>
        <w:t>18</w:t>
      </w:r>
    </w:p>
    <w:p>
      <w:pPr>
        <w:pStyle w:val="TOC2"/>
        <w:tabs>
          <w:tab w:pos="9524" w:val="right" w:leader="dot"/>
        </w:tabs>
      </w:pPr>
      <w:r>
        <w:t>8.1 Was die Handbücher anbieten</w:t>
        <w:tab/>
        <w:t>18</w:t>
      </w:r>
    </w:p>
    <w:p>
      <w:pPr>
        <w:pStyle w:val="TOC2"/>
        <w:tabs>
          <w:tab w:pos="9524" w:val="right" w:leader="dot"/>
        </w:tabs>
      </w:pPr>
      <w:r>
        <w:t>8.2 Deaktivieren ohne Löschen</w:t>
        <w:tab/>
        <w:t>18</w:t>
      </w:r>
    </w:p>
    <w:p>
      <w:pPr>
        <w:pStyle w:val="TOC2"/>
        <w:tabs>
          <w:tab w:pos="9524" w:val="right" w:leader="dot"/>
        </w:tabs>
      </w:pPr>
      <w:r>
        <w:t>8.3 Checkliste vor dem Abbau</w:t>
        <w:tab/>
        <w:t>18</w:t>
      </w:r>
    </w:p>
    <w:p>
      <w:pPr>
        <w:pStyle w:val="TOC1"/>
        <w:tabs>
          <w:tab w:pos="9524" w:val="right" w:leader="dot"/>
        </w:tabs>
      </w:pPr>
      <w:r>
        <w:t>9 Parameter und Bedarfstyp-Einstellungen</w:t>
        <w:tab/>
        <w:t>20</w:t>
      </w:r>
    </w:p>
    <w:p>
      <w:pPr>
        <w:pStyle w:val="TOC2"/>
        <w:tabs>
          <w:tab w:pos="9524" w:val="right" w:leader="dot"/>
        </w:tabs>
      </w:pPr>
      <w:r>
        <w:t>9.1 Kommissionierbedarfstyp (MD017, Registerkarte „Kommissionierbedarfstyp“)</w:t>
        <w:tab/>
      </w:r>
    </w:p>
    <w:p>
      <w:pPr>
        <w:pStyle w:val="TOC2"/>
        <w:tabs>
          <w:tab w:pos="9524" w:val="right" w:leader="dot"/>
        </w:tabs>
      </w:pPr>
      <w:r>
        <w:t>9.2 Globale Systemparameter (FW028)</w:t>
        <w:tab/>
        <w:t>20</w:t>
      </w:r>
    </w:p>
    <w:p>
      <w:pPr>
        <w:pStyle w:val="TOC2"/>
        <w:tabs>
          <w:tab w:pos="9524" w:val="right" w:leader="dot"/>
        </w:tabs>
      </w:pPr>
      <w:r>
        <w:t>9.3 Quittierungseinstellungen (Systempartner)</w:t>
        <w:tab/>
        <w:t>21</w:t>
      </w:r>
    </w:p>
    <w:p>
      <w:pPr>
        <w:pStyle w:val="TOC1"/>
        <w:tabs>
          <w:tab w:pos="9524" w:val="right" w:leader="dot"/>
        </w:tabs>
      </w:pPr>
      <w:r>
        <w:t>10 „Ziel voll“, Konsolidierung und Übergabe an den Versand</w:t>
        <w:tab/>
        <w:t>22</w:t>
      </w:r>
    </w:p>
    <w:p>
      <w:pPr>
        <w:pStyle w:val="TOC2"/>
        <w:tabs>
          <w:tab w:pos="9524" w:val="right" w:leader="dot"/>
        </w:tabs>
      </w:pPr>
      <w:r>
        <w:t>10.1 „Ziel voll“</w:t>
        <w:tab/>
        <w:t>22</w:t>
      </w:r>
    </w:p>
    <w:p>
      <w:pPr>
        <w:pStyle w:val="TOC2"/>
        <w:tabs>
          <w:tab w:pos="9524" w:val="right" w:leader="dot"/>
        </w:tabs>
      </w:pPr>
      <w:r>
        <w:t>10.2 Konsolidierung</w:t>
        <w:tab/>
        <w:t>22</w:t>
      </w:r>
    </w:p>
    <w:p>
      <w:pPr>
        <w:pStyle w:val="TOC2"/>
        <w:tabs>
          <w:tab w:pos="9524" w:val="right" w:leader="dot"/>
        </w:tabs>
      </w:pPr>
      <w:r>
        <w:t>10.3 Übergabe an den Versand</w:t>
        <w:tab/>
        <w:t>23</w:t>
      </w:r>
    </w:p>
    <w:p>
      <w:pPr>
        <w:pStyle w:val="TOC1"/>
        <w:tabs>
          <w:tab w:pos="9524" w:val="right" w:leader="dot"/>
        </w:tabs>
      </w:pPr>
      <w:r>
        <w:t>11 Etiketten und Barcodes</w:t>
        <w:tab/>
        <w:t>24</w:t>
      </w:r>
    </w:p>
    <w:p>
      <w:pPr>
        <w:pStyle w:val="TOC1"/>
        <w:tabs>
          <w:tab w:pos="9524" w:val="right" w:leader="dot"/>
        </w:tabs>
      </w:pPr>
      <w:r>
        <w:t>12 Abgleich mit Version 2.8</w:t>
        <w:tab/>
        <w:t>25</w:t>
      </w:r>
    </w:p>
    <w:p>
      <w:pPr>
        <w:pStyle w:val="TOC1"/>
        <w:tabs>
          <w:tab w:pos="9524" w:val="right" w:leader="dot"/>
        </w:tabs>
      </w:pPr>
      <w:r>
        <w:t>13 Stolperfallen</w:t>
        <w:tab/>
        <w:t>26</w:t>
      </w:r>
    </w:p>
    <w:p>
      <w:pPr>
        <w:pStyle w:val="TOC1"/>
        <w:tabs>
          <w:tab w:pos="9524" w:val="right" w:leader="dot"/>
        </w:tabs>
      </w:pPr>
      <w:r>
        <w:t>14 Praxisbeispiele</w:t>
        <w:tab/>
        <w:t>27</w:t>
      </w:r>
    </w:p>
    <w:p>
      <w:pPr>
        <w:pStyle w:val="TOC2"/>
        <w:tabs>
          <w:tab w:pos="9524" w:val="right" w:leader="dot"/>
        </w:tabs>
      </w:pPr>
      <w:r>
        <w:t>14.1 Put-to-Light-Regal mit 8 Plätzen in Betrieb nehmen</w:t>
        <w:tab/>
        <w:t>27</w:t>
      </w:r>
    </w:p>
    <w:p>
      <w:pPr>
        <w:pStyle w:val="TOC2"/>
        <w:tabs>
          <w:tab w:pos="9524" w:val="right" w:leader="dot"/>
        </w:tabs>
      </w:pPr>
      <w:r>
        <w:t>14.2 Zielplatzgruppe umbauen (Regal wird erweitert)</w:t>
        <w:tab/>
        <w:t>27</w:t>
      </w:r>
    </w:p>
    <w:p>
      <w:pPr>
        <w:pStyle w:val="TOC1"/>
        <w:tabs>
          <w:tab w:pos="9524" w:val="right" w:leader="dot"/>
        </w:tabs>
      </w:pPr>
      <w:r>
        <w:t>15 Screenshot-Liste für das Live-System</w:t>
        <w:tab/>
        <w:t>28</w:t>
      </w:r>
    </w:p>
    <w:p>
      <w:pPr>
        <w:pStyle w:val="TOC1"/>
        <w:tabs>
          <w:tab w:pos="9524" w:val="right" w:leader="dot"/>
        </w:tabs>
      </w:pPr>
      <w:r>
        <w:t>16 Dokumentationslücken und offene Fragen</w:t>
        <w:tab/>
        <w:t>29</w:t>
      </w:r>
    </w:p>
    <w:p>
      <w:pPr>
        <w:pStyle w:val="TOC1"/>
        <w:tabs>
          <w:tab w:pos="9524" w:val="right" w:leader="dot"/>
        </w:tabs>
      </w:pPr>
      <w:r>
        <w:t>17 Quellenverzeichnis</w:t>
        <w:tab/>
        <w:t>30</w:t>
      </w:r>
      <w:r>
        <w:fldChar w:fldCharType="end"/>
      </w:r>
    </w:p>
    <w:p>
      <w:pPr>
        <w:pStyle w:val="Heading1"/>
      </w:pPr>
      <w:r>
        <w:t>1 Über dieses Dokument</w:t>
      </w:r>
    </w:p>
    <w:p>
      <w:pPr>
        <w:pStyle w:val="Heading2"/>
      </w:pPr>
      <w:r>
        <w:t>1.1 Zweck</w:t>
      </w:r>
    </w:p>
    <w:p>
      <w:r>
        <w:t xml:space="preserve">Dieses How-to beschreibt den kompletten Lebenszyklus von </w:t>
      </w:r>
      <w:r>
        <w:rPr>
          <w:b/>
        </w:rPr>
        <w:t>Zielplätzen</w:t>
      </w:r>
      <w:r>
        <w:t xml:space="preserve"> in </w:t>
      </w:r>
      <w:r>
        <w:rPr>
          <w:b/>
        </w:rPr>
        <w:t>WAMAS Lift &amp; Store 2.7</w:t>
      </w:r>
      <w:r>
        <w:t>: was ein Zielplatz ist und wie er aufgebaut ist, wie er im Kommissionierablauf am Arbeitsplatz verwendet wird, wie Zielplätze angelegt, generiert, geändert und wieder abgebaut werden und welche Einstellungen, Etiketten und Quittierungen dazugehören. Jeder Schritt ist mit Dialog, Feld und Quelle belegt; wo die Handbücher schweigen, steht ein grauer Lückenkasten.</w:t>
      </w:r>
    </w:p>
    <w:p>
      <w:pPr>
        <w:pStyle w:val="Heading2"/>
      </w:pPr>
      <w:r>
        <w:t>1.2 Lesehinweise</w:t>
      </w:r>
    </w:p>
    <w:p>
      <w:pPr>
        <w:pStyle w:val="ListBullet"/>
      </w:pPr>
      <w:r>
        <w:t>Kapitel 2–3 erklären Begriffe und Struktur, Kapitel 4 den Ablauf am Arbeitsplatz. Kapitel 5–8 sind die Schritt-für-Schritt-Anleitungen (Anlegen, Generieren, Ändern, Abbauen). Kapitel 9–11 sammeln Einstellungen, „Ziel voll“/Versand und Etiketten.</w:t>
      </w:r>
    </w:p>
    <w:p>
      <w:pPr>
        <w:pStyle w:val="ListBullet"/>
      </w:pPr>
      <w:r>
        <w:t xml:space="preserve">Dialog-, Registerkarten-, Feld- und Buttonnamen sind </w:t>
      </w:r>
      <w:r>
        <w:rPr>
          <w:b/>
        </w:rPr>
        <w:t>fett</w:t>
      </w:r>
      <w:r>
        <w:t xml:space="preserve"> wie im deutschen Handbuch; Systemparameter und Schnittstellenfelder stehen in </w:t>
      </w:r>
      <w:r>
        <w:rPr>
          <w:rFonts w:ascii="Consolas" w:hAnsi="Consolas" w:cs="Consolas" w:eastAsia="Consolas"/>
          <w:sz w:val="18"/>
        </w:rPr>
        <w:t>Monospace</w:t>
      </w:r>
      <w:r>
        <w:t>.</w:t>
      </w:r>
    </w:p>
    <w:p>
      <w:pPr>
        <w:pStyle w:val="ListBullet"/>
      </w:pPr>
      <w:r>
        <w:t xml:space="preserve">Gestrichelte graue Kästen </w:t>
      </w:r>
      <w:r>
        <w:rPr>
          <w:b/>
        </w:rPr>
        <w:t>[Screenshot: …]</w:t>
      </w:r>
      <w:r>
        <w:t xml:space="preserve"> markieren Stellen, an denen ein Bildschirmfoto aus dem Live-System die Anleitung ergänzen soll. Die vollständige Liste steht in Kapitel 15.</w:t>
      </w:r>
    </w:p>
    <w:p>
      <w:pPr>
        <w:pStyle w:val="ListBullet"/>
      </w:pPr>
      <w:r>
        <w:t xml:space="preserve">Beispiele sind konstruiert und als </w:t>
      </w:r>
      <w:r>
        <w:rPr>
          <w:b/>
        </w:rPr>
        <w:t>Beispiel (konstruiert, bitte prüfen)</w:t>
      </w:r>
      <w:r>
        <w:t xml:space="preserve"> gekennzeichnet. Empfehlungen, die sich aus der Logik der Handbuchtexte ergeben, aber keine Herstellervorgabe sind, heißen </w:t>
      </w:r>
      <w:r>
        <w:rPr>
          <w:b/>
        </w:rPr>
        <w:t>Empfehlung</w:t>
      </w:r>
      <w:r>
        <w:t>.</w:t>
      </w:r>
    </w:p>
    <w:p>
      <w:pPr>
        <w:pStyle w:val="Heading2"/>
      </w:pPr>
      <w:r>
        <w:t>1.3 Abgrenzung zu den anderen How-tos</w:t>
      </w:r>
    </w:p>
    <w:p>
      <w:pPr>
        <w:pStyle w:val="ListBullet"/>
      </w:pPr>
      <w:r>
        <w:rPr>
          <w:b/>
        </w:rPr>
        <w:t>„Ladeeinheiten, Kubaturen, Zuordnungen und Zielplätze“ v1.0:</w:t>
      </w:r>
      <w:r>
        <w:t xml:space="preserve"> ordnet den Zielplatz in das Gesamtbild LE/Kubatur/Zuordnung ein (Kap. 6). Dieses Dokument vertieft den Zielplatz.</w:t>
      </w:r>
    </w:p>
    <w:p>
      <w:pPr>
        <w:pStyle w:val="ListBullet"/>
      </w:pPr>
      <w:r>
        <w:rPr>
          <w:b/>
        </w:rPr>
        <w:t>„Externe Lagerprozesse“ v1.0:</w:t>
      </w:r>
      <w:r>
        <w:t xml:space="preserve"> behandelt externe Lagerplätze (Bestandsplätze, Mobilterminal). Zielplätze sind dort in Kap. 7 kurz beschrieben.</w:t>
      </w:r>
    </w:p>
    <w:p>
      <w:pPr>
        <w:pStyle w:val="ListBullet"/>
      </w:pPr>
      <w:r>
        <w:rPr>
          <w:b/>
        </w:rPr>
        <w:t>„Dokumente drucken“ v1.0:</w:t>
      </w:r>
      <w:r>
        <w:t xml:space="preserve"> Drucker, Dokumenttypen und Etikettenlayouts. Hier nur der Bezug zu Zielplatz- und LE-Etiketten.</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Zielplätze – Aufbau, Ablauf, Anlegen, Generieren und Abbauen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1.1</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WAMAS-Berater, Projektingenieure,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 und Benutzerhandbuch 2.7 (deDE), Installation Guide 2.7 V1.1, Interface Manual WLS–ERP 2.7/2.8, Telegrammbeispiele 2.7.0, Administrator und User Manual 2.8 (enUS), Benutzerhandbuch R2.4, Consultant Training 2024</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15.10.2026</w:t>
            </w:r>
          </w:p>
        </w:tc>
        <w:tc>
          <w:tcPr>
            <w:tcW w:type="dxa" w:w="7422"/>
          </w:tcPr>
          <w:p>
            <w:pPr>
              <w:spacing w:after="0" w:line="252" w:lineRule="auto"/>
            </w:pPr>
            <w:r>
              <w:rPr>
                <w:sz w:val="17"/>
              </w:rPr>
              <w:t>Erstausgabe auf Basis der Handbücher 2.7, abgeglichen mit 2.8, R2.4 und den Telegrammbeispielen 2.7.0</w:t>
            </w:r>
          </w:p>
        </w:tc>
      </w:tr>
      <w:tr>
        <w:tc>
          <w:tcPr>
            <w:tcW w:type="dxa" w:w="866"/>
          </w:tcPr>
          <w:p>
            <w:pPr>
              <w:spacing w:after="0" w:line="252" w:lineRule="auto"/>
            </w:pPr>
            <w:r>
              <w:rPr>
                <w:sz w:val="17"/>
              </w:rPr>
              <w:t>1.1</w:t>
            </w:r>
          </w:p>
        </w:tc>
        <w:tc>
          <w:tcPr>
            <w:tcW w:type="dxa" w:w="1237"/>
          </w:tcPr>
          <w:p>
            <w:pPr>
              <w:spacing w:after="0" w:line="252" w:lineRule="auto"/>
            </w:pPr>
            <w:r>
              <w:rPr>
                <w:sz w:val="17"/>
              </w:rPr>
              <w:t>15.10.2026</w:t>
            </w:r>
          </w:p>
        </w:tc>
        <w:tc>
          <w:tcPr>
            <w:tcW w:type="dxa" w:w="7422"/>
          </w:tcPr>
          <w:p>
            <w:pPr>
              <w:spacing w:after="0" w:line="252" w:lineRule="auto"/>
            </w:pPr>
            <w:r>
              <w:rPr>
                <w:sz w:val="17"/>
              </w:rPr>
              <w:t>LM069 korrigiert (Etikettendruck nur WH004/LM044)</w:t>
            </w:r>
          </w:p>
        </w:tc>
      </w:tr>
    </w:tbl>
    <w:p>
      <w:pPr>
        <w:pStyle w:val="BeschriftungSSI"/>
      </w:pPr>
      <w:r>
        <w:t>Tab. 1: Änderungshistorie</w:t>
      </w:r>
    </w:p>
    <w:p>
      <w:pPr>
        <w:pStyle w:val="Heading1"/>
      </w:pPr>
      <w:r>
        <w:t>2 Was sind Zielplätze?</w:t>
      </w:r>
    </w:p>
    <w:p>
      <w:pPr>
        <w:pStyle w:val="Heading2"/>
      </w:pPr>
      <w:r>
        <w:t>2.1 Definition</w:t>
      </w:r>
    </w:p>
    <w:p>
      <w:r>
        <w:t xml:space="preserve">Laut Administratorhandbuch bezeichnen </w:t>
      </w:r>
      <w:r>
        <w:rPr>
          <w:b/>
        </w:rPr>
        <w:t>Zielplätze</w:t>
      </w:r>
      <w:r>
        <w:t xml:space="preserve"> Lagerplätze </w:t>
      </w:r>
      <w:r>
        <w:rPr>
          <w:b/>
        </w:rPr>
        <w:t>außerhalb</w:t>
      </w:r>
      <w:r>
        <w:t xml:space="preserve"> eines SSI LOGIMAT, z. B. Lagerplätze auf einem Fachboden oder eine größere Gruppierung von Lagerplätzen; sie werden z. B. bei </w:t>
      </w:r>
      <w:r>
        <w:rPr>
          <w:b/>
        </w:rPr>
        <w:t>Put to Light</w:t>
      </w:r>
      <w:r>
        <w:t xml:space="preserve"> verwendet. Das Benutzerhandbuch ergänzt: Zielplätze sind </w:t>
      </w:r>
      <w:r>
        <w:rPr>
          <w:b/>
        </w:rPr>
        <w:t>LE-orientiert</w:t>
      </w:r>
      <w:r>
        <w:t xml:space="preserve"> und dienen der Einlagerung von </w:t>
      </w:r>
      <w:r>
        <w:rPr>
          <w:b/>
        </w:rPr>
        <w:t>kommissionierten Ladeeinheiten</w:t>
      </w:r>
      <w:r>
        <w:t xml:space="preserve">. Zusätzlich können </w:t>
      </w:r>
      <w:r>
        <w:rPr>
          <w:b/>
        </w:rPr>
        <w:t>Zielplatzgruppen</w:t>
      </w:r>
      <w:r>
        <w:t xml:space="preserve"> angelegt und einer </w:t>
      </w:r>
      <w:r>
        <w:rPr>
          <w:b/>
        </w:rPr>
        <w:t>Zugriffsöffnung</w:t>
      </w:r>
      <w:r>
        <w:t xml:space="preserve"> zugeordnet werden. In einfachen Worten: Ein Zielplatz ist das Fach im Regal neben der Zugriffsöffnung (oder auf dem Kommissionierwagen), in dem die Versandkiste eines Auftrags steht, während in sie kommissioniert wird.</w:t>
      </w:r>
    </w:p>
    <w:p>
      <w:pPr>
        <w:pStyle w:val="Quelle"/>
      </w:pPr>
      <w:r>
        <w:rPr>
          <w:b/>
        </w:rPr>
        <w:t xml:space="preserve">Quelle: </w:t>
      </w:r>
      <w:r>
        <w:rPr>
          <w:sz w:val="17"/>
        </w:rPr>
        <w:t>AH 2.7, Kap. 3.1.11; BH 2.7, Kap. 5.4; BH R2.4, Kap. 4.3</w:t>
      </w:r>
    </w:p>
    <w:p>
      <w:pPr>
        <w:pStyle w:val="Heading2"/>
      </w:pPr>
      <w:r>
        <w:t>2.2 Objektmodell</w:t>
      </w:r>
    </w:p>
    <w:p>
      <w:pPr>
        <w:keepNext/>
      </w:pPr>
      <w:r>
        <w:drawing>
          <wp:inline xmlns:a="http://schemas.openxmlformats.org/drawingml/2006/main" xmlns:pic="http://schemas.openxmlformats.org/drawingml/2006/picture">
            <wp:extent cx="5760000" cy="3108379"/>
            <wp:docPr id="104" name="Picture 104"/>
            <wp:cNvGraphicFramePr>
              <a:graphicFrameLocks noChangeAspect="1"/>
            </wp:cNvGraphicFramePr>
            <a:graphic>
              <a:graphicData uri="http://schemas.openxmlformats.org/drawingml/2006/picture">
                <pic:pic>
                  <pic:nvPicPr>
                    <pic:cNvPr id="0" name="abb_objektmodell.png"/>
                    <pic:cNvPicPr/>
                  </pic:nvPicPr>
                  <pic:blipFill>
                    <a:blip r:embed="rId14"/>
                    <a:stretch>
                      <a:fillRect/>
                    </a:stretch>
                  </pic:blipFill>
                  <pic:spPr>
                    <a:xfrm>
                      <a:off x="0" y="0"/>
                      <a:ext cx="5760000" cy="3108379"/>
                    </a:xfrm>
                    <a:prstGeom prst="rect"/>
                  </pic:spPr>
                </pic:pic>
              </a:graphicData>
            </a:graphic>
          </wp:inline>
        </w:drawing>
      </w:r>
    </w:p>
    <w:p>
      <w:pPr>
        <w:pStyle w:val="BeschriftungSSI"/>
      </w:pPr>
      <w:r>
        <w:t>Abb. 1: Objektmodell Zielplatz – Gruppe, Platz, Zugriffsöffnung, Ziel-LE und steuernde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05"/>
        <w:gridCol w:w="3640"/>
        <w:gridCol w:w="3579"/>
      </w:tblGrid>
      <w:tr>
        <w:trPr>
          <w:tblHeader w:val="true"/>
        </w:trPr>
        <w:tc>
          <w:tcPr>
            <w:tcW w:type="dxa" w:w="2305"/>
            <w:shd w:val="clear" w:color="auto" w:fill="FEEE19"/>
          </w:tcPr>
          <w:p>
            <w:pPr>
              <w:spacing w:after="0"/>
            </w:pPr>
            <w:r>
              <w:rPr>
                <w:b/>
                <w:sz w:val="17"/>
              </w:rPr>
              <w:t>Objekt</w:t>
            </w:r>
          </w:p>
        </w:tc>
        <w:tc>
          <w:tcPr>
            <w:tcW w:type="dxa" w:w="3640"/>
            <w:shd w:val="clear" w:color="auto" w:fill="FEEE19"/>
          </w:tcPr>
          <w:p>
            <w:pPr>
              <w:spacing w:after="0"/>
            </w:pPr>
            <w:r>
              <w:rPr>
                <w:b/>
                <w:sz w:val="17"/>
              </w:rPr>
              <w:t>Was es ist</w:t>
            </w:r>
          </w:p>
        </w:tc>
        <w:tc>
          <w:tcPr>
            <w:tcW w:type="dxa" w:w="3579"/>
            <w:shd w:val="clear" w:color="auto" w:fill="FEEE19"/>
          </w:tcPr>
          <w:p>
            <w:pPr>
              <w:spacing w:after="0"/>
            </w:pPr>
            <w:r>
              <w:rPr>
                <w:b/>
                <w:sz w:val="17"/>
              </w:rPr>
              <w:t>Pflege</w:t>
            </w:r>
          </w:p>
        </w:tc>
      </w:tr>
      <w:tr>
        <w:tc>
          <w:tcPr>
            <w:tcW w:type="dxa" w:w="2305"/>
          </w:tcPr>
          <w:p>
            <w:pPr>
              <w:spacing w:after="0" w:line="252" w:lineRule="auto"/>
            </w:pPr>
            <w:r>
              <w:rPr>
                <w:b/>
                <w:sz w:val="17"/>
              </w:rPr>
              <w:t>Zielplatzgruppe</w:t>
            </w:r>
          </w:p>
        </w:tc>
        <w:tc>
          <w:tcPr>
            <w:tcW w:type="dxa" w:w="3640"/>
          </w:tcPr>
          <w:p>
            <w:pPr>
              <w:spacing w:after="0" w:line="252" w:lineRule="auto"/>
            </w:pPr>
            <w:r>
              <w:rPr>
                <w:sz w:val="17"/>
              </w:rPr>
              <w:t xml:space="preserve">Gruppe von Zielplätzen einer </w:t>
            </w:r>
            <w:r>
              <w:rPr>
                <w:b/>
                <w:sz w:val="17"/>
              </w:rPr>
              <w:t>WAMAS Lift &amp; Store-Zone</w:t>
            </w:r>
            <w:r>
              <w:rPr>
                <w:sz w:val="17"/>
              </w:rPr>
              <w:t xml:space="preserve"> an einem Lagerstandort; entsteht beim Generieren (Spalten × Reihen)</w:t>
            </w:r>
          </w:p>
        </w:tc>
        <w:tc>
          <w:tcPr>
            <w:tcW w:type="dxa" w:w="3579"/>
          </w:tcPr>
          <w:p>
            <w:pPr>
              <w:spacing w:after="0" w:line="252" w:lineRule="auto"/>
            </w:pPr>
            <w:r>
              <w:rPr>
                <w:sz w:val="17"/>
              </w:rPr>
              <w:t>Desktop LM065/LM064, Touch LM106</w:t>
            </w:r>
          </w:p>
        </w:tc>
      </w:tr>
      <w:tr>
        <w:tc>
          <w:tcPr>
            <w:tcW w:type="dxa" w:w="2305"/>
          </w:tcPr>
          <w:p>
            <w:pPr>
              <w:spacing w:after="0" w:line="252" w:lineRule="auto"/>
            </w:pPr>
            <w:r>
              <w:rPr>
                <w:b/>
                <w:sz w:val="17"/>
              </w:rPr>
              <w:t>Zielplatz</w:t>
            </w:r>
          </w:p>
        </w:tc>
        <w:tc>
          <w:tcPr>
            <w:tcW w:type="dxa" w:w="3640"/>
          </w:tcPr>
          <w:p>
            <w:pPr>
              <w:spacing w:after="0" w:line="252" w:lineRule="auto"/>
            </w:pPr>
            <w:r>
              <w:rPr>
                <w:sz w:val="17"/>
              </w:rPr>
              <w:t>Einzelner Lagerplatz der Gruppe mit Reihenfolge, Kennung, Kapazität und Abmessung</w:t>
            </w:r>
          </w:p>
        </w:tc>
        <w:tc>
          <w:tcPr>
            <w:tcW w:type="dxa" w:w="3579"/>
          </w:tcPr>
          <w:p>
            <w:pPr>
              <w:spacing w:after="0" w:line="252" w:lineRule="auto"/>
            </w:pPr>
            <w:r>
              <w:rPr>
                <w:sz w:val="17"/>
              </w:rPr>
              <w:t>Desktop LM088, Touch LM044</w:t>
            </w:r>
          </w:p>
        </w:tc>
      </w:tr>
      <w:tr>
        <w:tc>
          <w:tcPr>
            <w:tcW w:type="dxa" w:w="2305"/>
          </w:tcPr>
          <w:p>
            <w:pPr>
              <w:spacing w:after="0" w:line="252" w:lineRule="auto"/>
            </w:pPr>
            <w:r>
              <w:rPr>
                <w:b/>
                <w:sz w:val="17"/>
              </w:rPr>
              <w:t>Zuordnung Gruppe → Zugriffsöffnung</w:t>
            </w:r>
          </w:p>
        </w:tc>
        <w:tc>
          <w:tcPr>
            <w:tcW w:type="dxa" w:w="3640"/>
          </w:tcPr>
          <w:p>
            <w:pPr>
              <w:spacing w:after="0" w:line="252" w:lineRule="auto"/>
            </w:pPr>
            <w:r>
              <w:rPr>
                <w:sz w:val="17"/>
              </w:rPr>
              <w:t>Legt fest, an welcher Zugriffsöffnung die Gruppe genutzt wird; mindestens eine Öffnung je Zuordnung</w:t>
            </w:r>
          </w:p>
        </w:tc>
        <w:tc>
          <w:tcPr>
            <w:tcW w:type="dxa" w:w="3579"/>
          </w:tcPr>
          <w:p>
            <w:pPr>
              <w:spacing w:after="0" w:line="252" w:lineRule="auto"/>
            </w:pPr>
            <w:r>
              <w:rPr>
                <w:sz w:val="17"/>
              </w:rPr>
              <w:t>LM065 → FW005; Touch: automatisch aktive Öffnung bzw. LM046</w:t>
            </w:r>
          </w:p>
        </w:tc>
      </w:tr>
      <w:tr>
        <w:tc>
          <w:tcPr>
            <w:tcW w:type="dxa" w:w="2305"/>
          </w:tcPr>
          <w:p>
            <w:pPr>
              <w:spacing w:after="0" w:line="252" w:lineRule="auto"/>
            </w:pPr>
            <w:r>
              <w:rPr>
                <w:b/>
                <w:sz w:val="17"/>
              </w:rPr>
              <w:t>Kommissionierwagen</w:t>
            </w:r>
          </w:p>
        </w:tc>
        <w:tc>
          <w:tcPr>
            <w:tcW w:type="dxa" w:w="3640"/>
          </w:tcPr>
          <w:p>
            <w:pPr>
              <w:spacing w:after="0" w:line="252" w:lineRule="auto"/>
            </w:pPr>
            <w:r>
              <w:rPr>
                <w:sz w:val="17"/>
              </w:rPr>
              <w:t xml:space="preserve">Fahrzeug mit fixer Anzahl Ladehilfsmittel; wird </w:t>
            </w:r>
            <w:r>
              <w:rPr>
                <w:b/>
                <w:sz w:val="17"/>
              </w:rPr>
              <w:t>als Zielplatzgruppe</w:t>
            </w:r>
            <w:r>
              <w:rPr>
                <w:sz w:val="17"/>
              </w:rPr>
              <w:t xml:space="preserve"> gepflegt, mit </w:t>
            </w:r>
            <w:r>
              <w:rPr>
                <w:b/>
                <w:sz w:val="17"/>
              </w:rPr>
              <w:t>Lagerfachträgertyp</w:t>
            </w:r>
          </w:p>
        </w:tc>
        <w:tc>
          <w:tcPr>
            <w:tcW w:type="dxa" w:w="3579"/>
          </w:tcPr>
          <w:p>
            <w:pPr>
              <w:spacing w:after="0" w:line="252" w:lineRule="auto"/>
            </w:pPr>
            <w:r>
              <w:rPr>
                <w:sz w:val="17"/>
              </w:rPr>
              <w:t>Desktop LM065 → LM152, Touch LM040 → LM153</w:t>
            </w:r>
          </w:p>
        </w:tc>
      </w:tr>
      <w:tr>
        <w:tc>
          <w:tcPr>
            <w:tcW w:type="dxa" w:w="2305"/>
          </w:tcPr>
          <w:p>
            <w:pPr>
              <w:spacing w:after="0" w:line="252" w:lineRule="auto"/>
            </w:pPr>
            <w:r>
              <w:rPr>
                <w:b/>
                <w:sz w:val="17"/>
              </w:rPr>
              <w:t>Ziel-LE / externe LE</w:t>
            </w:r>
          </w:p>
        </w:tc>
        <w:tc>
          <w:tcPr>
            <w:tcW w:type="dxa" w:w="3640"/>
          </w:tcPr>
          <w:p>
            <w:pPr>
              <w:spacing w:after="0" w:line="252" w:lineRule="auto"/>
            </w:pPr>
            <w:r>
              <w:rPr>
                <w:sz w:val="17"/>
              </w:rPr>
              <w:t>Versand-LE oder avisierte LE, die automatisch angelegt wird, sobald ein Kommissionierbedarf geplant wird</w:t>
            </w:r>
          </w:p>
        </w:tc>
        <w:tc>
          <w:tcPr>
            <w:tcW w:type="dxa" w:w="3579"/>
          </w:tcPr>
          <w:p>
            <w:pPr>
              <w:spacing w:after="0" w:line="252" w:lineRule="auto"/>
            </w:pPr>
            <w:r>
              <w:rPr>
                <w:sz w:val="17"/>
              </w:rPr>
              <w:t>Touch LM045, 2.8 zusätzlich LM108/LM165</w:t>
            </w:r>
          </w:p>
        </w:tc>
      </w:tr>
      <w:tr>
        <w:tc>
          <w:tcPr>
            <w:tcW w:type="dxa" w:w="2305"/>
          </w:tcPr>
          <w:p>
            <w:pPr>
              <w:spacing w:after="0" w:line="252" w:lineRule="auto"/>
            </w:pPr>
            <w:r>
              <w:rPr>
                <w:b/>
                <w:sz w:val="17"/>
              </w:rPr>
              <w:t>Kommissionier-Plan-LE</w:t>
            </w:r>
          </w:p>
        </w:tc>
        <w:tc>
          <w:tcPr>
            <w:tcW w:type="dxa" w:w="3640"/>
          </w:tcPr>
          <w:p>
            <w:pPr>
              <w:spacing w:after="0" w:line="252" w:lineRule="auto"/>
            </w:pPr>
            <w:r>
              <w:rPr>
                <w:sz w:val="17"/>
              </w:rPr>
              <w:t>Geplante LE eines Kommissionierbedarfs</w:t>
            </w:r>
          </w:p>
        </w:tc>
        <w:tc>
          <w:tcPr>
            <w:tcW w:type="dxa" w:w="3579"/>
          </w:tcPr>
          <w:p>
            <w:pPr>
              <w:spacing w:after="0" w:line="252" w:lineRule="auto"/>
            </w:pPr>
            <w:r>
              <w:rPr>
                <w:sz w:val="17"/>
              </w:rPr>
              <w:t>LM074</w:t>
            </w:r>
          </w:p>
        </w:tc>
      </w:tr>
    </w:tbl>
    <w:p>
      <w:pPr>
        <w:pStyle w:val="BeschriftungSSI"/>
      </w:pPr>
      <w:r>
        <w:t>Tab. 2: Bausteine</w:t>
      </w:r>
    </w:p>
    <w:p>
      <w:pPr>
        <w:pStyle w:val="Quelle"/>
      </w:pPr>
      <w:r>
        <w:rPr>
          <w:b/>
        </w:rPr>
        <w:t xml:space="preserve">Quelle: </w:t>
      </w:r>
      <w:r>
        <w:rPr>
          <w:sz w:val="17"/>
        </w:rPr>
        <w:t>AH 2.7, Kap. 3.1.11–3.1.12, 3.1.17; BH 2.7, Kap. 5.4–5.5, 6.2.2.1.2, 6.7.1; BH 2.8, Kap. 6.2.5.3</w:t>
      </w:r>
    </w:p>
    <w:p>
      <w:pPr>
        <w:pStyle w:val="Heading2"/>
      </w:pPr>
      <w:r>
        <w:t>2.3 Abgrenzung zu ähnlichen Platzarten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Platzart</w:t>
            </w:r>
          </w:p>
        </w:tc>
        <w:tc>
          <w:tcPr>
            <w:tcW w:type="dxa" w:w="3175"/>
            <w:shd w:val="clear" w:color="auto" w:fill="FEEE19"/>
          </w:tcPr>
          <w:p>
            <w:pPr>
              <w:spacing w:after="0"/>
            </w:pPr>
            <w:r>
              <w:rPr>
                <w:b/>
                <w:sz w:val="17"/>
              </w:rPr>
              <w:t>Zweck laut Handbuch</w:t>
            </w:r>
          </w:p>
        </w:tc>
        <w:tc>
          <w:tcPr>
            <w:tcW w:type="dxa" w:w="3175"/>
            <w:shd w:val="clear" w:color="auto" w:fill="FEEE19"/>
          </w:tcPr>
          <w:p>
            <w:pPr>
              <w:spacing w:after="0"/>
            </w:pPr>
            <w:r>
              <w:rPr>
                <w:b/>
                <w:sz w:val="17"/>
              </w:rPr>
              <w:t>Nicht verwechseln, weil …</w:t>
            </w:r>
          </w:p>
        </w:tc>
      </w:tr>
      <w:tr>
        <w:tc>
          <w:tcPr>
            <w:tcW w:type="dxa" w:w="3175"/>
          </w:tcPr>
          <w:p>
            <w:pPr>
              <w:spacing w:after="0" w:line="252" w:lineRule="auto"/>
            </w:pPr>
            <w:r>
              <w:rPr>
                <w:b/>
                <w:sz w:val="17"/>
              </w:rPr>
              <w:t>Zielplatz</w:t>
            </w:r>
          </w:p>
        </w:tc>
        <w:tc>
          <w:tcPr>
            <w:tcW w:type="dxa" w:w="3175"/>
          </w:tcPr>
          <w:p>
            <w:pPr>
              <w:spacing w:after="0" w:line="252" w:lineRule="auto"/>
            </w:pPr>
            <w:r>
              <w:rPr>
                <w:sz w:val="17"/>
              </w:rPr>
              <w:t>Ablage kommissionierter LE außerhalb des SSI LOGIMAT (PTL, Kommissionierwagen)</w:t>
            </w:r>
          </w:p>
        </w:tc>
        <w:tc>
          <w:tcPr>
            <w:tcW w:type="dxa" w:w="3175"/>
          </w:tcPr>
          <w:p>
            <w:pPr>
              <w:spacing w:after="0" w:line="252" w:lineRule="auto"/>
            </w:pPr>
            <w:r>
              <w:rPr>
                <w:sz w:val="17"/>
              </w:rPr>
              <w:t>–</w:t>
            </w:r>
          </w:p>
        </w:tc>
      </w:tr>
      <w:tr>
        <w:tc>
          <w:tcPr>
            <w:tcW w:type="dxa" w:w="3175"/>
          </w:tcPr>
          <w:p>
            <w:pPr>
              <w:spacing w:after="0" w:line="252" w:lineRule="auto"/>
            </w:pPr>
            <w:r>
              <w:rPr>
                <w:b/>
                <w:sz w:val="17"/>
              </w:rPr>
              <w:t>Externer Lagerplatz</w:t>
            </w:r>
            <w:r>
              <w:rPr>
                <w:sz w:val="17"/>
              </w:rPr>
              <w:t xml:space="preserve"> (LM124–LM127)</w:t>
            </w:r>
          </w:p>
        </w:tc>
        <w:tc>
          <w:tcPr>
            <w:tcW w:type="dxa" w:w="3175"/>
          </w:tcPr>
          <w:p>
            <w:pPr>
              <w:spacing w:after="0" w:line="252" w:lineRule="auto"/>
            </w:pPr>
            <w:r>
              <w:rPr>
                <w:sz w:val="17"/>
              </w:rPr>
              <w:t>Bestandsplatz außerhalb des SSI LOGIMAT, z. B. für Prozesse am Mobilterminal</w:t>
            </w:r>
          </w:p>
        </w:tc>
        <w:tc>
          <w:tcPr>
            <w:tcW w:type="dxa" w:w="3175"/>
          </w:tcPr>
          <w:p>
            <w:pPr>
              <w:spacing w:after="0" w:line="252" w:lineRule="auto"/>
            </w:pPr>
            <w:r>
              <w:rPr>
                <w:sz w:val="17"/>
              </w:rPr>
              <w:t>trägt Bestand externer Artikel; eigene Strategien und Lagerplatztypzuordnung LM132</w:t>
            </w:r>
          </w:p>
        </w:tc>
      </w:tr>
      <w:tr>
        <w:tc>
          <w:tcPr>
            <w:tcW w:type="dxa" w:w="3175"/>
          </w:tcPr>
          <w:p>
            <w:pPr>
              <w:spacing w:after="0" w:line="252" w:lineRule="auto"/>
            </w:pPr>
            <w:r>
              <w:rPr>
                <w:b/>
                <w:sz w:val="17"/>
              </w:rPr>
              <w:t>Übergabeplatz</w:t>
            </w:r>
            <w:r>
              <w:rPr>
                <w:sz w:val="17"/>
              </w:rPr>
              <w:t xml:space="preserve"> (LM069, Registerkarte </w:t>
            </w:r>
            <w:r>
              <w:rPr>
                <w:b/>
                <w:sz w:val="17"/>
              </w:rPr>
              <w:t>Übergabeposition</w:t>
            </w:r>
            <w:r>
              <w:rPr>
                <w:sz w:val="17"/>
              </w:rPr>
              <w:t>)</w:t>
            </w:r>
          </w:p>
        </w:tc>
        <w:tc>
          <w:tcPr>
            <w:tcW w:type="dxa" w:w="3175"/>
          </w:tcPr>
          <w:p>
            <w:pPr>
              <w:spacing w:after="0" w:line="252" w:lineRule="auto"/>
            </w:pPr>
            <w:r>
              <w:rPr>
                <w:sz w:val="17"/>
              </w:rPr>
              <w:t xml:space="preserve">Platz je Zone für </w:t>
            </w:r>
            <w:r>
              <w:rPr>
                <w:b/>
                <w:sz w:val="17"/>
              </w:rPr>
              <w:t>Einlagerung</w:t>
            </w:r>
            <w:r>
              <w:rPr>
                <w:sz w:val="17"/>
              </w:rPr>
              <w:t xml:space="preserve"> oder </w:t>
            </w:r>
            <w:r>
              <w:rPr>
                <w:b/>
                <w:sz w:val="17"/>
              </w:rPr>
              <w:t>Auslagerung</w:t>
            </w:r>
          </w:p>
        </w:tc>
        <w:tc>
          <w:tcPr>
            <w:tcW w:type="dxa" w:w="3175"/>
          </w:tcPr>
          <w:p>
            <w:pPr>
              <w:spacing w:after="0" w:line="252" w:lineRule="auto"/>
            </w:pPr>
            <w:r>
              <w:rPr>
                <w:sz w:val="17"/>
              </w:rPr>
              <w:t>Übergabepunkt der Zone, keine Ablage für Ziel-LE</w:t>
            </w:r>
          </w:p>
        </w:tc>
      </w:tr>
      <w:tr>
        <w:tc>
          <w:tcPr>
            <w:tcW w:type="dxa" w:w="3175"/>
          </w:tcPr>
          <w:p>
            <w:pPr>
              <w:spacing w:after="0" w:line="252" w:lineRule="auto"/>
            </w:pPr>
            <w:r>
              <w:rPr>
                <w:b/>
                <w:sz w:val="17"/>
              </w:rPr>
              <w:t>Kommissionierplatz</w:t>
            </w:r>
            <w:r>
              <w:rPr>
                <w:sz w:val="17"/>
              </w:rPr>
              <w:t xml:space="preserve"> (Lagerstandort, WMS)</w:t>
            </w:r>
          </w:p>
        </w:tc>
        <w:tc>
          <w:tcPr>
            <w:tcW w:type="dxa" w:w="3175"/>
          </w:tcPr>
          <w:p>
            <w:pPr>
              <w:spacing w:after="0" w:line="252" w:lineRule="auto"/>
            </w:pPr>
            <w:r>
              <w:rPr>
                <w:sz w:val="17"/>
              </w:rPr>
              <w:t>Platz, an dem Ware für die Kommissionierung bereitgestellt wird</w:t>
            </w:r>
          </w:p>
        </w:tc>
        <w:tc>
          <w:tcPr>
            <w:tcW w:type="dxa" w:w="3175"/>
          </w:tcPr>
          <w:p>
            <w:pPr>
              <w:spacing w:after="0" w:line="252" w:lineRule="auto"/>
            </w:pPr>
            <w:r>
              <w:rPr>
                <w:sz w:val="17"/>
              </w:rPr>
              <w:t>WMS-Begriff; „Dynamische Zuordnung von inversen K-Plätzen“ im Kommissionierbereich betrifft die WMS-Ebene</w:t>
            </w:r>
          </w:p>
        </w:tc>
      </w:tr>
    </w:tbl>
    <w:p>
      <w:pPr>
        <w:pStyle w:val="BeschriftungSSI"/>
      </w:pPr>
      <w:r>
        <w:t>Tab. 3: Platzarten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Ein Objekt, mehrere Namen</w:t>
            </w:r>
          </w:p>
          <w:p>
            <w:pPr>
              <w:spacing w:after="40"/>
            </w:pPr>
            <w:r>
              <w:rPr>
                <w:sz w:val="19"/>
              </w:rPr>
              <w:t xml:space="preserve">Die Handbücher mischen „Zielplatz“ und „externer Lagerplatz“: Das Kapitel Zielplatzgruppen spricht von „externen Lagerplatzgruppen“, der Touch-Buchungsdialog heißt </w:t>
            </w:r>
            <w:r>
              <w:rPr>
                <w:b/>
                <w:sz w:val="19"/>
              </w:rPr>
              <w:t>LM107 LE auf externem Lagerplatz verwalten</w:t>
            </w:r>
            <w:r>
              <w:rPr>
                <w:sz w:val="19"/>
              </w:rPr>
              <w:t xml:space="preserve">, die Icon-Liste nennt LM044 </w:t>
            </w:r>
            <w:r>
              <w:rPr>
                <w:b/>
                <w:sz w:val="19"/>
              </w:rPr>
              <w:t>Externe Lagerplätze</w:t>
            </w:r>
            <w:r>
              <w:rPr>
                <w:sz w:val="19"/>
              </w:rPr>
              <w:t xml:space="preserve">, der Installation Guide zeigt LM044 als </w:t>
            </w:r>
            <w:r>
              <w:rPr>
                <w:b/>
                <w:sz w:val="19"/>
              </w:rPr>
              <w:t>External Storage Locations</w:t>
            </w:r>
            <w:r>
              <w:rPr>
                <w:sz w:val="19"/>
              </w:rPr>
              <w:t xml:space="preserve">, und der Parameter </w:t>
            </w:r>
            <w:r>
              <w:rPr>
                <w:rFonts w:ascii="Consolas" w:hAnsi="Consolas" w:cs="Consolas" w:eastAsia="Consolas"/>
                <w:sz w:val="17"/>
              </w:rPr>
              <w:t>logimat.picking.askBookLuOnExternalLocation</w:t>
            </w:r>
            <w:r>
              <w:rPr>
                <w:sz w:val="19"/>
              </w:rPr>
              <w:t xml:space="preserve"> betrifft die Buchung der Ziel-LE. In 2.8 heißt es durchgängig </w:t>
            </w:r>
            <w:r>
              <w:rPr>
                <w:b/>
                <w:sz w:val="19"/>
              </w:rPr>
              <w:t>Destination Locations</w:t>
            </w:r>
            <w:r>
              <w:rPr>
                <w:sz w:val="19"/>
              </w:rPr>
              <w:t>. Gemeint ist in diesen Stellen der Zielplatz.</w:t>
            </w:r>
          </w:p>
        </w:tc>
      </w:tr>
    </w:tbl>
    <w:p>
      <w:pPr>
        <w:spacing w:after="40"/>
      </w:pPr>
    </w:p>
    <w:p>
      <w:pPr>
        <w:pStyle w:val="Quelle"/>
      </w:pPr>
      <w:r>
        <w:rPr>
          <w:b/>
        </w:rPr>
        <w:t xml:space="preserve">Quelle: </w:t>
      </w:r>
      <w:r>
        <w:rPr>
          <w:sz w:val="17"/>
        </w:rPr>
        <w:t>AH 2.7, Kap. 3.1.10.2, 3.1.11–3.1.14, 3.4.1.4, 3.11.2; BH 2.7, Kap. 5.4.4, Icon-Liste; IH 2.7, Kap. 6.6; AH 2.8, Kap. 3.1.12–3.1.13</w:t>
      </w:r>
    </w:p>
    <w:p>
      <w:pPr>
        <w:pStyle w:val="Heading2"/>
      </w:pPr>
      <w:r>
        <w:t>2.4 Dialogübersicht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70"/>
        <w:gridCol w:w="3711"/>
        <w:gridCol w:w="1422"/>
        <w:gridCol w:w="2721"/>
      </w:tblGrid>
      <w:tr>
        <w:trPr>
          <w:tblHeader w:val="true"/>
        </w:trPr>
        <w:tc>
          <w:tcPr>
            <w:tcW w:type="dxa" w:w="1670"/>
            <w:shd w:val="clear" w:color="auto" w:fill="FEEE19"/>
          </w:tcPr>
          <w:p>
            <w:pPr>
              <w:spacing w:after="0"/>
            </w:pPr>
            <w:r>
              <w:rPr>
                <w:b/>
                <w:sz w:val="17"/>
              </w:rPr>
              <w:t>Dialog</w:t>
            </w:r>
          </w:p>
        </w:tc>
        <w:tc>
          <w:tcPr>
            <w:tcW w:type="dxa" w:w="3711"/>
            <w:shd w:val="clear" w:color="auto" w:fill="FEEE19"/>
          </w:tcPr>
          <w:p>
            <w:pPr>
              <w:spacing w:after="0"/>
            </w:pPr>
            <w:r>
              <w:rPr>
                <w:b/>
                <w:sz w:val="17"/>
              </w:rPr>
              <w:t>Name (2.7)</w:t>
            </w:r>
          </w:p>
        </w:tc>
        <w:tc>
          <w:tcPr>
            <w:tcW w:type="dxa" w:w="1422"/>
            <w:shd w:val="clear" w:color="auto" w:fill="FEEE19"/>
          </w:tcPr>
          <w:p>
            <w:pPr>
              <w:spacing w:after="0"/>
            </w:pPr>
            <w:r>
              <w:rPr>
                <w:b/>
                <w:sz w:val="17"/>
              </w:rPr>
              <w:t>Client</w:t>
            </w:r>
          </w:p>
        </w:tc>
        <w:tc>
          <w:tcPr>
            <w:tcW w:type="dxa" w:w="2721"/>
            <w:shd w:val="clear" w:color="auto" w:fill="FEEE19"/>
          </w:tcPr>
          <w:p>
            <w:pPr>
              <w:spacing w:after="0"/>
            </w:pPr>
            <w:r>
              <w:rPr>
                <w:b/>
                <w:sz w:val="17"/>
              </w:rPr>
              <w:t>2.8 (enUS)</w:t>
            </w:r>
          </w:p>
        </w:tc>
      </w:tr>
      <w:tr>
        <w:tc>
          <w:tcPr>
            <w:tcW w:type="dxa" w:w="1670"/>
          </w:tcPr>
          <w:p>
            <w:pPr>
              <w:spacing w:after="0" w:line="252" w:lineRule="auto"/>
            </w:pPr>
            <w:r>
              <w:rPr>
                <w:b/>
                <w:sz w:val="17"/>
              </w:rPr>
              <w:t>LM065</w:t>
            </w:r>
          </w:p>
        </w:tc>
        <w:tc>
          <w:tcPr>
            <w:tcW w:type="dxa" w:w="3711"/>
          </w:tcPr>
          <w:p>
            <w:pPr>
              <w:spacing w:after="0" w:line="252" w:lineRule="auto"/>
            </w:pPr>
            <w:r>
              <w:rPr>
                <w:sz w:val="17"/>
              </w:rPr>
              <w:t>Übersicht Zielplatzgruppen</w:t>
            </w:r>
          </w:p>
        </w:tc>
        <w:tc>
          <w:tcPr>
            <w:tcW w:type="dxa" w:w="1422"/>
          </w:tcPr>
          <w:p>
            <w:pPr>
              <w:spacing w:after="0" w:line="252" w:lineRule="auto"/>
            </w:pPr>
            <w:r>
              <w:rPr>
                <w:sz w:val="17"/>
              </w:rPr>
              <w:t>Desktop</w:t>
            </w:r>
          </w:p>
        </w:tc>
        <w:tc>
          <w:tcPr>
            <w:tcW w:type="dxa" w:w="2721"/>
          </w:tcPr>
          <w:p>
            <w:pPr>
              <w:spacing w:after="0" w:line="252" w:lineRule="auto"/>
            </w:pPr>
            <w:r>
              <w:rPr>
                <w:sz w:val="17"/>
              </w:rPr>
              <w:t>Destination Location Groups Overview</w:t>
            </w:r>
          </w:p>
        </w:tc>
      </w:tr>
      <w:tr>
        <w:tc>
          <w:tcPr>
            <w:tcW w:type="dxa" w:w="1670"/>
          </w:tcPr>
          <w:p>
            <w:pPr>
              <w:spacing w:after="0" w:line="252" w:lineRule="auto"/>
            </w:pPr>
            <w:r>
              <w:rPr>
                <w:b/>
                <w:sz w:val="17"/>
              </w:rPr>
              <w:t>LM064</w:t>
            </w:r>
          </w:p>
        </w:tc>
        <w:tc>
          <w:tcPr>
            <w:tcW w:type="dxa" w:w="3711"/>
          </w:tcPr>
          <w:p>
            <w:pPr>
              <w:spacing w:after="0" w:line="252" w:lineRule="auto"/>
            </w:pPr>
            <w:r>
              <w:rPr>
                <w:sz w:val="17"/>
              </w:rPr>
              <w:t>Zielplatz-Generator</w:t>
            </w:r>
          </w:p>
        </w:tc>
        <w:tc>
          <w:tcPr>
            <w:tcW w:type="dxa" w:w="1422"/>
          </w:tcPr>
          <w:p>
            <w:pPr>
              <w:spacing w:after="0" w:line="252" w:lineRule="auto"/>
            </w:pPr>
            <w:r>
              <w:rPr>
                <w:sz w:val="17"/>
              </w:rPr>
              <w:t>Desktop</w:t>
            </w:r>
          </w:p>
        </w:tc>
        <w:tc>
          <w:tcPr>
            <w:tcW w:type="dxa" w:w="2721"/>
          </w:tcPr>
          <w:p>
            <w:pPr>
              <w:spacing w:after="0" w:line="252" w:lineRule="auto"/>
            </w:pPr>
            <w:r>
              <w:rPr>
                <w:sz w:val="17"/>
              </w:rPr>
              <w:t>Destination Locations Generator</w:t>
            </w:r>
          </w:p>
        </w:tc>
      </w:tr>
      <w:tr>
        <w:tc>
          <w:tcPr>
            <w:tcW w:type="dxa" w:w="1670"/>
          </w:tcPr>
          <w:p>
            <w:pPr>
              <w:spacing w:after="0" w:line="252" w:lineRule="auto"/>
            </w:pPr>
            <w:r>
              <w:rPr>
                <w:b/>
                <w:sz w:val="17"/>
              </w:rPr>
              <w:t>LM088</w:t>
            </w:r>
          </w:p>
        </w:tc>
        <w:tc>
          <w:tcPr>
            <w:tcW w:type="dxa" w:w="3711"/>
          </w:tcPr>
          <w:p>
            <w:pPr>
              <w:spacing w:after="0" w:line="252" w:lineRule="auto"/>
            </w:pPr>
            <w:r>
              <w:rPr>
                <w:sz w:val="17"/>
              </w:rPr>
              <w:t>Zielplatz pflegen</w:t>
            </w:r>
          </w:p>
        </w:tc>
        <w:tc>
          <w:tcPr>
            <w:tcW w:type="dxa" w:w="1422"/>
          </w:tcPr>
          <w:p>
            <w:pPr>
              <w:spacing w:after="0" w:line="252" w:lineRule="auto"/>
            </w:pPr>
            <w:r>
              <w:rPr>
                <w:sz w:val="17"/>
              </w:rPr>
              <w:t>Desktop</w:t>
            </w:r>
          </w:p>
        </w:tc>
        <w:tc>
          <w:tcPr>
            <w:tcW w:type="dxa" w:w="2721"/>
          </w:tcPr>
          <w:p>
            <w:pPr>
              <w:spacing w:after="0" w:line="252" w:lineRule="auto"/>
            </w:pPr>
            <w:r>
              <w:rPr>
                <w:sz w:val="17"/>
              </w:rPr>
              <w:t>Maintain Destination Location</w:t>
            </w:r>
          </w:p>
        </w:tc>
      </w:tr>
      <w:tr>
        <w:tc>
          <w:tcPr>
            <w:tcW w:type="dxa" w:w="1670"/>
          </w:tcPr>
          <w:p>
            <w:pPr>
              <w:spacing w:after="0" w:line="252" w:lineRule="auto"/>
            </w:pPr>
            <w:r>
              <w:rPr>
                <w:b/>
                <w:sz w:val="17"/>
              </w:rPr>
              <w:t>FW005</w:t>
            </w:r>
          </w:p>
        </w:tc>
        <w:tc>
          <w:tcPr>
            <w:tcW w:type="dxa" w:w="3711"/>
          </w:tcPr>
          <w:p>
            <w:pPr>
              <w:spacing w:after="0" w:line="252" w:lineRule="auto"/>
            </w:pPr>
            <w:r>
              <w:rPr>
                <w:sz w:val="17"/>
              </w:rPr>
              <w:t>Datensatz auswählen (Zugriffsöffnung)</w:t>
            </w:r>
          </w:p>
        </w:tc>
        <w:tc>
          <w:tcPr>
            <w:tcW w:type="dxa" w:w="1422"/>
          </w:tcPr>
          <w:p>
            <w:pPr>
              <w:spacing w:after="0" w:line="252" w:lineRule="auto"/>
            </w:pPr>
            <w:r>
              <w:rPr>
                <w:sz w:val="17"/>
              </w:rPr>
              <w:t>Desktop</w:t>
            </w:r>
          </w:p>
        </w:tc>
        <w:tc>
          <w:tcPr>
            <w:tcW w:type="dxa" w:w="2721"/>
          </w:tcPr>
          <w:p>
            <w:pPr>
              <w:spacing w:after="0" w:line="252" w:lineRule="auto"/>
            </w:pPr>
            <w:r>
              <w:rPr>
                <w:sz w:val="17"/>
              </w:rPr>
              <w:t>Select Record</w:t>
            </w:r>
          </w:p>
        </w:tc>
      </w:tr>
      <w:tr>
        <w:tc>
          <w:tcPr>
            <w:tcW w:type="dxa" w:w="1670"/>
          </w:tcPr>
          <w:p>
            <w:pPr>
              <w:spacing w:after="0" w:line="252" w:lineRule="auto"/>
            </w:pPr>
            <w:r>
              <w:rPr>
                <w:b/>
                <w:sz w:val="17"/>
              </w:rPr>
              <w:t>LM152</w:t>
            </w:r>
          </w:p>
        </w:tc>
        <w:tc>
          <w:tcPr>
            <w:tcW w:type="dxa" w:w="3711"/>
          </w:tcPr>
          <w:p>
            <w:pPr>
              <w:spacing w:after="0" w:line="252" w:lineRule="auto"/>
            </w:pPr>
            <w:r>
              <w:rPr>
                <w:sz w:val="17"/>
              </w:rPr>
              <w:t>Kommissionierwagen anlegen</w:t>
            </w:r>
          </w:p>
        </w:tc>
        <w:tc>
          <w:tcPr>
            <w:tcW w:type="dxa" w:w="1422"/>
          </w:tcPr>
          <w:p>
            <w:pPr>
              <w:spacing w:after="0" w:line="252" w:lineRule="auto"/>
            </w:pPr>
            <w:r>
              <w:rPr>
                <w:sz w:val="17"/>
              </w:rPr>
              <w:t>Desktop</w:t>
            </w:r>
          </w:p>
        </w:tc>
        <w:tc>
          <w:tcPr>
            <w:tcW w:type="dxa" w:w="2721"/>
          </w:tcPr>
          <w:p>
            <w:pPr>
              <w:spacing w:after="0" w:line="252" w:lineRule="auto"/>
            </w:pPr>
            <w:r>
              <w:rPr>
                <w:sz w:val="17"/>
              </w:rPr>
              <w:t>Create Picking Trolley</w:t>
            </w:r>
          </w:p>
        </w:tc>
      </w:tr>
      <w:tr>
        <w:tc>
          <w:tcPr>
            <w:tcW w:type="dxa" w:w="1670"/>
          </w:tcPr>
          <w:p>
            <w:pPr>
              <w:spacing w:after="0" w:line="252" w:lineRule="auto"/>
            </w:pPr>
            <w:r>
              <w:rPr>
                <w:b/>
                <w:sz w:val="17"/>
              </w:rPr>
              <w:t>LM044</w:t>
            </w:r>
          </w:p>
        </w:tc>
        <w:tc>
          <w:tcPr>
            <w:tcW w:type="dxa" w:w="3711"/>
          </w:tcPr>
          <w:p>
            <w:pPr>
              <w:spacing w:after="0" w:line="252" w:lineRule="auto"/>
            </w:pPr>
            <w:r>
              <w:rPr>
                <w:sz w:val="17"/>
              </w:rPr>
              <w:t>Zielplätze</w:t>
            </w:r>
          </w:p>
        </w:tc>
        <w:tc>
          <w:tcPr>
            <w:tcW w:type="dxa" w:w="1422"/>
          </w:tcPr>
          <w:p>
            <w:pPr>
              <w:spacing w:after="0" w:line="252" w:lineRule="auto"/>
            </w:pPr>
            <w:r>
              <w:rPr>
                <w:sz w:val="17"/>
              </w:rPr>
              <w:t>Touch (Tools)</w:t>
            </w:r>
          </w:p>
        </w:tc>
        <w:tc>
          <w:tcPr>
            <w:tcW w:type="dxa" w:w="2721"/>
          </w:tcPr>
          <w:p>
            <w:pPr>
              <w:spacing w:after="0" w:line="252" w:lineRule="auto"/>
            </w:pPr>
            <w:r>
              <w:rPr>
                <w:sz w:val="17"/>
              </w:rPr>
              <w:t>Destination Locations</w:t>
            </w:r>
          </w:p>
        </w:tc>
      </w:tr>
      <w:tr>
        <w:tc>
          <w:tcPr>
            <w:tcW w:type="dxa" w:w="1670"/>
          </w:tcPr>
          <w:p>
            <w:pPr>
              <w:spacing w:after="0" w:line="252" w:lineRule="auto"/>
            </w:pPr>
            <w:r>
              <w:rPr>
                <w:b/>
                <w:sz w:val="17"/>
              </w:rPr>
              <w:t>LM106</w:t>
            </w:r>
          </w:p>
        </w:tc>
        <w:tc>
          <w:tcPr>
            <w:tcW w:type="dxa" w:w="3711"/>
          </w:tcPr>
          <w:p>
            <w:pPr>
              <w:spacing w:after="0" w:line="252" w:lineRule="auto"/>
            </w:pPr>
            <w:r>
              <w:rPr>
                <w:sz w:val="17"/>
              </w:rPr>
              <w:t>Zielplätze generieren</w:t>
            </w:r>
          </w:p>
        </w:tc>
        <w:tc>
          <w:tcPr>
            <w:tcW w:type="dxa" w:w="1422"/>
          </w:tcPr>
          <w:p>
            <w:pPr>
              <w:spacing w:after="0" w:line="252" w:lineRule="auto"/>
            </w:pPr>
            <w:r>
              <w:rPr>
                <w:sz w:val="17"/>
              </w:rPr>
              <w:t>Touch</w:t>
            </w:r>
          </w:p>
        </w:tc>
        <w:tc>
          <w:tcPr>
            <w:tcW w:type="dxa" w:w="2721"/>
          </w:tcPr>
          <w:p>
            <w:pPr>
              <w:spacing w:after="0" w:line="252" w:lineRule="auto"/>
            </w:pPr>
            <w:r>
              <w:rPr>
                <w:sz w:val="17"/>
              </w:rPr>
              <w:t>Generate Destination Locations</w:t>
            </w:r>
          </w:p>
        </w:tc>
      </w:tr>
      <w:tr>
        <w:tc>
          <w:tcPr>
            <w:tcW w:type="dxa" w:w="1670"/>
          </w:tcPr>
          <w:p>
            <w:pPr>
              <w:spacing w:after="0" w:line="252" w:lineRule="auto"/>
            </w:pPr>
            <w:r>
              <w:rPr>
                <w:b/>
                <w:sz w:val="17"/>
              </w:rPr>
              <w:t>LM046</w:t>
            </w:r>
          </w:p>
        </w:tc>
        <w:tc>
          <w:tcPr>
            <w:tcW w:type="dxa" w:w="3711"/>
          </w:tcPr>
          <w:p>
            <w:pPr>
              <w:spacing w:after="0" w:line="252" w:lineRule="auto"/>
            </w:pPr>
            <w:r>
              <w:rPr>
                <w:sz w:val="17"/>
              </w:rPr>
              <w:t>Platzgruppe zuordnen</w:t>
            </w:r>
          </w:p>
        </w:tc>
        <w:tc>
          <w:tcPr>
            <w:tcW w:type="dxa" w:w="1422"/>
          </w:tcPr>
          <w:p>
            <w:pPr>
              <w:spacing w:after="0" w:line="252" w:lineRule="auto"/>
            </w:pPr>
            <w:r>
              <w:rPr>
                <w:sz w:val="17"/>
              </w:rPr>
              <w:t>Touch</w:t>
            </w:r>
          </w:p>
        </w:tc>
        <w:tc>
          <w:tcPr>
            <w:tcW w:type="dxa" w:w="2721"/>
          </w:tcPr>
          <w:p>
            <w:pPr>
              <w:spacing w:after="0" w:line="252" w:lineRule="auto"/>
            </w:pPr>
            <w:r>
              <w:rPr>
                <w:sz w:val="17"/>
              </w:rPr>
              <w:t>Assign Location Group</w:t>
            </w:r>
          </w:p>
        </w:tc>
      </w:tr>
      <w:tr>
        <w:tc>
          <w:tcPr>
            <w:tcW w:type="dxa" w:w="1670"/>
          </w:tcPr>
          <w:p>
            <w:pPr>
              <w:spacing w:after="0" w:line="252" w:lineRule="auto"/>
            </w:pPr>
            <w:r>
              <w:rPr>
                <w:b/>
                <w:sz w:val="17"/>
              </w:rPr>
              <w:t>LM107</w:t>
            </w:r>
          </w:p>
        </w:tc>
        <w:tc>
          <w:tcPr>
            <w:tcW w:type="dxa" w:w="3711"/>
          </w:tcPr>
          <w:p>
            <w:pPr>
              <w:spacing w:after="0" w:line="252" w:lineRule="auto"/>
            </w:pPr>
            <w:r>
              <w:rPr>
                <w:sz w:val="17"/>
              </w:rPr>
              <w:t>LE auf externem Lagerplatz verwalten</w:t>
            </w:r>
          </w:p>
        </w:tc>
        <w:tc>
          <w:tcPr>
            <w:tcW w:type="dxa" w:w="1422"/>
          </w:tcPr>
          <w:p>
            <w:pPr>
              <w:spacing w:after="0" w:line="252" w:lineRule="auto"/>
            </w:pPr>
            <w:r>
              <w:rPr>
                <w:sz w:val="17"/>
              </w:rPr>
              <w:t>Touch</w:t>
            </w:r>
          </w:p>
        </w:tc>
        <w:tc>
          <w:tcPr>
            <w:tcW w:type="dxa" w:w="2721"/>
          </w:tcPr>
          <w:p>
            <w:pPr>
              <w:spacing w:after="0" w:line="252" w:lineRule="auto"/>
            </w:pPr>
            <w:r>
              <w:rPr>
                <w:sz w:val="17"/>
              </w:rPr>
              <w:t>Manage LU on External Location</w:t>
            </w:r>
          </w:p>
        </w:tc>
      </w:tr>
      <w:tr>
        <w:tc>
          <w:tcPr>
            <w:tcW w:type="dxa" w:w="1670"/>
          </w:tcPr>
          <w:p>
            <w:pPr>
              <w:spacing w:after="0" w:line="252" w:lineRule="auto"/>
            </w:pPr>
            <w:r>
              <w:rPr>
                <w:b/>
                <w:sz w:val="17"/>
              </w:rPr>
              <w:t>LM045</w:t>
            </w:r>
          </w:p>
        </w:tc>
        <w:tc>
          <w:tcPr>
            <w:tcW w:type="dxa" w:w="3711"/>
          </w:tcPr>
          <w:p>
            <w:pPr>
              <w:spacing w:after="0" w:line="252" w:lineRule="auto"/>
            </w:pPr>
            <w:r>
              <w:rPr>
                <w:sz w:val="17"/>
              </w:rPr>
              <w:t>Ziel-Ladeeinheiten / Externe Ladeeinheiten</w:t>
            </w:r>
          </w:p>
        </w:tc>
        <w:tc>
          <w:tcPr>
            <w:tcW w:type="dxa" w:w="1422"/>
          </w:tcPr>
          <w:p>
            <w:pPr>
              <w:spacing w:after="0" w:line="252" w:lineRule="auto"/>
            </w:pPr>
            <w:r>
              <w:rPr>
                <w:sz w:val="17"/>
              </w:rPr>
              <w:t>Touch (Tools)</w:t>
            </w:r>
          </w:p>
        </w:tc>
        <w:tc>
          <w:tcPr>
            <w:tcW w:type="dxa" w:w="2721"/>
          </w:tcPr>
          <w:p>
            <w:pPr>
              <w:spacing w:after="0" w:line="252" w:lineRule="auto"/>
            </w:pPr>
            <w:r>
              <w:rPr>
                <w:sz w:val="17"/>
              </w:rPr>
              <w:t>Picking Plan Loading Units Overview</w:t>
            </w:r>
          </w:p>
        </w:tc>
      </w:tr>
      <w:tr>
        <w:tc>
          <w:tcPr>
            <w:tcW w:type="dxa" w:w="1670"/>
          </w:tcPr>
          <w:p>
            <w:pPr>
              <w:spacing w:after="0" w:line="252" w:lineRule="auto"/>
            </w:pPr>
            <w:r>
              <w:rPr>
                <w:b/>
                <w:sz w:val="17"/>
              </w:rPr>
              <w:t>LM109</w:t>
            </w:r>
          </w:p>
        </w:tc>
        <w:tc>
          <w:tcPr>
            <w:tcW w:type="dxa" w:w="3711"/>
          </w:tcPr>
          <w:p>
            <w:pPr>
              <w:spacing w:after="0" w:line="252" w:lineRule="auto"/>
            </w:pPr>
            <w:r>
              <w:rPr>
                <w:sz w:val="17"/>
              </w:rPr>
              <w:t>Boxtypen für LE-Wiedereinlagerung verwalten</w:t>
            </w:r>
          </w:p>
        </w:tc>
        <w:tc>
          <w:tcPr>
            <w:tcW w:type="dxa" w:w="1422"/>
          </w:tcPr>
          <w:p>
            <w:pPr>
              <w:spacing w:after="0" w:line="252" w:lineRule="auto"/>
            </w:pPr>
            <w:r>
              <w:rPr>
                <w:sz w:val="17"/>
              </w:rPr>
              <w:t>Touch</w:t>
            </w:r>
          </w:p>
        </w:tc>
        <w:tc>
          <w:tcPr>
            <w:tcW w:type="dxa" w:w="2721"/>
          </w:tcPr>
          <w:p>
            <w:pPr>
              <w:spacing w:after="0" w:line="252" w:lineRule="auto"/>
            </w:pPr>
            <w:r>
              <w:rPr>
                <w:sz w:val="17"/>
              </w:rPr>
              <w:t>–</w:t>
            </w:r>
          </w:p>
        </w:tc>
      </w:tr>
      <w:tr>
        <w:tc>
          <w:tcPr>
            <w:tcW w:type="dxa" w:w="1670"/>
          </w:tcPr>
          <w:p>
            <w:pPr>
              <w:spacing w:after="0" w:line="252" w:lineRule="auto"/>
            </w:pPr>
            <w:r>
              <w:rPr>
                <w:b/>
                <w:sz w:val="17"/>
              </w:rPr>
              <w:t>LM074</w:t>
            </w:r>
          </w:p>
        </w:tc>
        <w:tc>
          <w:tcPr>
            <w:tcW w:type="dxa" w:w="3711"/>
          </w:tcPr>
          <w:p>
            <w:pPr>
              <w:spacing w:after="0" w:line="252" w:lineRule="auto"/>
            </w:pPr>
            <w:r>
              <w:rPr>
                <w:sz w:val="17"/>
              </w:rPr>
              <w:t>Übersicht Kommissionier-Plan-Ladeeinheiten</w:t>
            </w:r>
          </w:p>
        </w:tc>
        <w:tc>
          <w:tcPr>
            <w:tcW w:type="dxa" w:w="1422"/>
          </w:tcPr>
          <w:p>
            <w:pPr>
              <w:spacing w:after="0" w:line="252" w:lineRule="auto"/>
            </w:pPr>
            <w:r>
              <w:rPr>
                <w:sz w:val="17"/>
              </w:rPr>
              <w:t>Desktop</w:t>
            </w:r>
          </w:p>
        </w:tc>
        <w:tc>
          <w:tcPr>
            <w:tcW w:type="dxa" w:w="2721"/>
          </w:tcPr>
          <w:p>
            <w:pPr>
              <w:spacing w:after="0" w:line="252" w:lineRule="auto"/>
            </w:pPr>
            <w:r>
              <w:rPr>
                <w:sz w:val="17"/>
              </w:rPr>
              <w:t>–</w:t>
            </w:r>
          </w:p>
        </w:tc>
      </w:tr>
      <w:tr>
        <w:tc>
          <w:tcPr>
            <w:tcW w:type="dxa" w:w="1670"/>
          </w:tcPr>
          <w:p>
            <w:pPr>
              <w:spacing w:after="0" w:line="252" w:lineRule="auto"/>
            </w:pPr>
            <w:r>
              <w:rPr>
                <w:b/>
                <w:sz w:val="17"/>
              </w:rPr>
              <w:t>LM150/LM151/LM153/LM154</w:t>
            </w:r>
          </w:p>
        </w:tc>
        <w:tc>
          <w:tcPr>
            <w:tcW w:type="dxa" w:w="3711"/>
          </w:tcPr>
          <w:p>
            <w:pPr>
              <w:spacing w:after="0" w:line="252" w:lineRule="auto"/>
            </w:pPr>
            <w:r>
              <w:rPr>
                <w:sz w:val="17"/>
              </w:rPr>
              <w:t>Kommissionierwagen: Übersicht, anzeigen, anlegen, Plätze verwalten</w:t>
            </w:r>
          </w:p>
        </w:tc>
        <w:tc>
          <w:tcPr>
            <w:tcW w:type="dxa" w:w="1422"/>
          </w:tcPr>
          <w:p>
            <w:pPr>
              <w:spacing w:after="0" w:line="252" w:lineRule="auto"/>
            </w:pPr>
            <w:r>
              <w:rPr>
                <w:sz w:val="17"/>
              </w:rPr>
              <w:t>Touch (LM040)</w:t>
            </w:r>
          </w:p>
        </w:tc>
        <w:tc>
          <w:tcPr>
            <w:tcW w:type="dxa" w:w="2721"/>
          </w:tcPr>
          <w:p>
            <w:pPr>
              <w:spacing w:after="0" w:line="252" w:lineRule="auto"/>
            </w:pPr>
            <w:r>
              <w:rPr>
                <w:sz w:val="17"/>
              </w:rPr>
              <w:t>Picking Trolleys</w:t>
            </w:r>
          </w:p>
        </w:tc>
      </w:tr>
      <w:tr>
        <w:tc>
          <w:tcPr>
            <w:tcW w:type="dxa" w:w="1670"/>
          </w:tcPr>
          <w:p>
            <w:pPr>
              <w:spacing w:after="0" w:line="252" w:lineRule="auto"/>
            </w:pPr>
            <w:r>
              <w:rPr>
                <w:b/>
                <w:sz w:val="17"/>
              </w:rPr>
              <w:t>LM164 / LM108 / LM165</w:t>
            </w:r>
          </w:p>
        </w:tc>
        <w:tc>
          <w:tcPr>
            <w:tcW w:type="dxa" w:w="3711"/>
          </w:tcPr>
          <w:p>
            <w:pPr>
              <w:spacing w:after="0" w:line="252" w:lineRule="auto"/>
            </w:pPr>
            <w:r>
              <w:rPr>
                <w:sz w:val="17"/>
              </w:rPr>
              <w:t>– (erst 2.8)</w:t>
            </w:r>
          </w:p>
        </w:tc>
        <w:tc>
          <w:tcPr>
            <w:tcW w:type="dxa" w:w="1422"/>
          </w:tcPr>
          <w:p>
            <w:pPr>
              <w:spacing w:after="0" w:line="252" w:lineRule="auto"/>
            </w:pPr>
            <w:r>
              <w:rPr>
                <w:sz w:val="17"/>
              </w:rPr>
              <w:t>Touch / Touch / Desktop</w:t>
            </w:r>
          </w:p>
        </w:tc>
        <w:tc>
          <w:tcPr>
            <w:tcW w:type="dxa" w:w="2721"/>
          </w:tcPr>
          <w:p>
            <w:pPr>
              <w:spacing w:after="0" w:line="252" w:lineRule="auto"/>
            </w:pPr>
            <w:r>
              <w:rPr>
                <w:sz w:val="17"/>
              </w:rPr>
              <w:t>Release Picking Demand / Edit External LU-ID</w:t>
            </w:r>
          </w:p>
        </w:tc>
      </w:tr>
      <w:tr>
        <w:tc>
          <w:tcPr>
            <w:tcW w:type="dxa" w:w="1670"/>
          </w:tcPr>
          <w:p>
            <w:pPr>
              <w:spacing w:after="0" w:line="252" w:lineRule="auto"/>
            </w:pPr>
            <w:r>
              <w:rPr>
                <w:b/>
                <w:sz w:val="17"/>
              </w:rPr>
              <w:t>MLP006</w:t>
            </w:r>
          </w:p>
        </w:tc>
        <w:tc>
          <w:tcPr>
            <w:tcW w:type="dxa" w:w="3711"/>
          </w:tcPr>
          <w:p>
            <w:pPr>
              <w:spacing w:after="0" w:line="252" w:lineRule="auto"/>
            </w:pPr>
            <w:r>
              <w:rPr>
                <w:sz w:val="17"/>
              </w:rPr>
              <w:t>Bestätigung Zielplatz</w:t>
            </w:r>
          </w:p>
        </w:tc>
        <w:tc>
          <w:tcPr>
            <w:tcW w:type="dxa" w:w="1422"/>
          </w:tcPr>
          <w:p>
            <w:pPr>
              <w:spacing w:after="0" w:line="252" w:lineRule="auto"/>
            </w:pPr>
            <w:r>
              <w:rPr>
                <w:sz w:val="17"/>
              </w:rPr>
              <w:t>Mobilterminal</w:t>
            </w:r>
          </w:p>
        </w:tc>
        <w:tc>
          <w:tcPr>
            <w:tcW w:type="dxa" w:w="2721"/>
          </w:tcPr>
          <w:p>
            <w:pPr>
              <w:spacing w:after="0" w:line="252" w:lineRule="auto"/>
            </w:pPr>
            <w:r>
              <w:rPr>
                <w:sz w:val="17"/>
              </w:rPr>
              <w:t>–</w:t>
            </w:r>
          </w:p>
        </w:tc>
      </w:tr>
    </w:tbl>
    <w:p>
      <w:pPr>
        <w:pStyle w:val="BeschriftungSSI"/>
      </w:pPr>
      <w:r>
        <w:t>Tab. 4: Dialoge rund um Zielplätze</w:t>
      </w:r>
    </w:p>
    <w:p>
      <w:pPr>
        <w:pStyle w:val="Quelle"/>
      </w:pPr>
      <w:r>
        <w:rPr>
          <w:b/>
        </w:rPr>
        <w:t xml:space="preserve">Quelle: </w:t>
      </w:r>
      <w:r>
        <w:rPr>
          <w:sz w:val="17"/>
        </w:rPr>
        <w:t>AH 2.7, Kap. 3.1.11–3.1.12, 3.1.17; BH 2.7, Kap. 5.4, 5.5, 6.2.2.1.2, 6.3.2, 6.7.1, Icon-Liste; AH 2.8, Kap. 3.1.12–3.1.13, 3.1.18; BH 2.8, Kap. 5.4, 6.2.2.2.2, 6.2.5.3</w:t>
      </w:r>
    </w:p>
    <w:p>
      <w:pPr>
        <w:pStyle w:val="Heading1"/>
      </w:pPr>
      <w:r>
        <w:t>3 Aufbau eines Zielplatzes</w:t>
      </w:r>
    </w:p>
    <w:p>
      <w:pPr>
        <w:pStyle w:val="Heading2"/>
      </w:pPr>
      <w:r>
        <w:t>3.1 Zielplatzgruppe (LM065, LM064)</w:t>
      </w:r>
    </w:p>
    <w:p>
      <w:r>
        <w:t xml:space="preserve">Eine Zielplatzgruppe entsteht beim Generieren von Zielplätzen. Der Generator legt ein Raster aus </w:t>
      </w:r>
      <w:r>
        <w:rPr>
          <w:b/>
        </w:rPr>
        <w:t>Spalten</w:t>
      </w:r>
      <w:r>
        <w:t xml:space="preserve"> × </w:t>
      </w:r>
      <w:r>
        <w:rPr>
          <w:b/>
        </w:rPr>
        <w:t>Reihen</w:t>
      </w:r>
      <w:r>
        <w:t xml:space="preserve"> gleich großer Plätze an.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Feld in LM064 Zielplatz-Generator</w:t>
            </w:r>
          </w:p>
        </w:tc>
        <w:tc>
          <w:tcPr>
            <w:tcW w:type="dxa" w:w="6145"/>
            <w:shd w:val="clear" w:color="auto" w:fill="FEEE19"/>
          </w:tcPr>
          <w:p>
            <w:pPr>
              <w:spacing w:after="0"/>
            </w:pPr>
            <w:r>
              <w:rPr>
                <w:b/>
                <w:sz w:val="17"/>
              </w:rPr>
              <w:t>Bedeutung</w:t>
            </w:r>
          </w:p>
        </w:tc>
      </w:tr>
      <w:tr>
        <w:tc>
          <w:tcPr>
            <w:tcW w:type="dxa" w:w="3380"/>
          </w:tcPr>
          <w:p>
            <w:pPr>
              <w:spacing w:after="0" w:line="252" w:lineRule="auto"/>
            </w:pPr>
            <w:r>
              <w:rPr>
                <w:rFonts w:ascii="Consolas" w:hAnsi="Consolas" w:cs="Consolas" w:eastAsia="Consolas"/>
                <w:sz w:val="15"/>
              </w:rPr>
              <w:t>WAMAS Lift &amp; Store-Zone</w:t>
            </w:r>
          </w:p>
        </w:tc>
        <w:tc>
          <w:tcPr>
            <w:tcW w:type="dxa" w:w="6145"/>
          </w:tcPr>
          <w:p>
            <w:pPr>
              <w:spacing w:after="0" w:line="252" w:lineRule="auto"/>
            </w:pPr>
            <w:r>
              <w:rPr>
                <w:sz w:val="17"/>
              </w:rPr>
              <w:t>Lagerstandort und Zone, zu der die Gruppe gehört</w:t>
            </w:r>
          </w:p>
        </w:tc>
      </w:tr>
      <w:tr>
        <w:tc>
          <w:tcPr>
            <w:tcW w:type="dxa" w:w="3380"/>
          </w:tcPr>
          <w:p>
            <w:pPr>
              <w:spacing w:after="0" w:line="252" w:lineRule="auto"/>
            </w:pPr>
            <w:r>
              <w:rPr>
                <w:rFonts w:ascii="Consolas" w:hAnsi="Consolas" w:cs="Consolas" w:eastAsia="Consolas"/>
                <w:sz w:val="15"/>
              </w:rPr>
              <w:t>Gruppenname</w:t>
            </w:r>
          </w:p>
        </w:tc>
        <w:tc>
          <w:tcPr>
            <w:tcW w:type="dxa" w:w="6145"/>
          </w:tcPr>
          <w:p>
            <w:pPr>
              <w:spacing w:after="0" w:line="252" w:lineRule="auto"/>
            </w:pPr>
            <w:r>
              <w:rPr>
                <w:sz w:val="17"/>
              </w:rPr>
              <w:t>Name der Zielplatzgruppe</w:t>
            </w:r>
          </w:p>
        </w:tc>
      </w:tr>
      <w:tr>
        <w:tc>
          <w:tcPr>
            <w:tcW w:type="dxa" w:w="3380"/>
          </w:tcPr>
          <w:p>
            <w:pPr>
              <w:spacing w:after="0" w:line="252" w:lineRule="auto"/>
            </w:pPr>
            <w:r>
              <w:rPr>
                <w:rFonts w:ascii="Consolas" w:hAnsi="Consolas" w:cs="Consolas" w:eastAsia="Consolas"/>
                <w:sz w:val="15"/>
              </w:rPr>
              <w:t>Spalten</w:t>
            </w:r>
            <w:r>
              <w:rPr>
                <w:sz w:val="17"/>
              </w:rPr>
              <w:t xml:space="preserve">, </w:t>
            </w:r>
            <w:r>
              <w:rPr>
                <w:rFonts w:ascii="Consolas" w:hAnsi="Consolas" w:cs="Consolas" w:eastAsia="Consolas"/>
                <w:sz w:val="15"/>
              </w:rPr>
              <w:t>Reihen</w:t>
            </w:r>
          </w:p>
        </w:tc>
        <w:tc>
          <w:tcPr>
            <w:tcW w:type="dxa" w:w="6145"/>
          </w:tcPr>
          <w:p>
            <w:pPr>
              <w:spacing w:after="0" w:line="252" w:lineRule="auto"/>
            </w:pPr>
            <w:r>
              <w:rPr>
                <w:sz w:val="17"/>
              </w:rPr>
              <w:t>Anzahl Spalten und Reihen der Gruppe</w:t>
            </w:r>
          </w:p>
        </w:tc>
      </w:tr>
      <w:tr>
        <w:tc>
          <w:tcPr>
            <w:tcW w:type="dxa" w:w="3380"/>
          </w:tcPr>
          <w:p>
            <w:pPr>
              <w:spacing w:after="0" w:line="252" w:lineRule="auto"/>
            </w:pPr>
            <w:r>
              <w:rPr>
                <w:sz w:val="17"/>
              </w:rPr>
              <w:t>Länge, Breite, Höhe + Maßeinheit</w:t>
            </w:r>
          </w:p>
        </w:tc>
        <w:tc>
          <w:tcPr>
            <w:tcW w:type="dxa" w:w="6145"/>
          </w:tcPr>
          <w:p>
            <w:pPr>
              <w:spacing w:after="0" w:line="252" w:lineRule="auto"/>
            </w:pPr>
            <w:r>
              <w:rPr>
                <w:sz w:val="17"/>
              </w:rPr>
              <w:t>Abmessung jedes generierten Zielplatzes</w:t>
            </w:r>
          </w:p>
        </w:tc>
      </w:tr>
      <w:tr>
        <w:tc>
          <w:tcPr>
            <w:tcW w:type="dxa" w:w="3380"/>
          </w:tcPr>
          <w:p>
            <w:pPr>
              <w:spacing w:after="0" w:line="252" w:lineRule="auto"/>
            </w:pPr>
            <w:r>
              <w:rPr>
                <w:b/>
                <w:sz w:val="17"/>
              </w:rPr>
              <w:t>Uneingeschränkte Kapazität</w:t>
            </w:r>
          </w:p>
        </w:tc>
        <w:tc>
          <w:tcPr>
            <w:tcW w:type="dxa" w:w="6145"/>
          </w:tcPr>
          <w:p>
            <w:pPr>
              <w:spacing w:after="0" w:line="252" w:lineRule="auto"/>
            </w:pPr>
            <w:r>
              <w:rPr>
                <w:sz w:val="17"/>
              </w:rPr>
              <w:t>Checkbox, wenn die Kapazität des Zielplatzes nicht eingeschränkt ist</w:t>
            </w:r>
          </w:p>
        </w:tc>
      </w:tr>
    </w:tbl>
    <w:p>
      <w:pPr>
        <w:pStyle w:val="BeschriftungSSI"/>
      </w:pPr>
      <w:r>
        <w:t>Tab. 5: Felder des Zielplatz-Generators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LM065 Übersicht Zielplatzgruppen mit geöffnetem Kontextmenü]</w:t>
            </w:r>
          </w:p>
          <w:p>
            <w:pPr>
              <w:spacing w:after="40"/>
            </w:pPr>
            <w:r>
              <w:rPr>
                <w:sz w:val="19"/>
              </w:rPr>
              <w:t xml:space="preserve">Kontextmenü zeigen: </w:t>
            </w:r>
            <w:r>
              <w:rPr>
                <w:b/>
                <w:sz w:val="19"/>
              </w:rPr>
              <w:t>Gruppe generieren</w:t>
            </w:r>
            <w:r>
              <w:rPr>
                <w:sz w:val="19"/>
              </w:rPr>
              <w:t xml:space="preserve">, </w:t>
            </w:r>
            <w:r>
              <w:rPr>
                <w:b/>
                <w:sz w:val="19"/>
              </w:rPr>
              <w:t>Zugriffsöffnung zuordnen</w:t>
            </w:r>
            <w:r>
              <w:rPr>
                <w:sz w:val="19"/>
              </w:rPr>
              <w:t xml:space="preserve">, </w:t>
            </w:r>
            <w:r>
              <w:rPr>
                <w:b/>
                <w:sz w:val="19"/>
              </w:rPr>
              <w:t>Kommissionierwagen anlegen</w:t>
            </w:r>
            <w:r>
              <w:rPr>
                <w:sz w:val="19"/>
              </w:rPr>
              <w:t xml:space="preserve">, </w:t>
            </w:r>
            <w:r>
              <w:rPr>
                <w:b/>
                <w:sz w:val="19"/>
              </w:rPr>
              <w:t>Zielplatzgruppe löschen</w:t>
            </w:r>
            <w:r>
              <w:rPr>
                <w:sz w:val="19"/>
              </w:rPr>
              <w:t>.</w:t>
            </w:r>
          </w:p>
        </w:tc>
      </w:tr>
    </w:tbl>
    <w:p>
      <w:pPr>
        <w:spacing w:after="40"/>
      </w:pPr>
    </w:p>
    <w:p>
      <w:pPr>
        <w:pStyle w:val="Quelle"/>
      </w:pPr>
      <w:r>
        <w:rPr>
          <w:b/>
        </w:rPr>
        <w:t xml:space="preserve">Quelle: </w:t>
      </w:r>
      <w:r>
        <w:rPr>
          <w:sz w:val="17"/>
        </w:rPr>
        <w:t>AH 2.7, Kap. 3.1.12; AH 2.8, Kap. 3.1.13 (inhaltsgleich)</w:t>
      </w:r>
    </w:p>
    <w:p>
      <w:pPr>
        <w:pStyle w:val="Heading2"/>
      </w:pPr>
      <w:r>
        <w:t>3.2 Zielplatz (LM088)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3"/>
        <w:gridCol w:w="5292"/>
      </w:tblGrid>
      <w:tr>
        <w:trPr>
          <w:tblHeader w:val="true"/>
        </w:trPr>
        <w:tc>
          <w:tcPr>
            <w:tcW w:type="dxa" w:w="4233"/>
            <w:shd w:val="clear" w:color="auto" w:fill="FEEE19"/>
          </w:tcPr>
          <w:p>
            <w:pPr>
              <w:spacing w:after="0"/>
            </w:pPr>
            <w:r>
              <w:rPr>
                <w:b/>
                <w:sz w:val="17"/>
              </w:rPr>
              <w:t>Feld in LM088, Registerkarte „Zielplatz“</w:t>
            </w:r>
          </w:p>
        </w:tc>
        <w:tc>
          <w:tcPr>
            <w:tcW w:type="dxa" w:w="5291"/>
            <w:shd w:val="clear" w:color="auto" w:fill="FEEE19"/>
          </w:tcPr>
          <w:p>
            <w:pPr>
              <w:spacing w:after="0"/>
            </w:pPr>
            <w:r>
              <w:rPr>
                <w:b/>
                <w:sz w:val="17"/>
              </w:rPr>
              <w:t>Bedeutung</w:t>
            </w:r>
          </w:p>
        </w:tc>
      </w:tr>
      <w:tr>
        <w:tc>
          <w:tcPr>
            <w:tcW w:type="dxa" w:w="4233"/>
          </w:tcPr>
          <w:p>
            <w:pPr>
              <w:spacing w:after="0" w:line="252" w:lineRule="auto"/>
            </w:pPr>
            <w:r>
              <w:rPr>
                <w:sz w:val="17"/>
              </w:rPr>
              <w:t>Kopf: Zielplatzgruppe, Lagerstandort, Lagerplatz</w:t>
            </w:r>
          </w:p>
        </w:tc>
        <w:tc>
          <w:tcPr>
            <w:tcW w:type="dxa" w:w="5291"/>
          </w:tcPr>
          <w:p>
            <w:pPr>
              <w:spacing w:after="0" w:line="252" w:lineRule="auto"/>
            </w:pPr>
            <w:r>
              <w:rPr>
                <w:sz w:val="17"/>
              </w:rPr>
              <w:t>Auswahl des zu pflegenden Zielplatzes</w:t>
            </w:r>
          </w:p>
        </w:tc>
      </w:tr>
      <w:tr>
        <w:tc>
          <w:tcPr>
            <w:tcW w:type="dxa" w:w="4233"/>
          </w:tcPr>
          <w:p>
            <w:pPr>
              <w:spacing w:after="0" w:line="252" w:lineRule="auto"/>
            </w:pPr>
            <w:r>
              <w:rPr>
                <w:rFonts w:ascii="Consolas" w:hAnsi="Consolas" w:cs="Consolas" w:eastAsia="Consolas"/>
                <w:sz w:val="15"/>
              </w:rPr>
              <w:t>Einlagerungsreihenfolge von Zielplatz</w:t>
            </w:r>
          </w:p>
        </w:tc>
        <w:tc>
          <w:tcPr>
            <w:tcW w:type="dxa" w:w="5291"/>
          </w:tcPr>
          <w:p>
            <w:pPr>
              <w:spacing w:after="0" w:line="252" w:lineRule="auto"/>
            </w:pPr>
            <w:r>
              <w:rPr>
                <w:sz w:val="17"/>
              </w:rPr>
              <w:t xml:space="preserve">Reihenfolge, in der Zielplätze bei </w:t>
            </w:r>
            <w:r>
              <w:rPr>
                <w:b/>
                <w:sz w:val="17"/>
              </w:rPr>
              <w:t>automatischer Zielplatzauswahl</w:t>
            </w:r>
            <w:r>
              <w:rPr>
                <w:sz w:val="17"/>
              </w:rPr>
              <w:t xml:space="preserve"> zugeordnet werden; Plätze ohne Nummer kommen zuletzt</w:t>
            </w:r>
          </w:p>
        </w:tc>
      </w:tr>
      <w:tr>
        <w:tc>
          <w:tcPr>
            <w:tcW w:type="dxa" w:w="4233"/>
          </w:tcPr>
          <w:p>
            <w:pPr>
              <w:spacing w:after="0" w:line="252" w:lineRule="auto"/>
            </w:pPr>
            <w:r>
              <w:rPr>
                <w:b/>
                <w:sz w:val="17"/>
              </w:rPr>
              <w:t>Uneingeschränkte Kapazität</w:t>
            </w:r>
          </w:p>
        </w:tc>
        <w:tc>
          <w:tcPr>
            <w:tcW w:type="dxa" w:w="5291"/>
          </w:tcPr>
          <w:p>
            <w:pPr>
              <w:spacing w:after="0" w:line="252" w:lineRule="auto"/>
            </w:pPr>
            <w:r>
              <w:rPr>
                <w:sz w:val="17"/>
              </w:rPr>
              <w:t>Kapazität des Zielplatzes nicht eingeschränkt</w:t>
            </w:r>
          </w:p>
        </w:tc>
      </w:tr>
      <w:tr>
        <w:tc>
          <w:tcPr>
            <w:tcW w:type="dxa" w:w="4233"/>
          </w:tcPr>
          <w:p>
            <w:pPr>
              <w:spacing w:after="0" w:line="252" w:lineRule="auto"/>
            </w:pPr>
            <w:r>
              <w:rPr>
                <w:rFonts w:ascii="Consolas" w:hAnsi="Consolas" w:cs="Consolas" w:eastAsia="Consolas"/>
                <w:sz w:val="15"/>
              </w:rPr>
              <w:t>Zielplatzkennung</w:t>
            </w:r>
          </w:p>
        </w:tc>
        <w:tc>
          <w:tcPr>
            <w:tcW w:type="dxa" w:w="5291"/>
          </w:tcPr>
          <w:p>
            <w:pPr>
              <w:spacing w:after="0" w:line="252" w:lineRule="auto"/>
            </w:pPr>
            <w:r>
              <w:rPr>
                <w:sz w:val="17"/>
              </w:rPr>
              <w:t>Optionaler Name des Zielplatzes</w:t>
            </w:r>
          </w:p>
        </w:tc>
      </w:tr>
      <w:tr>
        <w:tc>
          <w:tcPr>
            <w:tcW w:type="dxa" w:w="4233"/>
          </w:tcPr>
          <w:p>
            <w:pPr>
              <w:spacing w:after="0" w:line="252" w:lineRule="auto"/>
            </w:pPr>
            <w:r>
              <w:rPr>
                <w:sz w:val="17"/>
              </w:rPr>
              <w:t xml:space="preserve">Bereich </w:t>
            </w:r>
            <w:r>
              <w:rPr>
                <w:b/>
                <w:sz w:val="17"/>
              </w:rPr>
              <w:t>Abmessung</w:t>
            </w:r>
          </w:p>
        </w:tc>
        <w:tc>
          <w:tcPr>
            <w:tcW w:type="dxa" w:w="5291"/>
          </w:tcPr>
          <w:p>
            <w:pPr>
              <w:spacing w:after="0" w:line="252" w:lineRule="auto"/>
            </w:pPr>
            <w:r>
              <w:rPr>
                <w:sz w:val="17"/>
              </w:rPr>
              <w:t>Lagerplatzabmessungen mit Maßeinheit</w:t>
            </w:r>
          </w:p>
        </w:tc>
      </w:tr>
      <w:tr>
        <w:tc>
          <w:tcPr>
            <w:tcW w:type="dxa" w:w="4233"/>
          </w:tcPr>
          <w:p>
            <w:pPr>
              <w:spacing w:after="0" w:line="252" w:lineRule="auto"/>
            </w:pPr>
            <w:r>
              <w:rPr>
                <w:sz w:val="17"/>
              </w:rPr>
              <w:t xml:space="preserve">Bereich </w:t>
            </w:r>
            <w:r>
              <w:rPr>
                <w:b/>
                <w:sz w:val="17"/>
              </w:rPr>
              <w:t>Ladeeinheit</w:t>
            </w:r>
          </w:p>
        </w:tc>
        <w:tc>
          <w:tcPr>
            <w:tcW w:type="dxa" w:w="5291"/>
          </w:tcPr>
          <w:p>
            <w:pPr>
              <w:spacing w:after="0" w:line="252" w:lineRule="auto"/>
            </w:pPr>
            <w:r>
              <w:rPr>
                <w:sz w:val="17"/>
              </w:rPr>
              <w:t>Anzeige der LE, die auf dem Zielplatz eingelagert ist</w:t>
            </w:r>
          </w:p>
        </w:tc>
      </w:tr>
    </w:tbl>
    <w:p>
      <w:pPr>
        <w:pStyle w:val="BeschriftungSSI"/>
      </w:pPr>
      <w:r>
        <w:t>Tab. 6: Felder des Zielplatzes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LM088 Zielplatz pflegen, Registerkarte „Zielplatz“]</w:t>
            </w:r>
          </w:p>
          <w:p>
            <w:pPr>
              <w:spacing w:after="40"/>
            </w:pPr>
            <w:r>
              <w:rPr>
                <w:sz w:val="19"/>
              </w:rPr>
              <w:t xml:space="preserve">Einen Zielplatz mit gesetzter Reihenfolge und einer gebuchten LE zeigen, damit der Bereich </w:t>
            </w:r>
            <w:r>
              <w:rPr>
                <w:b/>
                <w:sz w:val="19"/>
              </w:rPr>
              <w:t>Ladeeinheit</w:t>
            </w:r>
            <w:r>
              <w:rPr>
                <w:sz w:val="19"/>
              </w:rPr>
              <w:t xml:space="preserve"> sichtbar ist.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Beobachtung: Name der generierten Plätze</w:t>
            </w:r>
          </w:p>
          <w:p>
            <w:pPr>
              <w:spacing w:after="40"/>
            </w:pPr>
            <w:r>
              <w:rPr>
                <w:sz w:val="19"/>
              </w:rPr>
              <w:t xml:space="preserve">Im Installation Guide 2.7 (Screenshot aus einer älteren Oberfläche) heißen die über LM106 generierten Plätze z. B. </w:t>
            </w:r>
            <w:r>
              <w:rPr>
                <w:rFonts w:ascii="Consolas" w:hAnsi="Consolas" w:cs="Consolas" w:eastAsia="Consolas"/>
                <w:sz w:val="17"/>
              </w:rPr>
              <w:t>LogiMat/ZONE1-EXT-001-001</w:t>
            </w:r>
            <w:r>
              <w:rPr>
                <w:sz w:val="19"/>
              </w:rPr>
              <w:t xml:space="preserve"> und </w:t>
            </w:r>
            <w:r>
              <w:rPr>
                <w:rFonts w:ascii="Consolas" w:hAnsi="Consolas" w:cs="Consolas" w:eastAsia="Consolas"/>
                <w:sz w:val="17"/>
              </w:rPr>
              <w:t>…-001-002</w:t>
            </w:r>
            <w:r>
              <w:rPr>
                <w:sz w:val="19"/>
              </w:rPr>
              <w:t xml:space="preserve"> (Lagerstandort/Lagerplatz). Ein Namensschema ist nicht dokumentiert; vor der Etikettierung im System prüfen.</w:t>
            </w:r>
          </w:p>
        </w:tc>
      </w:tr>
    </w:tbl>
    <w:p>
      <w:pPr>
        <w:spacing w:after="40"/>
      </w:pPr>
    </w:p>
    <w:p>
      <w:pPr>
        <w:pStyle w:val="Quelle"/>
      </w:pPr>
      <w:r>
        <w:rPr>
          <w:b/>
        </w:rPr>
        <w:t xml:space="preserve">Quelle: </w:t>
      </w:r>
      <w:r>
        <w:rPr>
          <w:sz w:val="17"/>
        </w:rPr>
        <w:t>AH 2.7, Kap. 3.1.11–3.1.11.1; AH 2.8, Kap. 3.1.12.1; IH 2.7, Kap. 6.6 (Schritt 8, MF105)</w:t>
      </w:r>
    </w:p>
    <w:p>
      <w:pPr>
        <w:pStyle w:val="Heading2"/>
      </w:pPr>
      <w:r>
        <w:t>3.3 Zuordnung zu Zugriffsöffnungen</w:t>
      </w:r>
    </w:p>
    <w:p>
      <w:pPr>
        <w:pStyle w:val="ListBullet"/>
      </w:pPr>
      <w:r>
        <w:rPr>
          <w:b/>
        </w:rPr>
        <w:t>Desktop:</w:t>
      </w:r>
      <w:r>
        <w:t xml:space="preserve"> In </w:t>
      </w:r>
      <w:r>
        <w:rPr>
          <w:b/>
        </w:rPr>
        <w:t>LM065</w:t>
      </w:r>
      <w:r>
        <w:t xml:space="preserve"> auf die Gruppe rechtsklicken → </w:t>
      </w:r>
      <w:r>
        <w:rPr>
          <w:b/>
        </w:rPr>
        <w:t>Zugriffsöffnung zuordnen</w:t>
      </w:r>
      <w:r>
        <w:t xml:space="preserve"> → </w:t>
      </w:r>
      <w:r>
        <w:rPr>
          <w:b/>
        </w:rPr>
        <w:t>FW005 Datensatz auswählen</w:t>
      </w:r>
      <w:r>
        <w:t xml:space="preserve"> → </w:t>
      </w:r>
      <w:r>
        <w:rPr>
          <w:b/>
        </w:rPr>
        <w:t>mindestens eine</w:t>
      </w:r>
      <w:r>
        <w:t xml:space="preserve"> Zugriffsöffnung wählen → </w:t>
      </w:r>
      <w:r>
        <w:rPr>
          <w:b/>
        </w:rPr>
        <w:t>Auswählen</w:t>
      </w:r>
      <w:r>
        <w:t>.</w:t>
      </w:r>
    </w:p>
    <w:p>
      <w:pPr>
        <w:pStyle w:val="ListBullet"/>
      </w:pPr>
      <w:r>
        <w:rPr>
          <w:b/>
        </w:rPr>
        <w:t>Touch, beim Generieren:</w:t>
      </w:r>
      <w:r>
        <w:t xml:space="preserve"> Zielplätze, die in LM044/LM106 angelegt werden, werden </w:t>
      </w:r>
      <w:r>
        <w:rPr>
          <w:b/>
        </w:rPr>
        <w:t>automatisch der aktiven Zugriffsöffnung</w:t>
      </w:r>
      <w:r>
        <w:t xml:space="preserve"> zugeordnet.</w:t>
      </w:r>
    </w:p>
    <w:p>
      <w:pPr>
        <w:pStyle w:val="ListBullet"/>
      </w:pPr>
      <w:r>
        <w:rPr>
          <w:b/>
        </w:rPr>
        <w:t>Touch, nachträglich:</w:t>
      </w:r>
      <w:r>
        <w:t xml:space="preserve"> Wird ein Zielplatz über </w:t>
      </w:r>
      <w:r>
        <w:rPr>
          <w:b/>
        </w:rPr>
        <w:t>LM046 Platzgruppe zuordnen</w:t>
      </w:r>
      <w:r>
        <w:t xml:space="preserve"> einer Gruppe zugeordnet, gilt für ihn die Zugriffsöffnung, die der Gruppe zugeordnet ist. Die Icon-Liste nennt außerdem ein Icon, mit dem „die aktuelle Zugriffsöffnung einer Lagerplatzgruppe zugeordnet“ wird.</w:t>
      </w:r>
    </w:p>
    <w:p>
      <w:pPr>
        <w:pStyle w:val="ListBullet"/>
      </w:pPr>
      <w:r>
        <w:rPr>
          <w:b/>
        </w:rPr>
        <w:t>2.8 mit KBS-Put-to-Light:</w:t>
      </w:r>
      <w:r>
        <w:t xml:space="preserve"> Zielplatzgruppen müssen sowohl den Zugriffsöffnungen als auch den KBS-Pick-Faces zugeordnet sein.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Zuordnung aufheben</w:t>
            </w:r>
          </w:p>
          <w:p>
            <w:pPr>
              <w:spacing w:after="40"/>
            </w:pPr>
            <w:r>
              <w:rPr>
                <w:sz w:val="19"/>
              </w:rPr>
              <w:t>Wie eine Zugriffsöffnung wieder von einer Zielplatzgruppe gelöst wird und ob eine Zugriffsöffnung mehrere Zielplatzgruppen haben darf, ist in 2.7 und 2.8 nicht beschrieben.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FW005 Datensatz auswählen mit markierten Zugriffsöffnungen]</w:t>
            </w:r>
          </w:p>
          <w:p>
            <w:pPr>
              <w:spacing w:after="40"/>
            </w:pPr>
            <w:r>
              <w:rPr>
                <w:sz w:val="19"/>
              </w:rPr>
              <w:t>Mehrfachauswahl zeigen.</w:t>
            </w:r>
          </w:p>
        </w:tc>
      </w:tr>
    </w:tbl>
    <w:p>
      <w:pPr>
        <w:spacing w:after="40"/>
      </w:pPr>
    </w:p>
    <w:p>
      <w:pPr>
        <w:pStyle w:val="Quelle"/>
      </w:pPr>
      <w:r>
        <w:rPr>
          <w:b/>
        </w:rPr>
        <w:t xml:space="preserve">Quelle: </w:t>
      </w:r>
      <w:r>
        <w:rPr>
          <w:sz w:val="17"/>
        </w:rPr>
        <w:t>AH 2.7, Kap. 3.1.12; BH 2.7, Kap. 5.4.1, 5.4.3, Icon-Liste; AH 2.8, Kap. 3.9.2.3.3</w:t>
      </w:r>
    </w:p>
    <w:p>
      <w:pPr>
        <w:pStyle w:val="Heading2"/>
      </w:pPr>
      <w:r>
        <w:t>3.4 Kommissionierwagen als Zielplatzgruppe</w:t>
      </w:r>
    </w:p>
    <w:p>
      <w:r>
        <w:t xml:space="preserve">Kommissionierwägen erlauben mehrere Kommissionieraufträge gleichzeitig, weil sie mehrere Ziel-LE tragen. WAMAS pflegt einen Kommissionierwagen </w:t>
      </w:r>
      <w:r>
        <w:rPr>
          <w:b/>
        </w:rPr>
        <w:t>als Zielplatzgruppe</w:t>
      </w:r>
      <w:r>
        <w:t>; aus Spalten und Reihen werden die Zielplätze berechnet (nur Ganzzahlen).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45"/>
        <w:gridCol w:w="3810"/>
        <w:gridCol w:w="4969"/>
      </w:tblGrid>
      <w:tr>
        <w:trPr>
          <w:tblHeader w:val="true"/>
        </w:trPr>
        <w:tc>
          <w:tcPr>
            <w:tcW w:type="dxa" w:w="745"/>
            <w:shd w:val="clear" w:color="auto" w:fill="FEEE19"/>
          </w:tcPr>
          <w:p>
            <w:pPr>
              <w:spacing w:after="0"/>
            </w:pPr>
            <w:r>
              <w:rPr>
                <w:b/>
                <w:sz w:val="17"/>
              </w:rPr>
              <w:t>Feld</w:t>
            </w:r>
          </w:p>
        </w:tc>
        <w:tc>
          <w:tcPr>
            <w:tcW w:type="dxa" w:w="3810"/>
            <w:shd w:val="clear" w:color="auto" w:fill="FEEE19"/>
          </w:tcPr>
          <w:p>
            <w:pPr>
              <w:spacing w:after="0"/>
            </w:pPr>
            <w:r>
              <w:rPr>
                <w:b/>
                <w:sz w:val="17"/>
              </w:rPr>
              <w:t>LM152 (Desktop)</w:t>
            </w:r>
          </w:p>
        </w:tc>
        <w:tc>
          <w:tcPr>
            <w:tcW w:type="dxa" w:w="4969"/>
            <w:shd w:val="clear" w:color="auto" w:fill="FEEE19"/>
          </w:tcPr>
          <w:p>
            <w:pPr>
              <w:spacing w:after="0"/>
            </w:pPr>
            <w:r>
              <w:rPr>
                <w:b/>
                <w:sz w:val="17"/>
              </w:rPr>
              <w:t>LM153 (Touch)</w:t>
            </w:r>
          </w:p>
        </w:tc>
      </w:tr>
      <w:tr>
        <w:tc>
          <w:tcPr>
            <w:tcW w:type="dxa" w:w="745"/>
          </w:tcPr>
          <w:p>
            <w:pPr>
              <w:spacing w:after="0" w:line="252" w:lineRule="auto"/>
            </w:pPr>
            <w:r>
              <w:rPr>
                <w:sz w:val="17"/>
              </w:rPr>
              <w:t>Name</w:t>
            </w:r>
          </w:p>
        </w:tc>
        <w:tc>
          <w:tcPr>
            <w:tcW w:type="dxa" w:w="3810"/>
          </w:tcPr>
          <w:p>
            <w:pPr>
              <w:spacing w:after="0" w:line="252" w:lineRule="auto"/>
            </w:pPr>
            <w:r>
              <w:rPr>
                <w:rFonts w:ascii="Consolas" w:hAnsi="Consolas" w:cs="Consolas" w:eastAsia="Consolas"/>
                <w:sz w:val="15"/>
              </w:rPr>
              <w:t>Gruppenname</w:t>
            </w:r>
          </w:p>
        </w:tc>
        <w:tc>
          <w:tcPr>
            <w:tcW w:type="dxa" w:w="4969"/>
          </w:tcPr>
          <w:p>
            <w:pPr>
              <w:spacing w:after="0" w:line="252" w:lineRule="auto"/>
            </w:pPr>
            <w:r>
              <w:rPr>
                <w:rFonts w:ascii="Consolas" w:hAnsi="Consolas" w:cs="Consolas" w:eastAsia="Consolas"/>
                <w:sz w:val="15"/>
              </w:rPr>
              <w:t>Kommissionierwagenname</w:t>
            </w:r>
            <w:r>
              <w:rPr>
                <w:sz w:val="17"/>
              </w:rPr>
              <w:t xml:space="preserve"> (eindeutig)</w:t>
            </w:r>
          </w:p>
        </w:tc>
      </w:tr>
      <w:tr>
        <w:tc>
          <w:tcPr>
            <w:tcW w:type="dxa" w:w="745"/>
          </w:tcPr>
          <w:p>
            <w:pPr>
              <w:spacing w:after="0" w:line="252" w:lineRule="auto"/>
            </w:pPr>
            <w:r>
              <w:rPr>
                <w:sz w:val="17"/>
              </w:rPr>
              <w:t>Typ</w:t>
            </w:r>
          </w:p>
        </w:tc>
        <w:tc>
          <w:tcPr>
            <w:tcW w:type="dxa" w:w="3810"/>
          </w:tcPr>
          <w:p>
            <w:pPr>
              <w:spacing w:after="0" w:line="252" w:lineRule="auto"/>
            </w:pPr>
            <w:r>
              <w:rPr>
                <w:rFonts w:ascii="Consolas" w:hAnsi="Consolas" w:cs="Consolas" w:eastAsia="Consolas"/>
                <w:sz w:val="15"/>
              </w:rPr>
              <w:t>Lagerfachträgertyp</w:t>
            </w:r>
            <w:r>
              <w:rPr>
                <w:sz w:val="17"/>
              </w:rPr>
              <w:t xml:space="preserve"> (gepflegt in WH025)</w:t>
            </w:r>
          </w:p>
        </w:tc>
        <w:tc>
          <w:tcPr>
            <w:tcW w:type="dxa" w:w="4969"/>
          </w:tcPr>
          <w:p>
            <w:pPr>
              <w:spacing w:after="0" w:line="252" w:lineRule="auto"/>
            </w:pPr>
            <w:r>
              <w:rPr>
                <w:rFonts w:ascii="Consolas" w:hAnsi="Consolas" w:cs="Consolas" w:eastAsia="Consolas"/>
                <w:sz w:val="15"/>
              </w:rPr>
              <w:t>Lagerfachträgertyp</w:t>
            </w:r>
          </w:p>
        </w:tc>
      </w:tr>
      <w:tr>
        <w:tc>
          <w:tcPr>
            <w:tcW w:type="dxa" w:w="745"/>
          </w:tcPr>
          <w:p>
            <w:pPr>
              <w:spacing w:after="0" w:line="252" w:lineRule="auto"/>
            </w:pPr>
            <w:r>
              <w:rPr>
                <w:sz w:val="17"/>
              </w:rPr>
              <w:t>Raster</w:t>
            </w:r>
          </w:p>
        </w:tc>
        <w:tc>
          <w:tcPr>
            <w:tcW w:type="dxa" w:w="3810"/>
          </w:tcPr>
          <w:p>
            <w:pPr>
              <w:spacing w:after="0" w:line="252" w:lineRule="auto"/>
            </w:pPr>
            <w:r>
              <w:rPr>
                <w:rFonts w:ascii="Consolas" w:hAnsi="Consolas" w:cs="Consolas" w:eastAsia="Consolas"/>
                <w:sz w:val="15"/>
              </w:rPr>
              <w:t>Spalten</w:t>
            </w:r>
            <w:r>
              <w:rPr>
                <w:sz w:val="17"/>
              </w:rPr>
              <w:t xml:space="preserve">, </w:t>
            </w:r>
            <w:r>
              <w:rPr>
                <w:rFonts w:ascii="Consolas" w:hAnsi="Consolas" w:cs="Consolas" w:eastAsia="Consolas"/>
                <w:sz w:val="15"/>
              </w:rPr>
              <w:t>Reihen</w:t>
            </w:r>
          </w:p>
        </w:tc>
        <w:tc>
          <w:tcPr>
            <w:tcW w:type="dxa" w:w="4969"/>
          </w:tcPr>
          <w:p>
            <w:pPr>
              <w:spacing w:after="0" w:line="252" w:lineRule="auto"/>
            </w:pPr>
            <w:r>
              <w:rPr>
                <w:rFonts w:ascii="Consolas" w:hAnsi="Consolas" w:cs="Consolas" w:eastAsia="Consolas"/>
                <w:sz w:val="15"/>
              </w:rPr>
              <w:t>Spalten</w:t>
            </w:r>
            <w:r>
              <w:rPr>
                <w:sz w:val="17"/>
              </w:rPr>
              <w:t xml:space="preserve">, </w:t>
            </w:r>
            <w:r>
              <w:rPr>
                <w:rFonts w:ascii="Consolas" w:hAnsi="Consolas" w:cs="Consolas" w:eastAsia="Consolas"/>
                <w:sz w:val="15"/>
              </w:rPr>
              <w:t>Ebenen</w:t>
            </w:r>
          </w:p>
        </w:tc>
      </w:tr>
      <w:tr>
        <w:tc>
          <w:tcPr>
            <w:tcW w:type="dxa" w:w="745"/>
          </w:tcPr>
          <w:p>
            <w:pPr>
              <w:spacing w:after="0" w:line="252" w:lineRule="auto"/>
            </w:pPr>
            <w:r>
              <w:rPr>
                <w:sz w:val="17"/>
              </w:rPr>
              <w:t>Maße</w:t>
            </w:r>
          </w:p>
        </w:tc>
        <w:tc>
          <w:tcPr>
            <w:tcW w:type="dxa" w:w="3810"/>
          </w:tcPr>
          <w:p>
            <w:pPr>
              <w:spacing w:after="0" w:line="252" w:lineRule="auto"/>
            </w:pPr>
            <w:r>
              <w:rPr>
                <w:rFonts w:ascii="Consolas" w:hAnsi="Consolas" w:cs="Consolas" w:eastAsia="Consolas"/>
                <w:sz w:val="15"/>
              </w:rPr>
              <w:t>LP-Tiefe (X)</w:t>
            </w:r>
            <w:r>
              <w:rPr>
                <w:sz w:val="17"/>
              </w:rPr>
              <w:t xml:space="preserve">, </w:t>
            </w:r>
            <w:r>
              <w:rPr>
                <w:rFonts w:ascii="Consolas" w:hAnsi="Consolas" w:cs="Consolas" w:eastAsia="Consolas"/>
                <w:sz w:val="15"/>
              </w:rPr>
              <w:t>LP-Breite (Y)</w:t>
            </w:r>
            <w:r>
              <w:rPr>
                <w:sz w:val="17"/>
              </w:rPr>
              <w:t xml:space="preserve">, </w:t>
            </w:r>
            <w:r>
              <w:rPr>
                <w:rFonts w:ascii="Consolas" w:hAnsi="Consolas" w:cs="Consolas" w:eastAsia="Consolas"/>
                <w:sz w:val="15"/>
              </w:rPr>
              <w:t>LP-Höhe (Z)</w:t>
            </w:r>
          </w:p>
        </w:tc>
        <w:tc>
          <w:tcPr>
            <w:tcW w:type="dxa" w:w="4969"/>
          </w:tcPr>
          <w:p>
            <w:pPr>
              <w:spacing w:after="0" w:line="252" w:lineRule="auto"/>
            </w:pPr>
            <w:r>
              <w:rPr>
                <w:sz w:val="17"/>
              </w:rPr>
              <w:t>Länge, Breite, Höhe</w:t>
            </w:r>
          </w:p>
        </w:tc>
      </w:tr>
      <w:tr>
        <w:tc>
          <w:tcPr>
            <w:tcW w:type="dxa" w:w="745"/>
          </w:tcPr>
          <w:p>
            <w:pPr>
              <w:spacing w:after="0" w:line="252" w:lineRule="auto"/>
            </w:pPr>
            <w:r>
              <w:rPr>
                <w:sz w:val="17"/>
              </w:rPr>
              <w:t>Abschluss</w:t>
            </w:r>
          </w:p>
        </w:tc>
        <w:tc>
          <w:tcPr>
            <w:tcW w:type="dxa" w:w="3810"/>
          </w:tcPr>
          <w:p>
            <w:pPr>
              <w:spacing w:after="0" w:line="252" w:lineRule="auto"/>
            </w:pPr>
            <w:r>
              <w:rPr>
                <w:sz w:val="17"/>
              </w:rPr>
              <w:t xml:space="preserve">Button </w:t>
            </w:r>
            <w:r>
              <w:rPr>
                <w:b/>
                <w:sz w:val="17"/>
              </w:rPr>
              <w:t>Kommissionierwagen anlegen</w:t>
            </w:r>
          </w:p>
        </w:tc>
        <w:tc>
          <w:tcPr>
            <w:tcW w:type="dxa" w:w="4969"/>
          </w:tcPr>
          <w:p>
            <w:pPr>
              <w:spacing w:after="0" w:line="252" w:lineRule="auto"/>
            </w:pPr>
            <w:r>
              <w:rPr>
                <w:sz w:val="17"/>
              </w:rPr>
              <w:t xml:space="preserve">Icon </w:t>
            </w:r>
            <w:r>
              <w:rPr>
                <w:b/>
                <w:sz w:val="17"/>
              </w:rPr>
              <w:t>Generieren</w:t>
            </w:r>
            <w:r>
              <w:rPr>
                <w:sz w:val="17"/>
              </w:rPr>
              <w:t xml:space="preserve">, danach </w:t>
            </w:r>
            <w:r>
              <w:rPr>
                <w:b/>
                <w:sz w:val="17"/>
              </w:rPr>
              <w:t>Kommissionierwagen freigeben</w:t>
            </w:r>
          </w:p>
        </w:tc>
      </w:tr>
    </w:tbl>
    <w:p>
      <w:pPr>
        <w:pStyle w:val="BeschriftungSSI"/>
      </w:pPr>
      <w:r>
        <w:t>Tab. 7: Kommissionierwagen anlegen</w:t>
      </w:r>
    </w:p>
    <w:p>
      <w:r>
        <w:t>Der Lagerfachträgertyp bestimmt, welche Ladehilfsmittel auf den Wagenplätzen stehen dürfen.</w:t>
      </w:r>
    </w:p>
    <w:p>
      <w:pPr>
        <w:pStyle w:val="Quelle"/>
      </w:pPr>
      <w:r>
        <w:rPr>
          <w:b/>
        </w:rPr>
        <w:t xml:space="preserve">Quelle: </w:t>
      </w:r>
      <w:r>
        <w:rPr>
          <w:sz w:val="17"/>
        </w:rPr>
        <w:t>AH 2.7, Kap. 3.1.17, 3.4.2; BH 2.7, Kap. 5.5.1</w:t>
      </w:r>
    </w:p>
    <w:p>
      <w:pPr>
        <w:pStyle w:val="Heading2"/>
      </w:pPr>
      <w:r>
        <w:t>3.5 Ziel-LE, externe LE und Kommissionier-Plan-LE</w:t>
      </w:r>
    </w:p>
    <w:p>
      <w:pPr>
        <w:pStyle w:val="ListBullet"/>
      </w:pPr>
      <w:r>
        <w:rPr>
          <w:b/>
        </w:rPr>
        <w:t>Externe LE</w:t>
      </w:r>
      <w:r>
        <w:t xml:space="preserve"> sind Versand-LE oder avisierte LE, die automatisch angelegt werden, sobald ein Kommissionierbedarf geplant wird. In </w:t>
      </w:r>
      <w:r>
        <w:rPr>
          <w:b/>
        </w:rPr>
        <w:t>LM045</w:t>
      </w:r>
      <w:r>
        <w:t xml:space="preserve"> kann der Benutzer ihnen eine LE-ID zuordnen (</w:t>
      </w:r>
      <w:r>
        <w:rPr>
          <w:b/>
        </w:rPr>
        <w:t>Scannen</w:t>
      </w:r>
      <w:r>
        <w:t>), Etiketten drucken (</w:t>
      </w:r>
      <w:r>
        <w:rPr>
          <w:b/>
        </w:rPr>
        <w:t>Drucken</w:t>
      </w:r>
      <w:r>
        <w:t>) und sie für Rücklagerung oder Auslagerung kennzeichnen.</w:t>
      </w:r>
    </w:p>
    <w:p>
      <w:pPr>
        <w:pStyle w:val="ListBullet"/>
      </w:pPr>
      <w:r>
        <w:rPr>
          <w:b/>
        </w:rPr>
        <w:t>Kommissionier-Plan-LE:</w:t>
      </w:r>
      <w:r>
        <w:t xml:space="preserve"> Beim Anlegen eines Kommissionierbedarfs am Desktop entsteht eine Plan-LE in </w:t>
      </w:r>
      <w:r>
        <w:rPr>
          <w:b/>
        </w:rPr>
        <w:t>LM074</w:t>
      </w:r>
      <w:r>
        <w:t>. Nicht ganzzahlige Mengeneinheiten werden bei der WA-Planung nicht geteilt; passen sie nicht als Ganzes auf eine Plan-LE, wird eine neue Plan-LE vorgesehen.</w:t>
      </w:r>
    </w:p>
    <w:p>
      <w:pPr>
        <w:pStyle w:val="ListBullet"/>
      </w:pPr>
      <w:r>
        <w:rPr>
          <w:b/>
        </w:rPr>
        <w:t>Herkunft der LE-ID:</w:t>
      </w:r>
      <w:r>
        <w:t xml:space="preserve"> </w:t>
      </w:r>
      <w:r>
        <w:rPr>
          <w:rFonts w:ascii="Consolas" w:hAnsi="Consolas" w:cs="Consolas" w:eastAsia="Consolas"/>
          <w:sz w:val="18"/>
        </w:rPr>
        <w:t>logimat.picking.externalluid.generate</w:t>
      </w:r>
      <w:r>
        <w:t xml:space="preserve"> = </w:t>
      </w:r>
      <w:r>
        <w:rPr>
          <w:rFonts w:ascii="Consolas" w:hAnsi="Consolas" w:cs="Consolas" w:eastAsia="Consolas"/>
          <w:sz w:val="18"/>
        </w:rPr>
        <w:t>true</w:t>
      </w:r>
      <w:r>
        <w:t xml:space="preserve"> → WAMAS erzeugt immer eine neue LE-ID; </w:t>
      </w:r>
      <w:r>
        <w:rPr>
          <w:rFonts w:ascii="Consolas" w:hAnsi="Consolas" w:cs="Consolas" w:eastAsia="Consolas"/>
          <w:sz w:val="18"/>
        </w:rPr>
        <w:t>false</w:t>
      </w:r>
      <w:r>
        <w:t xml:space="preserve"> → eine von einem externen System angelegte LE-ID (z. B. Palette) wird wiederverwendet. Die Schulung nennt die Plan-LE </w:t>
      </w:r>
      <w:r>
        <w:rPr>
          <w:b/>
        </w:rPr>
        <w:t>PPLU</w:t>
      </w:r>
      <w:r>
        <w:t xml:space="preserve"> („Create ID for PPLU automatically“).</w:t>
      </w:r>
    </w:p>
    <w:p>
      <w:pPr>
        <w:pStyle w:val="ListBullet"/>
      </w:pPr>
      <w:r>
        <w:rPr>
          <w:b/>
        </w:rPr>
        <w:t>2.8:</w:t>
      </w:r>
      <w:r>
        <w:t xml:space="preserve"> Bei Mehrauftragskommissionierung oder Put to Light gibt der Benutzer </w:t>
      </w:r>
      <w:r>
        <w:rPr>
          <w:b/>
        </w:rPr>
        <w:t>vor</w:t>
      </w:r>
      <w:r>
        <w:t xml:space="preserve"> dem Start die externe LE-ID und den Zielplatz ein (</w:t>
      </w:r>
      <w:r>
        <w:rPr>
          <w:b/>
        </w:rPr>
        <w:t>LM164 Release Picking Demand</w:t>
      </w:r>
      <w:r>
        <w:t xml:space="preserve">). Die externe LE-ID lässt sich nach der Freigabe ändern: Touch </w:t>
      </w:r>
      <w:r>
        <w:rPr>
          <w:b/>
        </w:rPr>
        <w:t>LM045 → Edit External LU-ID (LM108)</w:t>
      </w:r>
      <w:r>
        <w:t xml:space="preserve">, Desktop </w:t>
      </w:r>
      <w:r>
        <w:rPr>
          <w:b/>
        </w:rPr>
        <w:t>LM071 → LM165</w:t>
      </w:r>
      <w:r>
        <w:t xml:space="preserve">. Das ERP kann sie in </w:t>
      </w:r>
      <w:r>
        <w:rPr>
          <w:rFonts w:ascii="Consolas" w:hAnsi="Consolas" w:cs="Consolas" w:eastAsia="Consolas"/>
          <w:sz w:val="18"/>
        </w:rPr>
        <w:t>WLSPD003</w:t>
      </w:r>
      <w:r>
        <w:t xml:space="preserve"> im Feld </w:t>
      </w:r>
      <w:r>
        <w:rPr>
          <w:rFonts w:ascii="Consolas" w:hAnsi="Consolas" w:cs="Consolas" w:eastAsia="Consolas"/>
          <w:sz w:val="18"/>
        </w:rPr>
        <w:t>extLuId</w:t>
      </w:r>
      <w:r>
        <w:t xml:space="preserve"> mitsenden.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LM045 Ziel-Ladeeinheiten nach „Suche“]</w:t>
            </w:r>
          </w:p>
          <w:p>
            <w:pPr>
              <w:spacing w:after="40"/>
            </w:pPr>
            <w:r>
              <w:rPr>
                <w:sz w:val="19"/>
              </w:rPr>
              <w:t xml:space="preserve">Liste der externen LE mit den Icons </w:t>
            </w:r>
            <w:r>
              <w:rPr>
                <w:b/>
                <w:sz w:val="19"/>
              </w:rPr>
              <w:t>Scannen</w:t>
            </w:r>
            <w:r>
              <w:rPr>
                <w:sz w:val="19"/>
              </w:rPr>
              <w:t xml:space="preserve">, </w:t>
            </w:r>
            <w:r>
              <w:rPr>
                <w:b/>
                <w:sz w:val="19"/>
              </w:rPr>
              <w:t>Drucken</w:t>
            </w:r>
            <w:r>
              <w:rPr>
                <w:sz w:val="19"/>
              </w:rPr>
              <w:t xml:space="preserve">, </w:t>
            </w:r>
            <w:r>
              <w:rPr>
                <w:b/>
                <w:sz w:val="19"/>
              </w:rPr>
              <w:t>LE für Rücklagerung kennzeichnen</w:t>
            </w:r>
            <w:r>
              <w:rPr>
                <w:sz w:val="19"/>
              </w:rPr>
              <w:t xml:space="preserve">, </w:t>
            </w:r>
            <w:r>
              <w:rPr>
                <w:b/>
                <w:sz w:val="19"/>
              </w:rPr>
              <w:t>LE für Auslagerung kennzeichnen</w:t>
            </w:r>
            <w:r>
              <w:rPr>
                <w:sz w:val="19"/>
              </w:rPr>
              <w: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LM074 Übersicht Kommissionier-Plan-Ladeeinheiten]</w:t>
            </w:r>
          </w:p>
          <w:p>
            <w:pPr>
              <w:spacing w:after="40"/>
            </w:pPr>
            <w:r>
              <w:rPr>
                <w:sz w:val="19"/>
              </w:rPr>
              <w:t>Eine Plan-LE zu einem freigegebenen Bedarf, möglichst mit Bezug zu LE-ID und Zielplatz.</w:t>
            </w:r>
          </w:p>
        </w:tc>
      </w:tr>
    </w:tbl>
    <w:p>
      <w:pPr>
        <w:spacing w:after="40"/>
      </w:pPr>
    </w:p>
    <w:p>
      <w:pPr>
        <w:pStyle w:val="Quelle"/>
      </w:pPr>
      <w:r>
        <w:rPr>
          <w:b/>
        </w:rPr>
        <w:t xml:space="preserve">Quelle: </w:t>
      </w:r>
      <w:r>
        <w:rPr>
          <w:sz w:val="17"/>
        </w:rPr>
        <w:t>BH 2.7, Kap. 6.2.2.1.2, 6.7.1; AH 2.7, Kap. 3.6.1.6, 3.11.2; BH 2.8, Kap. 6.2.2.2.2, 6.2.5.3; SH ERP 2.8, Kap. 7.1.2.1; SCH, „Global parameters – Demand parameters“</w:t>
      </w:r>
    </w:p>
    <w:p>
      <w:pPr>
        <w:pStyle w:val="Heading1"/>
      </w:pPr>
      <w:r>
        <w:t>4 Ablauf am Arbeitsplatz</w:t>
      </w:r>
    </w:p>
    <w:p>
      <w:pPr>
        <w:pStyle w:val="Heading2"/>
      </w:pPr>
      <w:r>
        <w:t>4.1 Gesamtablauf</w:t>
      </w:r>
    </w:p>
    <w:p>
      <w:r>
        <w:t>Abb. 2 zeigt den Lebenszyklus in drei Phasen: Aufbau (einmalig), Betrieb (je Kommissionierbedarf) und Abbau.</w:t>
      </w:r>
    </w:p>
    <w:p>
      <w:pPr>
        <w:keepNext/>
      </w:pPr>
      <w:r>
        <w:drawing>
          <wp:inline xmlns:a="http://schemas.openxmlformats.org/drawingml/2006/main" xmlns:pic="http://schemas.openxmlformats.org/drawingml/2006/picture">
            <wp:extent cx="5940000" cy="3943297"/>
            <wp:docPr id="105" name="Picture 105"/>
            <wp:cNvGraphicFramePr>
              <a:graphicFrameLocks noChangeAspect="1"/>
            </wp:cNvGraphicFramePr>
            <a:graphic>
              <a:graphicData uri="http://schemas.openxmlformats.org/drawingml/2006/picture">
                <pic:pic>
                  <pic:nvPicPr>
                    <pic:cNvPr id="0" name="abb_prozess_zielplatz.png"/>
                    <pic:cNvPicPr/>
                  </pic:nvPicPr>
                  <pic:blipFill>
                    <a:blip r:embed="rId15"/>
                    <a:stretch>
                      <a:fillRect/>
                    </a:stretch>
                  </pic:blipFill>
                  <pic:spPr>
                    <a:xfrm>
                      <a:off x="0" y="0"/>
                      <a:ext cx="5940000" cy="3943297"/>
                    </a:xfrm>
                    <a:prstGeom prst="rect"/>
                  </pic:spPr>
                </pic:pic>
              </a:graphicData>
            </a:graphic>
          </wp:inline>
        </w:drawing>
      </w:r>
    </w:p>
    <w:p>
      <w:pPr>
        <w:pStyle w:val="BeschriftungSSI"/>
      </w:pPr>
      <w:r>
        <w:t>Abb. 2: Lebenszyklus eines Zielplatzes – Aufbau, Betrieb, Abbau</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57"/>
        <w:gridCol w:w="3572"/>
        <w:gridCol w:w="3572"/>
        <w:gridCol w:w="2024"/>
      </w:tblGrid>
      <w:tr>
        <w:trPr>
          <w:tblHeader w:val="true"/>
        </w:trPr>
        <w:tc>
          <w:tcPr>
            <w:tcW w:type="dxa" w:w="357"/>
            <w:shd w:val="clear" w:color="auto" w:fill="FEEE19"/>
          </w:tcPr>
          <w:p>
            <w:pPr>
              <w:spacing w:after="0"/>
            </w:pPr>
            <w:r>
              <w:rPr>
                <w:b/>
                <w:sz w:val="17"/>
              </w:rPr>
              <w:t>Nr.</w:t>
            </w:r>
          </w:p>
        </w:tc>
        <w:tc>
          <w:tcPr>
            <w:tcW w:type="dxa" w:w="3572"/>
            <w:shd w:val="clear" w:color="auto" w:fill="FEEE19"/>
          </w:tcPr>
          <w:p>
            <w:pPr>
              <w:spacing w:after="0"/>
            </w:pPr>
            <w:r>
              <w:rPr>
                <w:b/>
                <w:sz w:val="17"/>
              </w:rPr>
              <w:t>Was passiert</w:t>
            </w:r>
          </w:p>
        </w:tc>
        <w:tc>
          <w:tcPr>
            <w:tcW w:type="dxa" w:w="3572"/>
            <w:shd w:val="clear" w:color="auto" w:fill="FEEE19"/>
          </w:tcPr>
          <w:p>
            <w:pPr>
              <w:spacing w:after="0"/>
            </w:pPr>
            <w:r>
              <w:rPr>
                <w:b/>
                <w:sz w:val="17"/>
              </w:rPr>
              <w:t>Dialog / Einstellung</w:t>
            </w:r>
          </w:p>
        </w:tc>
        <w:tc>
          <w:tcPr>
            <w:tcW w:type="dxa" w:w="2024"/>
            <w:shd w:val="clear" w:color="auto" w:fill="FEEE19"/>
          </w:tcPr>
          <w:p>
            <w:pPr>
              <w:spacing w:after="0"/>
            </w:pPr>
            <w:r>
              <w:rPr>
                <w:b/>
                <w:sz w:val="17"/>
              </w:rPr>
              <w:t>Quelle</w:t>
            </w:r>
          </w:p>
        </w:tc>
      </w:tr>
      <w:tr>
        <w:tc>
          <w:tcPr>
            <w:tcW w:type="dxa" w:w="357"/>
          </w:tcPr>
          <w:p>
            <w:pPr>
              <w:spacing w:after="0" w:line="252" w:lineRule="auto"/>
            </w:pPr>
            <w:r>
              <w:rPr>
                <w:sz w:val="17"/>
              </w:rPr>
              <w:t>A</w:t>
            </w:r>
          </w:p>
        </w:tc>
        <w:tc>
          <w:tcPr>
            <w:tcW w:type="dxa" w:w="3572"/>
          </w:tcPr>
          <w:p>
            <w:pPr>
              <w:spacing w:after="0" w:line="252" w:lineRule="auto"/>
            </w:pPr>
            <w:r>
              <w:rPr>
                <w:sz w:val="17"/>
              </w:rPr>
              <w:t>Kommissionierbedarf kommt per Schnittstelle oder wird angelegt; Plan-LE entsteht</w:t>
            </w:r>
          </w:p>
        </w:tc>
        <w:tc>
          <w:tcPr>
            <w:tcW w:type="dxa" w:w="3572"/>
          </w:tcPr>
          <w:p>
            <w:pPr>
              <w:spacing w:after="0" w:line="252" w:lineRule="auto"/>
            </w:pPr>
            <w:r>
              <w:rPr>
                <w:rFonts w:ascii="Consolas" w:hAnsi="Consolas" w:cs="Consolas" w:eastAsia="Consolas"/>
                <w:sz w:val="15"/>
              </w:rPr>
              <w:t>WLSPD002</w:t>
            </w:r>
            <w:r>
              <w:rPr>
                <w:sz w:val="17"/>
              </w:rPr>
              <w:t>, LM087 (Touch), Desktop; LM074</w:t>
            </w:r>
          </w:p>
        </w:tc>
        <w:tc>
          <w:tcPr>
            <w:tcW w:type="dxa" w:w="2024"/>
          </w:tcPr>
          <w:p>
            <w:pPr>
              <w:spacing w:after="0" w:line="252" w:lineRule="auto"/>
            </w:pPr>
            <w:r>
              <w:rPr>
                <w:sz w:val="17"/>
              </w:rPr>
              <w:t>BH 2.7, 6.2.2.1</w:t>
            </w:r>
          </w:p>
        </w:tc>
      </w:tr>
      <w:tr>
        <w:tc>
          <w:tcPr>
            <w:tcW w:type="dxa" w:w="357"/>
          </w:tcPr>
          <w:p>
            <w:pPr>
              <w:spacing w:after="0" w:line="252" w:lineRule="auto"/>
            </w:pPr>
            <w:r>
              <w:rPr>
                <w:sz w:val="17"/>
              </w:rPr>
              <w:t>B</w:t>
            </w:r>
          </w:p>
        </w:tc>
        <w:tc>
          <w:tcPr>
            <w:tcW w:type="dxa" w:w="3572"/>
          </w:tcPr>
          <w:p>
            <w:pPr>
              <w:spacing w:after="0" w:line="252" w:lineRule="auto"/>
            </w:pPr>
            <w:r>
              <w:rPr>
                <w:sz w:val="17"/>
              </w:rPr>
              <w:t>Freigabe; in 2.8 bei PTL/Mehrauftrag Eingabe externe LE-ID + Zielplatz</w:t>
            </w:r>
          </w:p>
        </w:tc>
        <w:tc>
          <w:tcPr>
            <w:tcW w:type="dxa" w:w="3572"/>
          </w:tcPr>
          <w:p>
            <w:pPr>
              <w:spacing w:after="0" w:line="252" w:lineRule="auto"/>
            </w:pPr>
            <w:r>
              <w:rPr>
                <w:sz w:val="17"/>
              </w:rPr>
              <w:t xml:space="preserve">LM071 / LM040 </w:t>
            </w:r>
            <w:r>
              <w:rPr>
                <w:b/>
                <w:sz w:val="17"/>
              </w:rPr>
              <w:t>Freigeben</w:t>
            </w:r>
            <w:r>
              <w:rPr>
                <w:sz w:val="17"/>
              </w:rPr>
              <w:t>; 2.8 LM164</w:t>
            </w:r>
          </w:p>
        </w:tc>
        <w:tc>
          <w:tcPr>
            <w:tcW w:type="dxa" w:w="2024"/>
          </w:tcPr>
          <w:p>
            <w:pPr>
              <w:spacing w:after="0" w:line="252" w:lineRule="auto"/>
            </w:pPr>
            <w:r>
              <w:rPr>
                <w:sz w:val="17"/>
              </w:rPr>
              <w:t>BH 2.7, 6.2.2.2; BH 2.8, 6.2.2.2.2</w:t>
            </w:r>
          </w:p>
        </w:tc>
      </w:tr>
      <w:tr>
        <w:tc>
          <w:tcPr>
            <w:tcW w:type="dxa" w:w="357"/>
          </w:tcPr>
          <w:p>
            <w:pPr>
              <w:spacing w:after="0" w:line="252" w:lineRule="auto"/>
            </w:pPr>
            <w:r>
              <w:rPr>
                <w:sz w:val="17"/>
              </w:rPr>
              <w:t>C</w:t>
            </w:r>
          </w:p>
        </w:tc>
        <w:tc>
          <w:tcPr>
            <w:tcW w:type="dxa" w:w="3572"/>
          </w:tcPr>
          <w:p>
            <w:pPr>
              <w:spacing w:after="0" w:line="252" w:lineRule="auto"/>
            </w:pPr>
            <w:r>
              <w:rPr>
                <w:sz w:val="17"/>
              </w:rPr>
              <w:t>Aktivierung; Zielplatz wird bei manueller Aktivierung automatisch gewählt, wenn eingestellt; Aktivierung ggf. durch freie Plätze begrenzt</w:t>
            </w:r>
          </w:p>
        </w:tc>
        <w:tc>
          <w:tcPr>
            <w:tcW w:type="dxa" w:w="3572"/>
          </w:tcPr>
          <w:p>
            <w:pPr>
              <w:spacing w:after="0" w:line="252" w:lineRule="auto"/>
            </w:pPr>
            <w:r>
              <w:rPr>
                <w:sz w:val="17"/>
              </w:rPr>
              <w:t xml:space="preserve">MD017 </w:t>
            </w:r>
            <w:r>
              <w:rPr>
                <w:b/>
                <w:sz w:val="17"/>
              </w:rPr>
              <w:t>Zielplatz automatisch auswählen</w:t>
            </w:r>
            <w:r>
              <w:rPr>
                <w:sz w:val="17"/>
              </w:rPr>
              <w:t xml:space="preserve">, </w:t>
            </w:r>
            <w:r>
              <w:rPr>
                <w:b/>
                <w:sz w:val="17"/>
              </w:rPr>
              <w:t>Bedarfsaktivierung durch freien, externen Lagerplatz begrenzen</w:t>
            </w:r>
            <w:r>
              <w:rPr>
                <w:sz w:val="17"/>
              </w:rPr>
              <w:t>; LM088 Reihenfolge</w:t>
            </w:r>
          </w:p>
        </w:tc>
        <w:tc>
          <w:tcPr>
            <w:tcW w:type="dxa" w:w="2024"/>
          </w:tcPr>
          <w:p>
            <w:pPr>
              <w:spacing w:after="0" w:line="252" w:lineRule="auto"/>
            </w:pPr>
            <w:r>
              <w:rPr>
                <w:sz w:val="17"/>
              </w:rPr>
              <w:t>AH 2.7, 3.1.11.1, 3.6.1.10</w:t>
            </w:r>
          </w:p>
        </w:tc>
      </w:tr>
      <w:tr>
        <w:tc>
          <w:tcPr>
            <w:tcW w:type="dxa" w:w="357"/>
          </w:tcPr>
          <w:p>
            <w:pPr>
              <w:spacing w:after="0" w:line="252" w:lineRule="auto"/>
            </w:pPr>
            <w:r>
              <w:rPr>
                <w:sz w:val="17"/>
              </w:rPr>
              <w:t>D</w:t>
            </w:r>
          </w:p>
        </w:tc>
        <w:tc>
          <w:tcPr>
            <w:tcW w:type="dxa" w:w="3572"/>
          </w:tcPr>
          <w:p>
            <w:pPr>
              <w:spacing w:after="0" w:line="252" w:lineRule="auto"/>
            </w:pPr>
            <w:r>
              <w:rPr>
                <w:sz w:val="17"/>
              </w:rPr>
              <w:t>Ziel-LE-ID entsteht oder wird zugeordnet; Etikett</w:t>
            </w:r>
          </w:p>
        </w:tc>
        <w:tc>
          <w:tcPr>
            <w:tcW w:type="dxa" w:w="3572"/>
          </w:tcPr>
          <w:p>
            <w:pPr>
              <w:spacing w:after="0" w:line="252" w:lineRule="auto"/>
            </w:pPr>
            <w:r>
              <w:rPr>
                <w:rFonts w:ascii="Consolas" w:hAnsi="Consolas" w:cs="Consolas" w:eastAsia="Consolas"/>
                <w:sz w:val="15"/>
              </w:rPr>
              <w:t>externalluid.generate</w:t>
            </w:r>
            <w:r>
              <w:rPr>
                <w:sz w:val="17"/>
              </w:rPr>
              <w:t xml:space="preserve">, </w:t>
            </w:r>
            <w:r>
              <w:rPr>
                <w:rFonts w:ascii="Consolas" w:hAnsi="Consolas" w:cs="Consolas" w:eastAsia="Consolas"/>
                <w:sz w:val="15"/>
              </w:rPr>
              <w:t>externalluid.print</w:t>
            </w:r>
            <w:r>
              <w:rPr>
                <w:sz w:val="17"/>
              </w:rPr>
              <w:t>; LM045</w:t>
            </w:r>
          </w:p>
        </w:tc>
        <w:tc>
          <w:tcPr>
            <w:tcW w:type="dxa" w:w="2024"/>
          </w:tcPr>
          <w:p>
            <w:pPr>
              <w:spacing w:after="0" w:line="252" w:lineRule="auto"/>
            </w:pPr>
            <w:r>
              <w:rPr>
                <w:sz w:val="17"/>
              </w:rPr>
              <w:t>AH 2.7, 3.11.2; BH 2.7, 6.7.1</w:t>
            </w:r>
          </w:p>
        </w:tc>
      </w:tr>
      <w:tr>
        <w:tc>
          <w:tcPr>
            <w:tcW w:type="dxa" w:w="357"/>
          </w:tcPr>
          <w:p>
            <w:pPr>
              <w:spacing w:after="0" w:line="252" w:lineRule="auto"/>
            </w:pPr>
            <w:r>
              <w:rPr>
                <w:sz w:val="17"/>
              </w:rPr>
              <w:t>E</w:t>
            </w:r>
          </w:p>
        </w:tc>
        <w:tc>
          <w:tcPr>
            <w:tcW w:type="dxa" w:w="3572"/>
          </w:tcPr>
          <w:p>
            <w:pPr>
              <w:spacing w:after="0" w:line="252" w:lineRule="auto"/>
            </w:pPr>
            <w:r>
              <w:rPr>
                <w:sz w:val="17"/>
              </w:rPr>
              <w:t>Ziel-LE wird beim Scannen auf den Platz gebucht bzw. manuell gebucht</w:t>
            </w:r>
          </w:p>
        </w:tc>
        <w:tc>
          <w:tcPr>
            <w:tcW w:type="dxa" w:w="3572"/>
          </w:tcPr>
          <w:p>
            <w:pPr>
              <w:spacing w:after="0" w:line="252" w:lineRule="auto"/>
            </w:pPr>
            <w:r>
              <w:rPr>
                <w:rFonts w:ascii="Consolas" w:hAnsi="Consolas" w:cs="Consolas" w:eastAsia="Consolas"/>
                <w:sz w:val="15"/>
              </w:rPr>
              <w:t>askBookLuOnExternalLocation</w:t>
            </w:r>
            <w:r>
              <w:rPr>
                <w:sz w:val="17"/>
              </w:rPr>
              <w:t>; LM044 → LM107</w:t>
            </w:r>
          </w:p>
        </w:tc>
        <w:tc>
          <w:tcPr>
            <w:tcW w:type="dxa" w:w="2024"/>
          </w:tcPr>
          <w:p>
            <w:pPr>
              <w:spacing w:after="0" w:line="252" w:lineRule="auto"/>
            </w:pPr>
            <w:r>
              <w:rPr>
                <w:sz w:val="17"/>
              </w:rPr>
              <w:t>AH 2.7, 3.11.2; BH 2.7, 5.4.5</w:t>
            </w:r>
          </w:p>
        </w:tc>
      </w:tr>
      <w:tr>
        <w:tc>
          <w:tcPr>
            <w:tcW w:type="dxa" w:w="357"/>
          </w:tcPr>
          <w:p>
            <w:pPr>
              <w:spacing w:after="0" w:line="252" w:lineRule="auto"/>
            </w:pPr>
            <w:r>
              <w:rPr>
                <w:sz w:val="17"/>
              </w:rPr>
              <w:t>F</w:t>
            </w:r>
          </w:p>
        </w:tc>
        <w:tc>
          <w:tcPr>
            <w:tcW w:type="dxa" w:w="3572"/>
          </w:tcPr>
          <w:p>
            <w:pPr>
              <w:spacing w:after="0" w:line="252" w:lineRule="auto"/>
            </w:pPr>
            <w:r>
              <w:rPr>
                <w:sz w:val="17"/>
              </w:rPr>
              <w:t>Tablar kommt an die Zugriffsöffnung, Pick in LM002; mit PTL zeigt das System Menge und Zielplatz</w:t>
            </w:r>
          </w:p>
        </w:tc>
        <w:tc>
          <w:tcPr>
            <w:tcW w:type="dxa" w:w="3572"/>
          </w:tcPr>
          <w:p>
            <w:pPr>
              <w:spacing w:after="0" w:line="252" w:lineRule="auto"/>
            </w:pPr>
            <w:r>
              <w:rPr>
                <w:sz w:val="17"/>
              </w:rPr>
              <w:t>LM002; IH 2.7, Kap. 6.6</w:t>
            </w:r>
          </w:p>
        </w:tc>
        <w:tc>
          <w:tcPr>
            <w:tcW w:type="dxa" w:w="2024"/>
          </w:tcPr>
          <w:p>
            <w:pPr>
              <w:spacing w:after="0" w:line="252" w:lineRule="auto"/>
            </w:pPr>
            <w:r>
              <w:rPr>
                <w:sz w:val="17"/>
              </w:rPr>
              <w:t>BH 2.7, 6.2.4.2</w:t>
            </w:r>
          </w:p>
        </w:tc>
      </w:tr>
      <w:tr>
        <w:tc>
          <w:tcPr>
            <w:tcW w:type="dxa" w:w="357"/>
          </w:tcPr>
          <w:p>
            <w:pPr>
              <w:spacing w:after="0" w:line="252" w:lineRule="auto"/>
            </w:pPr>
            <w:r>
              <w:rPr>
                <w:sz w:val="17"/>
              </w:rPr>
              <w:t>G</w:t>
            </w:r>
          </w:p>
        </w:tc>
        <w:tc>
          <w:tcPr>
            <w:tcW w:type="dxa" w:w="3572"/>
          </w:tcPr>
          <w:p>
            <w:pPr>
              <w:spacing w:after="0" w:line="252" w:lineRule="auto"/>
            </w:pPr>
            <w:r>
              <w:rPr>
                <w:sz w:val="17"/>
              </w:rPr>
              <w:t>Ziel-LE voll bzw. Plan-LE fertig; Quittierung</w:t>
            </w:r>
          </w:p>
        </w:tc>
        <w:tc>
          <w:tcPr>
            <w:tcW w:type="dxa" w:w="3572"/>
          </w:tcPr>
          <w:p>
            <w:pPr>
              <w:spacing w:after="0" w:line="252" w:lineRule="auto"/>
            </w:pPr>
            <w:r>
              <w:rPr>
                <w:sz w:val="17"/>
              </w:rPr>
              <w:t xml:space="preserve">Kommissionierquittierungsmodus </w:t>
            </w:r>
            <w:r>
              <w:rPr>
                <w:b/>
                <w:sz w:val="17"/>
              </w:rPr>
              <w:t>Wenn Ziel voll</w:t>
            </w:r>
          </w:p>
        </w:tc>
        <w:tc>
          <w:tcPr>
            <w:tcW w:type="dxa" w:w="2024"/>
          </w:tcPr>
          <w:p>
            <w:pPr>
              <w:spacing w:after="0" w:line="252" w:lineRule="auto"/>
            </w:pPr>
            <w:r>
              <w:rPr>
                <w:sz w:val="17"/>
              </w:rPr>
              <w:t>AH 2.7, 3.5.1.6.1</w:t>
            </w:r>
          </w:p>
        </w:tc>
      </w:tr>
      <w:tr>
        <w:tc>
          <w:tcPr>
            <w:tcW w:type="dxa" w:w="357"/>
          </w:tcPr>
          <w:p>
            <w:pPr>
              <w:spacing w:after="0" w:line="252" w:lineRule="auto"/>
            </w:pPr>
            <w:r>
              <w:rPr>
                <w:sz w:val="17"/>
              </w:rPr>
              <w:t>H</w:t>
            </w:r>
          </w:p>
        </w:tc>
        <w:tc>
          <w:tcPr>
            <w:tcW w:type="dxa" w:w="3572"/>
          </w:tcPr>
          <w:p>
            <w:pPr>
              <w:spacing w:after="0" w:line="252" w:lineRule="auto"/>
            </w:pPr>
            <w:r>
              <w:rPr>
                <w:sz w:val="17"/>
              </w:rPr>
              <w:t>Auftrag abschließen; Ziel-LE verlässt den Platz (Versand, Rücklagerung)</w:t>
            </w:r>
          </w:p>
        </w:tc>
        <w:tc>
          <w:tcPr>
            <w:tcW w:type="dxa" w:w="3572"/>
          </w:tcPr>
          <w:p>
            <w:pPr>
              <w:spacing w:after="0" w:line="252" w:lineRule="auto"/>
            </w:pPr>
            <w:r>
              <w:rPr>
                <w:sz w:val="17"/>
              </w:rPr>
              <w:t xml:space="preserve">LM002 </w:t>
            </w:r>
            <w:r>
              <w:rPr>
                <w:b/>
                <w:sz w:val="17"/>
              </w:rPr>
              <w:t>Auftragsabschluss</w:t>
            </w:r>
            <w:r>
              <w:rPr>
                <w:sz w:val="17"/>
              </w:rPr>
              <w:t>; LM045/LM109</w:t>
            </w:r>
          </w:p>
        </w:tc>
        <w:tc>
          <w:tcPr>
            <w:tcW w:type="dxa" w:w="2024"/>
          </w:tcPr>
          <w:p>
            <w:pPr>
              <w:spacing w:after="0" w:line="252" w:lineRule="auto"/>
            </w:pPr>
            <w:r>
              <w:rPr>
                <w:sz w:val="17"/>
              </w:rPr>
              <w:t>BH 2.7, 6.2.4.10, 6.7.1.3</w:t>
            </w:r>
          </w:p>
        </w:tc>
      </w:tr>
    </w:tbl>
    <w:p>
      <w:pPr>
        <w:pStyle w:val="BeschriftungSSI"/>
      </w:pPr>
      <w:r>
        <w:t>Tab. 8: Ablauf je Kommissionierbedarf</w:t>
      </w:r>
    </w:p>
    <w:p>
      <w:pPr>
        <w:pStyle w:val="Quelle"/>
      </w:pPr>
      <w:r>
        <w:rPr>
          <w:b/>
        </w:rPr>
        <w:t xml:space="preserve">Quelle: </w:t>
      </w:r>
      <w:r>
        <w:rPr>
          <w:sz w:val="17"/>
        </w:rPr>
        <w:t>siehe Spalte Quelle</w:t>
      </w:r>
    </w:p>
    <w:p>
      <w:pPr>
        <w:pStyle w:val="Heading2"/>
      </w:pPr>
      <w:r>
        <w:t>4.2 Was der Kommissionierer am Touch-Client tut</w:t>
      </w:r>
    </w:p>
    <w:p>
      <w:pPr>
        <w:tabs>
          <w:tab w:pos="425" w:val="left"/>
        </w:tabs>
        <w:spacing w:after="60"/>
        <w:ind w:left="425" w:hanging="425"/>
      </w:pPr>
      <w:r>
        <w:rPr>
          <w:b/>
        </w:rPr>
        <w:t>1.</w:t>
        <w:tab/>
      </w:r>
      <w:r>
        <w:t>Am Touch-Client anmelden (Zugriffsöffnung, für die die Zielplatzgruppe zugeordnet ist).</w:t>
      </w:r>
    </w:p>
    <w:p>
      <w:pPr>
        <w:tabs>
          <w:tab w:pos="425" w:val="left"/>
        </w:tabs>
        <w:spacing w:after="60"/>
        <w:ind w:left="425" w:hanging="425"/>
      </w:pPr>
      <w:r>
        <w:rPr>
          <w:b/>
        </w:rPr>
        <w:t>2.</w:t>
        <w:tab/>
      </w:r>
      <w:r>
        <w:t xml:space="preserve">In </w:t>
      </w:r>
      <w:r>
        <w:rPr>
          <w:b/>
        </w:rPr>
        <w:t>LM040</w:t>
      </w:r>
      <w:r>
        <w:t xml:space="preserve"> Registerkarte </w:t>
      </w:r>
      <w:r>
        <w:rPr>
          <w:b/>
        </w:rPr>
        <w:t>Übersicht Aufträge</w:t>
      </w:r>
      <w:r>
        <w:t xml:space="preserve"> den Auftrag wählen und </w:t>
      </w:r>
      <w:r>
        <w:rPr>
          <w:b/>
        </w:rPr>
        <w:t>Freigeben</w:t>
      </w:r>
      <w:r>
        <w:t xml:space="preserve"> tippen oder die </w:t>
      </w:r>
      <w:r>
        <w:rPr>
          <w:b/>
        </w:rPr>
        <w:t>LE-ID scannen</w:t>
      </w:r>
      <w:r>
        <w:t xml:space="preserve"> (Aktivierung). In 2.8 öffnet sich bei Bedarfen, die eine externe LE-ID benötigen, </w:t>
      </w:r>
      <w:r>
        <w:rPr>
          <w:b/>
        </w:rPr>
        <w:t>LM164</w:t>
      </w:r>
      <w:r>
        <w:t xml:space="preserve">: </w:t>
      </w:r>
      <w:r>
        <w:rPr>
          <w:rFonts w:ascii="Consolas" w:hAnsi="Consolas" w:cs="Consolas" w:eastAsia="Consolas"/>
          <w:sz w:val="18"/>
        </w:rPr>
        <w:t>External LU-ID</w:t>
      </w:r>
      <w:r>
        <w:t xml:space="preserve"> eingeben, Zielplatz wählen, </w:t>
      </w:r>
      <w:r>
        <w:rPr>
          <w:b/>
        </w:rPr>
        <w:t>Release Picking Demand</w:t>
      </w:r>
      <w:r>
        <w:t>.</w:t>
      </w:r>
    </w:p>
    <w:p>
      <w:pPr>
        <w:tabs>
          <w:tab w:pos="425" w:val="left"/>
        </w:tabs>
        <w:spacing w:after="60"/>
        <w:ind w:left="425" w:hanging="425"/>
      </w:pPr>
      <w:r>
        <w:rPr>
          <w:b/>
        </w:rPr>
        <w:t>3.</w:t>
        <w:tab/>
      </w:r>
      <w:r>
        <w:t xml:space="preserve">Bei Bedarf in </w:t>
      </w:r>
      <w:r>
        <w:rPr>
          <w:b/>
        </w:rPr>
        <w:t>Tools → LM045</w:t>
      </w:r>
      <w:r>
        <w:t xml:space="preserve"> die externe LE-ID zuordnen (</w:t>
      </w:r>
      <w:r>
        <w:rPr>
          <w:b/>
        </w:rPr>
        <w:t>Scannen</w:t>
      </w:r>
      <w:r>
        <w:t>) oder das LE-Etikett drucken und auf die Versandkiste kleben.</w:t>
      </w:r>
    </w:p>
    <w:p>
      <w:pPr>
        <w:tabs>
          <w:tab w:pos="425" w:val="left"/>
        </w:tabs>
        <w:spacing w:after="60"/>
        <w:ind w:left="425" w:hanging="425"/>
      </w:pPr>
      <w:r>
        <w:rPr>
          <w:b/>
        </w:rPr>
        <w:t>4.</w:t>
        <w:tab/>
      </w:r>
      <w:r>
        <w:t xml:space="preserve">Die Ziel-LE an den Zielplatz stellen. Ist </w:t>
      </w:r>
      <w:r>
        <w:rPr>
          <w:rFonts w:ascii="Consolas" w:hAnsi="Consolas" w:cs="Consolas" w:eastAsia="Consolas"/>
          <w:sz w:val="18"/>
        </w:rPr>
        <w:t>askBookLuOnExternalLocation</w:t>
      </w:r>
      <w:r>
        <w:t xml:space="preserve"> = </w:t>
      </w:r>
      <w:r>
        <w:rPr>
          <w:rFonts w:ascii="Consolas" w:hAnsi="Consolas" w:cs="Consolas" w:eastAsia="Consolas"/>
          <w:sz w:val="18"/>
        </w:rPr>
        <w:t>true</w:t>
      </w:r>
      <w:r>
        <w:t xml:space="preserve">, bucht WAMAS die LE beim Scannen der Ziel-LE auf den Zielplatz; sonst ggf. manuell in </w:t>
      </w:r>
      <w:r>
        <w:rPr>
          <w:b/>
        </w:rPr>
        <w:t>LM044 → LE buchen → LM107</w:t>
      </w:r>
      <w:r>
        <w:t>.</w:t>
      </w:r>
    </w:p>
    <w:p>
      <w:pPr>
        <w:tabs>
          <w:tab w:pos="425" w:val="left"/>
        </w:tabs>
        <w:spacing w:after="60"/>
        <w:ind w:left="425" w:hanging="425"/>
      </w:pPr>
      <w:r>
        <w:rPr>
          <w:b/>
        </w:rPr>
        <w:t>5.</w:t>
        <w:tab/>
      </w:r>
      <w:r>
        <w:t xml:space="preserve">Das Tablar kommt an die Zugriffsöffnung. In </w:t>
      </w:r>
      <w:r>
        <w:rPr>
          <w:b/>
        </w:rPr>
        <w:t>LM002</w:t>
      </w:r>
      <w:r>
        <w:t xml:space="preserve"> die reservierte Box wählen, Menge bestätigen (ggf. Waage </w:t>
      </w:r>
      <w:r>
        <w:rPr>
          <w:b/>
        </w:rPr>
        <w:t>LM138</w:t>
      </w:r>
      <w:r>
        <w:t xml:space="preserve">), ggf. MHD/Charge erfassen, </w:t>
      </w:r>
      <w:r>
        <w:rPr>
          <w:b/>
        </w:rPr>
        <w:t>OK</w:t>
      </w:r>
      <w:r>
        <w:t>.</w:t>
      </w:r>
    </w:p>
    <w:p>
      <w:pPr>
        <w:tabs>
          <w:tab w:pos="425" w:val="left"/>
        </w:tabs>
        <w:spacing w:after="60"/>
        <w:ind w:left="425" w:hanging="425"/>
      </w:pPr>
      <w:r>
        <w:rPr>
          <w:b/>
        </w:rPr>
        <w:t>6.</w:t>
        <w:tab/>
      </w:r>
      <w:r>
        <w:t xml:space="preserve">Wird die Box leer: </w:t>
      </w:r>
      <w:r>
        <w:rPr>
          <w:b/>
        </w:rPr>
        <w:t>Leere Box bestätigen</w:t>
      </w:r>
      <w:r>
        <w:t xml:space="preserve">; bei Zuordnungsmodus </w:t>
      </w:r>
      <w:r>
        <w:rPr>
          <w:b/>
        </w:rPr>
        <w:t>Standard</w:t>
      </w:r>
      <w:r>
        <w:t xml:space="preserve"> fragt der Dialog </w:t>
      </w:r>
      <w:r>
        <w:rPr>
          <w:b/>
        </w:rPr>
        <w:t>Tablarvorgänge</w:t>
      </w:r>
      <w:r>
        <w:t>, ob die Artikel-zu-Box-Zuordnung entfernt wird.</w:t>
      </w:r>
    </w:p>
    <w:p>
      <w:pPr>
        <w:tabs>
          <w:tab w:pos="425" w:val="left"/>
        </w:tabs>
        <w:spacing w:after="60"/>
        <w:ind w:left="425" w:hanging="425"/>
      </w:pPr>
      <w:r>
        <w:rPr>
          <w:b/>
        </w:rPr>
        <w:t>7.</w:t>
        <w:tab/>
      </w:r>
      <w:r>
        <w:t xml:space="preserve">Letzte Zeile: Dialog </w:t>
      </w:r>
      <w:r>
        <w:rPr>
          <w:b/>
        </w:rPr>
        <w:t>Auftragsabschluss</w:t>
      </w:r>
      <w:r>
        <w:t xml:space="preserve"> → </w:t>
      </w:r>
      <w:r>
        <w:rPr>
          <w:b/>
        </w:rPr>
        <w:t>Auftrag abschließen</w:t>
      </w:r>
      <w:r>
        <w:t xml:space="preserve"> oder </w:t>
      </w:r>
      <w:r>
        <w:rPr>
          <w:b/>
        </w:rPr>
        <w:t>Fortfahren</w:t>
      </w:r>
      <w:r>
        <w:t xml:space="preserve"> (bei Abschlussmodus </w:t>
      </w:r>
      <w:r>
        <w:rPr>
          <w:b/>
        </w:rPr>
        <w:t>MANUELL</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LM002 während einer Kommissionierung in eine Ziel-LE]</w:t>
            </w:r>
          </w:p>
          <w:p>
            <w:pPr>
              <w:spacing w:after="40"/>
            </w:pPr>
            <w:r>
              <w:rPr>
                <w:sz w:val="19"/>
              </w:rPr>
              <w:t>Informationsleiste mit Menge und – falls angezeigt – Zielplatz bzw. Ziel-LE festhalten. Zeigt, was der Kommissionierer tatsächlich sieht.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Zielplatzanzeige am Touch-Client</w:t>
            </w:r>
          </w:p>
          <w:p>
            <w:pPr>
              <w:spacing w:after="40"/>
            </w:pPr>
            <w:r>
              <w:rPr>
                <w:sz w:val="19"/>
              </w:rPr>
              <w:t>Ob und wo LM002 den Zielplatz bzw. die Ziel-LE während des Picks anzeigt und wie die Ziel-LE gescannt wird, beschreibt das Benutzerhandbuch 2.7 nicht. Der Installation Guide sagt nur: Mit Pick-by-Light werden Menge und Zielplatz am PBL-System angezeigt und können dort bestätigt werden.</w:t>
            </w:r>
          </w:p>
        </w:tc>
      </w:tr>
    </w:tbl>
    <w:p>
      <w:pPr>
        <w:spacing w:after="40"/>
      </w:pPr>
    </w:p>
    <w:p>
      <w:pPr>
        <w:pStyle w:val="Quelle"/>
      </w:pPr>
      <w:r>
        <w:rPr>
          <w:b/>
        </w:rPr>
        <w:t xml:space="preserve">Quelle: </w:t>
      </w:r>
      <w:r>
        <w:rPr>
          <w:sz w:val="17"/>
        </w:rPr>
        <w:t>BH 2.7, Kap. 6.2.2.3.1, 6.2.4.2, 6.2.4.10.1, 6.7.1.1–6.7.1.2; BH 2.8, Kap. 6.2.2.2.2; AH 2.7, Kap. 3.11.2; IH 2.7, Kap. 6.6</w:t>
      </w:r>
    </w:p>
    <w:p>
      <w:pPr>
        <w:pStyle w:val="Heading2"/>
      </w:pPr>
      <w:r>
        <w:t>4.3 Put to Light</w:t>
      </w:r>
    </w:p>
    <w:p>
      <w:r>
        <w:rPr>
          <w:b/>
        </w:rPr>
        <w:t>Einstellungen am Kommissionierbedarfstyp (MD017):</w:t>
      </w:r>
      <w:r>
        <w:t xml:space="preserve"> </w:t>
      </w:r>
      <w:r>
        <w:rPr>
          <w:b/>
        </w:rPr>
        <w:t>Batchkommissionierung Put to Light</w:t>
      </w:r>
      <w:r>
        <w:t xml:space="preserve"> (wenn Batchkommissionierung mit PTL verfügbar ist), </w:t>
      </w:r>
      <w:r>
        <w:rPr>
          <w:b/>
        </w:rPr>
        <w:t>PTL deaktivieren</w:t>
      </w:r>
      <w:r>
        <w:t xml:space="preserve">, </w:t>
      </w:r>
      <w:r>
        <w:rPr>
          <w:b/>
        </w:rPr>
        <w:t>Zielplatz automatisch auswählen</w:t>
      </w:r>
      <w:r>
        <w:t xml:space="preserve">, </w:t>
      </w:r>
      <w:r>
        <w:rPr>
          <w:b/>
        </w:rPr>
        <w:t>Bedarfsaktivierung durch freien, externen Lagerplatz begrenzen</w:t>
      </w:r>
      <w:r>
        <w:t xml:space="preserve">. Die Schulung fasst zusammen: „Batch Picking – Picking for multiple demands at once“, „Select destination – automatically assigns demands to destination locations“, „Limit – Amount of demands active &lt;= destination locations“. </w:t>
      </w:r>
      <w:r>
        <w:rPr>
          <w:b/>
        </w:rPr>
        <w:t>Gleichzeitigkeit:</w:t>
      </w:r>
      <w:r>
        <w:t xml:space="preserve"> </w:t>
      </w:r>
      <w:r>
        <w:rPr>
          <w:rFonts w:ascii="Consolas" w:hAnsi="Consolas" w:cs="Consolas" w:eastAsia="Consolas"/>
          <w:sz w:val="18"/>
        </w:rPr>
        <w:t>logimat.picking.ptl.concurrentOperations</w:t>
      </w:r>
      <w:r>
        <w:t xml:space="preserve"> mit den Werten </w:t>
      </w:r>
      <w:r>
        <w:rPr>
          <w:rFonts w:ascii="Consolas" w:hAnsi="Consolas" w:cs="Consolas" w:eastAsia="Consolas"/>
          <w:sz w:val="18"/>
        </w:rPr>
        <w:t>ONE_PER_GROUP</w:t>
      </w:r>
      <w:r>
        <w:t xml:space="preserve"> oder </w:t>
      </w:r>
      <w:r>
        <w:rPr>
          <w:rFonts w:ascii="Consolas" w:hAnsi="Consolas" w:cs="Consolas" w:eastAsia="Consolas"/>
          <w:sz w:val="18"/>
        </w:rPr>
        <w:t>ONE_PER_LOCATION</w:t>
      </w:r>
      <w:r>
        <w:t xml:space="preserve">. </w:t>
      </w:r>
      <w:r>
        <w:rPr>
          <w:b/>
        </w:rPr>
        <w:t>Technische Einrichtung (2.7, Installation Guide Kap. 6.6 „P2L Configuration“):</w:t>
      </w:r>
      <w:r>
        <w:t xml:space="preserve"> Zuerst die Zielplätze am Touch-Client mit </w:t>
      </w:r>
      <w:r>
        <w:rPr>
          <w:b/>
        </w:rPr>
        <w:t>LM106</w:t>
      </w:r>
      <w:r>
        <w:t xml:space="preserve"> generieren, dann:</w:t>
      </w:r>
    </w:p>
    <w:p>
      <w:pPr>
        <w:tabs>
          <w:tab w:pos="425" w:val="left"/>
        </w:tabs>
        <w:spacing w:after="60"/>
        <w:ind w:left="425" w:hanging="425"/>
      </w:pPr>
      <w:r>
        <w:rPr>
          <w:b/>
        </w:rPr>
        <w:t>1.</w:t>
        <w:tab/>
      </w:r>
      <w:r>
        <w:rPr>
          <w:b/>
        </w:rPr>
        <w:t>MF007:</w:t>
      </w:r>
      <w:r>
        <w:t xml:space="preserve"> Device-Controller-Container anlegen.</w:t>
      </w:r>
    </w:p>
    <w:p>
      <w:pPr>
        <w:tabs>
          <w:tab w:pos="425" w:val="left"/>
        </w:tabs>
        <w:spacing w:after="60"/>
        <w:ind w:left="425" w:hanging="425"/>
      </w:pPr>
      <w:r>
        <w:rPr>
          <w:b/>
        </w:rPr>
        <w:t>2.</w:t>
        <w:tab/>
      </w:r>
      <w:r>
        <w:rPr>
          <w:b/>
        </w:rPr>
        <w:t>MF002:</w:t>
      </w:r>
      <w:r>
        <w:t xml:space="preserve"> Device Controller anlegen (Contribution „LineController“, Container aus Schritt 1).</w:t>
      </w:r>
    </w:p>
    <w:p>
      <w:pPr>
        <w:tabs>
          <w:tab w:pos="425" w:val="left"/>
        </w:tabs>
        <w:spacing w:after="60"/>
        <w:ind w:left="425" w:hanging="425"/>
      </w:pPr>
      <w:r>
        <w:rPr>
          <w:b/>
        </w:rPr>
        <w:t>3.</w:t>
        <w:tab/>
      </w:r>
      <w:r>
        <w:rPr>
          <w:b/>
        </w:rPr>
        <w:t>MF103:</w:t>
      </w:r>
      <w:r>
        <w:t xml:space="preserve"> Pick-by-Light-Stationsgruppierung anlegen.</w:t>
      </w:r>
    </w:p>
    <w:p>
      <w:pPr>
        <w:tabs>
          <w:tab w:pos="425" w:val="left"/>
        </w:tabs>
        <w:spacing w:after="60"/>
        <w:ind w:left="425" w:hanging="425"/>
      </w:pPr>
      <w:r>
        <w:rPr>
          <w:b/>
        </w:rPr>
        <w:t>4.</w:t>
        <w:tab/>
      </w:r>
      <w:r>
        <w:rPr>
          <w:b/>
        </w:rPr>
        <w:t>MF104:</w:t>
      </w:r>
      <w:r>
        <w:t xml:space="preserve"> Pick-by-Light-Station anlegen (Gruppierung aus Schritt 3, Kommissionierbereich).</w:t>
      </w:r>
    </w:p>
    <w:p>
      <w:pPr>
        <w:tabs>
          <w:tab w:pos="425" w:val="left"/>
        </w:tabs>
        <w:spacing w:after="60"/>
        <w:ind w:left="425" w:hanging="425"/>
      </w:pPr>
      <w:r>
        <w:rPr>
          <w:b/>
        </w:rPr>
        <w:t>5.</w:t>
        <w:tab/>
      </w:r>
      <w:r>
        <w:rPr>
          <w:b/>
        </w:rPr>
        <w:t>MF105:</w:t>
      </w:r>
      <w:r>
        <w:t xml:space="preserve"> Device Controller des Line Controllers (Teil 1), DC-LC-Linie (Teil 2) und </w:t>
      </w:r>
      <w:r>
        <w:rPr>
          <w:b/>
        </w:rPr>
        <w:t>je Zielplatz ein DC-LC-Gadget</w:t>
      </w:r>
      <w:r>
        <w:t xml:space="preserve"> (Teil 3, Station aus Schritt 4).</w:t>
      </w:r>
    </w:p>
    <w:p>
      <w:pPr>
        <w:tabs>
          <w:tab w:pos="425" w:val="left"/>
        </w:tabs>
        <w:spacing w:after="60"/>
        <w:ind w:left="425" w:hanging="425"/>
      </w:pPr>
      <w:r>
        <w:rPr>
          <w:b/>
        </w:rPr>
        <w:t>6.</w:t>
        <w:tab/>
      </w:r>
      <w:r>
        <w:rPr>
          <w:b/>
        </w:rPr>
        <w:t>SE015:</w:t>
      </w:r>
      <w:r>
        <w:t xml:space="preserve"> Worker </w:t>
      </w:r>
      <w:r>
        <w:rPr>
          <w:rFonts w:ascii="Consolas" w:hAnsi="Consolas" w:cs="Consolas" w:eastAsia="Consolas"/>
          <w:sz w:val="18"/>
        </w:rPr>
        <w:t>com.wamas.mfs.core.dc.server</w:t>
      </w:r>
      <w:r>
        <w:t xml:space="preserve"> (Parameter </w:t>
      </w:r>
      <w:r>
        <w:rPr>
          <w:rFonts w:ascii="Consolas" w:hAnsi="Consolas" w:cs="Consolas" w:eastAsia="Consolas"/>
          <w:sz w:val="18"/>
        </w:rPr>
        <w:t>dcContainer</w:t>
      </w:r>
      <w:r>
        <w:t xml:space="preserve">) und Worker </w:t>
      </w:r>
      <w:r>
        <w:rPr>
          <w:rFonts w:ascii="Consolas" w:hAnsi="Consolas" w:cs="Consolas" w:eastAsia="Consolas"/>
          <w:sz w:val="18"/>
        </w:rPr>
        <w:t>com.wamas.mfs.device.dclinecontroller.server.dclcservice</w:t>
      </w:r>
      <w:r>
        <w:t xml:space="preserve"> (Parameter „PBL grouping ID“) anlegen.</w:t>
      </w:r>
    </w:p>
    <w:p>
      <w:r>
        <w:rPr>
          <w:b/>
        </w:rPr>
        <w:t>2.8, KBS:</w:t>
      </w:r>
      <w:r>
        <w:t xml:space="preserve"> Neuer Dialog </w:t>
      </w:r>
      <w:r>
        <w:rPr>
          <w:b/>
        </w:rPr>
        <w:t>LM301 Maintain Device Controller-Line Controller (KBS)</w:t>
      </w:r>
      <w:r>
        <w:t xml:space="preserve"> mit Registerkarten DC-LC Configuration, DC-LC Line und </w:t>
      </w:r>
      <w:r>
        <w:rPr>
          <w:b/>
        </w:rPr>
        <w:t>DC-LC Pick Face</w:t>
      </w:r>
      <w:r>
        <w:t xml:space="preserve"> (</w:t>
      </w:r>
      <w:r>
        <w:rPr>
          <w:rFonts w:ascii="Consolas" w:hAnsi="Consolas" w:cs="Consolas" w:eastAsia="Consolas"/>
          <w:sz w:val="18"/>
        </w:rPr>
        <w:t>Pick face ID</w:t>
      </w:r>
      <w:r>
        <w:t xml:space="preserve">, </w:t>
      </w:r>
      <w:r>
        <w:rPr>
          <w:rFonts w:ascii="Consolas" w:hAnsi="Consolas" w:cs="Consolas" w:eastAsia="Consolas"/>
          <w:sz w:val="18"/>
        </w:rPr>
        <w:t>Storage location</w:t>
      </w:r>
      <w:r>
        <w:t xml:space="preserve">, optional </w:t>
      </w:r>
      <w:r>
        <w:rPr>
          <w:rFonts w:ascii="Consolas" w:hAnsi="Consolas" w:cs="Consolas" w:eastAsia="Consolas"/>
          <w:sz w:val="18"/>
        </w:rPr>
        <w:t>DC-LC zone</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PTL-Gleichzeitigkeit</w:t>
            </w:r>
          </w:p>
          <w:p>
            <w:pPr>
              <w:spacing w:after="40"/>
            </w:pPr>
            <w:r>
              <w:rPr>
                <w:sz w:val="19"/>
              </w:rPr>
              <w:t xml:space="preserve">Was </w:t>
            </w:r>
            <w:r>
              <w:rPr>
                <w:rFonts w:ascii="Consolas" w:hAnsi="Consolas" w:cs="Consolas" w:eastAsia="Consolas"/>
                <w:sz w:val="17"/>
              </w:rPr>
              <w:t>ONE_PER_GROUP</w:t>
            </w:r>
            <w:r>
              <w:rPr>
                <w:sz w:val="19"/>
              </w:rPr>
              <w:t xml:space="preserve"> und </w:t>
            </w:r>
            <w:r>
              <w:rPr>
                <w:rFonts w:ascii="Consolas" w:hAnsi="Consolas" w:cs="Consolas" w:eastAsia="Consolas"/>
                <w:sz w:val="17"/>
              </w:rPr>
              <w:t>ONE_PER_LOCATION</w:t>
            </w:r>
            <w:r>
              <w:rPr>
                <w:sz w:val="19"/>
              </w:rPr>
              <w:t xml:space="preserve"> im Ablauf genau bewirken, ist weder im AH 2.7 noch im AH 2.8 erklärt.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MF105, Registerkarte DC LC gadget, mit Zuordnung Gadget ↔ Zielplatz]</w:t>
            </w:r>
          </w:p>
          <w:p>
            <w:pPr>
              <w:spacing w:after="40"/>
            </w:pPr>
            <w:r>
              <w:rPr>
                <w:sz w:val="19"/>
              </w:rPr>
              <w:t xml:space="preserve">Spalte </w:t>
            </w:r>
            <w:r>
              <w:rPr>
                <w:b/>
                <w:sz w:val="19"/>
              </w:rPr>
              <w:t>Storage location</w:t>
            </w:r>
            <w:r>
              <w:rPr>
                <w:sz w:val="19"/>
              </w:rPr>
              <w:t xml:space="preserve"> zeigt, welcher Zielplatz an welchem Leuchtmodul hängt.</w:t>
            </w:r>
          </w:p>
        </w:tc>
      </w:tr>
    </w:tbl>
    <w:p>
      <w:pPr>
        <w:spacing w:after="40"/>
      </w:pPr>
    </w:p>
    <w:p>
      <w:pPr>
        <w:pStyle w:val="Quelle"/>
      </w:pPr>
      <w:r>
        <w:rPr>
          <w:b/>
        </w:rPr>
        <w:t xml:space="preserve">Quelle: </w:t>
      </w:r>
      <w:r>
        <w:rPr>
          <w:sz w:val="17"/>
        </w:rPr>
        <w:t>AH 2.7, Kap. 3.6.1.10, 3.11.2; IH 2.7, Kap. 6.6; AH 2.8, Kap. 3.9.2.3.3; SCH, „Client Configuration (2) – Picking demand“</w:t>
      </w:r>
    </w:p>
    <w:p>
      <w:pPr>
        <w:pStyle w:val="Heading2"/>
      </w:pPr>
      <w:r>
        <w:t>4.4 Ablauf mit Kommissionierwagen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79"/>
        <w:gridCol w:w="3322"/>
        <w:gridCol w:w="3322"/>
      </w:tblGrid>
      <w:tr>
        <w:trPr>
          <w:tblHeader w:val="true"/>
        </w:trPr>
        <w:tc>
          <w:tcPr>
            <w:tcW w:type="dxa" w:w="2879"/>
            <w:shd w:val="clear" w:color="auto" w:fill="FEEE19"/>
          </w:tcPr>
          <w:p>
            <w:pPr>
              <w:spacing w:after="0"/>
            </w:pPr>
            <w:r>
              <w:rPr>
                <w:b/>
                <w:sz w:val="17"/>
              </w:rPr>
              <w:t>Aktion (Touch, LM040 › Übersicht Kommissionierwägen)</w:t>
            </w:r>
          </w:p>
        </w:tc>
        <w:tc>
          <w:tcPr>
            <w:tcW w:type="dxa" w:w="3322"/>
            <w:shd w:val="clear" w:color="auto" w:fill="FEEE19"/>
          </w:tcPr>
          <w:p>
            <w:pPr>
              <w:spacing w:after="0"/>
            </w:pPr>
            <w:r>
              <w:rPr>
                <w:b/>
                <w:sz w:val="17"/>
              </w:rPr>
              <w:t>Dialog</w:t>
            </w:r>
          </w:p>
        </w:tc>
        <w:tc>
          <w:tcPr>
            <w:tcW w:type="dxa" w:w="3322"/>
            <w:shd w:val="clear" w:color="auto" w:fill="FEEE19"/>
          </w:tcPr>
          <w:p>
            <w:pPr>
              <w:spacing w:after="0"/>
            </w:pPr>
            <w:r>
              <w:rPr>
                <w:b/>
                <w:sz w:val="17"/>
              </w:rPr>
              <w:t>Ergebnis</w:t>
            </w:r>
          </w:p>
        </w:tc>
      </w:tr>
      <w:tr>
        <w:tc>
          <w:tcPr>
            <w:tcW w:type="dxa" w:w="2879"/>
          </w:tcPr>
          <w:p>
            <w:pPr>
              <w:spacing w:after="0" w:line="252" w:lineRule="auto"/>
            </w:pPr>
            <w:r>
              <w:rPr>
                <w:sz w:val="17"/>
              </w:rPr>
              <w:t>Kommissionierwagen anlegen und freigeben</w:t>
            </w:r>
          </w:p>
        </w:tc>
        <w:tc>
          <w:tcPr>
            <w:tcW w:type="dxa" w:w="3322"/>
          </w:tcPr>
          <w:p>
            <w:pPr>
              <w:spacing w:after="0" w:line="252" w:lineRule="auto"/>
            </w:pPr>
            <w:r>
              <w:rPr>
                <w:sz w:val="17"/>
              </w:rPr>
              <w:t xml:space="preserve">LM153 → </w:t>
            </w:r>
            <w:r>
              <w:rPr>
                <w:b/>
                <w:sz w:val="17"/>
              </w:rPr>
              <w:t>Kommissionierwagen freigeben</w:t>
            </w:r>
            <w:r>
              <w:rPr>
                <w:sz w:val="17"/>
              </w:rPr>
              <w:t xml:space="preserve"> → </w:t>
            </w:r>
            <w:r>
              <w:rPr>
                <w:b/>
                <w:sz w:val="17"/>
              </w:rPr>
              <w:t>Bestätigen</w:t>
            </w:r>
          </w:p>
        </w:tc>
        <w:tc>
          <w:tcPr>
            <w:tcW w:type="dxa" w:w="3322"/>
          </w:tcPr>
          <w:p>
            <w:pPr>
              <w:spacing w:after="0" w:line="252" w:lineRule="auto"/>
            </w:pPr>
            <w:r>
              <w:rPr>
                <w:sz w:val="17"/>
              </w:rPr>
              <w:t>Wagen nutzbar</w:t>
            </w:r>
          </w:p>
        </w:tc>
      </w:tr>
      <w:tr>
        <w:tc>
          <w:tcPr>
            <w:tcW w:type="dxa" w:w="2879"/>
          </w:tcPr>
          <w:p>
            <w:pPr>
              <w:spacing w:after="0" w:line="252" w:lineRule="auto"/>
            </w:pPr>
            <w:r>
              <w:rPr>
                <w:sz w:val="17"/>
              </w:rPr>
              <w:t>Kommissionierwagen übernehmen</w:t>
            </w:r>
          </w:p>
        </w:tc>
        <w:tc>
          <w:tcPr>
            <w:tcW w:type="dxa" w:w="3322"/>
          </w:tcPr>
          <w:p>
            <w:pPr>
              <w:spacing w:after="0" w:line="252" w:lineRule="auto"/>
            </w:pPr>
            <w:r>
              <w:rPr>
                <w:sz w:val="17"/>
              </w:rPr>
              <w:t xml:space="preserve">Icon </w:t>
            </w:r>
            <w:r>
              <w:rPr>
                <w:b/>
                <w:sz w:val="17"/>
              </w:rPr>
              <w:t>Kommissionierwagen übernehmen</w:t>
            </w:r>
            <w:r>
              <w:rPr>
                <w:sz w:val="17"/>
              </w:rPr>
              <w:t xml:space="preserve"> → </w:t>
            </w:r>
            <w:r>
              <w:rPr>
                <w:b/>
                <w:sz w:val="17"/>
              </w:rPr>
              <w:t>Ja</w:t>
            </w:r>
          </w:p>
        </w:tc>
        <w:tc>
          <w:tcPr>
            <w:tcW w:type="dxa" w:w="3322"/>
          </w:tcPr>
          <w:p>
            <w:pPr>
              <w:spacing w:after="0" w:line="252" w:lineRule="auto"/>
            </w:pPr>
            <w:r>
              <w:rPr>
                <w:sz w:val="17"/>
              </w:rPr>
              <w:t xml:space="preserve">Wagen dem Benutzer zugeordnet (Spalte </w:t>
            </w:r>
            <w:r>
              <w:rPr>
                <w:b/>
                <w:sz w:val="17"/>
              </w:rPr>
              <w:t>Aktueller Benutzer</w:t>
            </w:r>
            <w:r>
              <w:rPr>
                <w:sz w:val="17"/>
              </w:rPr>
              <w:t>)</w:t>
            </w:r>
          </w:p>
        </w:tc>
      </w:tr>
      <w:tr>
        <w:tc>
          <w:tcPr>
            <w:tcW w:type="dxa" w:w="2879"/>
          </w:tcPr>
          <w:p>
            <w:pPr>
              <w:spacing w:after="0" w:line="252" w:lineRule="auto"/>
            </w:pPr>
            <w:r>
              <w:rPr>
                <w:sz w:val="17"/>
              </w:rPr>
              <w:t>Bedarfe zuordnen</w:t>
            </w:r>
          </w:p>
        </w:tc>
        <w:tc>
          <w:tcPr>
            <w:tcW w:type="dxa" w:w="3322"/>
          </w:tcPr>
          <w:p>
            <w:pPr>
              <w:spacing w:after="0" w:line="252" w:lineRule="auto"/>
            </w:pPr>
            <w:r>
              <w:rPr>
                <w:b/>
                <w:sz w:val="17"/>
              </w:rPr>
              <w:t>Kommissionierwagen anzeigen</w:t>
            </w:r>
            <w:r>
              <w:rPr>
                <w:sz w:val="17"/>
              </w:rPr>
              <w:t xml:space="preserve"> (LM151) → Platz → </w:t>
            </w:r>
            <w:r>
              <w:rPr>
                <w:b/>
                <w:sz w:val="17"/>
              </w:rPr>
              <w:t>Bedarfe zuordnen</w:t>
            </w:r>
            <w:r>
              <w:rPr>
                <w:sz w:val="17"/>
              </w:rPr>
              <w:t xml:space="preserve"> (LM154): </w:t>
            </w:r>
            <w:r>
              <w:rPr>
                <w:rFonts w:ascii="Consolas" w:hAnsi="Consolas" w:cs="Consolas" w:eastAsia="Consolas"/>
                <w:sz w:val="15"/>
              </w:rPr>
              <w:t>LE-ID</w:t>
            </w:r>
            <w:r>
              <w:rPr>
                <w:sz w:val="17"/>
              </w:rPr>
              <w:t xml:space="preserve"> → </w:t>
            </w:r>
            <w:r>
              <w:rPr>
                <w:b/>
                <w:sz w:val="17"/>
              </w:rPr>
              <w:t>Bestätigen</w:t>
            </w:r>
            <w:r>
              <w:rPr>
                <w:sz w:val="17"/>
              </w:rPr>
              <w:t xml:space="preserve">, </w:t>
            </w:r>
            <w:r>
              <w:rPr>
                <w:rFonts w:ascii="Consolas" w:hAnsi="Consolas" w:cs="Consolas" w:eastAsia="Consolas"/>
                <w:sz w:val="15"/>
              </w:rPr>
              <w:t>Kommissionierbedarf</w:t>
            </w:r>
            <w:r>
              <w:rPr>
                <w:sz w:val="17"/>
              </w:rPr>
              <w:t xml:space="preserve"> → </w:t>
            </w:r>
            <w:r>
              <w:rPr>
                <w:b/>
                <w:sz w:val="17"/>
              </w:rPr>
              <w:t>Speichern</w:t>
            </w:r>
          </w:p>
        </w:tc>
        <w:tc>
          <w:tcPr>
            <w:tcW w:type="dxa" w:w="3322"/>
          </w:tcPr>
          <w:p>
            <w:pPr>
              <w:spacing w:after="0" w:line="252" w:lineRule="auto"/>
            </w:pPr>
            <w:r>
              <w:rPr>
                <w:sz w:val="17"/>
              </w:rPr>
              <w:t>LE auf Wagenplatz gebucht, Bedarf zugeordnet</w:t>
            </w:r>
          </w:p>
        </w:tc>
      </w:tr>
      <w:tr>
        <w:tc>
          <w:tcPr>
            <w:tcW w:type="dxa" w:w="2879"/>
          </w:tcPr>
          <w:p>
            <w:pPr>
              <w:spacing w:after="0" w:line="252" w:lineRule="auto"/>
            </w:pPr>
            <w:r>
              <w:rPr>
                <w:sz w:val="17"/>
              </w:rPr>
              <w:t>Wagen auffüllen</w:t>
            </w:r>
          </w:p>
        </w:tc>
        <w:tc>
          <w:tcPr>
            <w:tcW w:type="dxa" w:w="3322"/>
          </w:tcPr>
          <w:p>
            <w:pPr>
              <w:spacing w:after="0" w:line="252" w:lineRule="auto"/>
            </w:pPr>
            <w:r>
              <w:rPr>
                <w:sz w:val="17"/>
              </w:rPr>
              <w:t xml:space="preserve">LM151 → Platz → </w:t>
            </w:r>
            <w:r>
              <w:rPr>
                <w:b/>
                <w:sz w:val="17"/>
              </w:rPr>
              <w:t>LE auffüllen</w:t>
            </w:r>
            <w:r>
              <w:rPr>
                <w:sz w:val="17"/>
              </w:rPr>
              <w:t xml:space="preserve"> → LM154: LE-ID → </w:t>
            </w:r>
            <w:r>
              <w:rPr>
                <w:b/>
                <w:sz w:val="17"/>
              </w:rPr>
              <w:t>Speichern</w:t>
            </w:r>
          </w:p>
        </w:tc>
        <w:tc>
          <w:tcPr>
            <w:tcW w:type="dxa" w:w="3322"/>
          </w:tcPr>
          <w:p>
            <w:pPr>
              <w:spacing w:after="0" w:line="252" w:lineRule="auto"/>
            </w:pPr>
            <w:r>
              <w:rPr>
                <w:sz w:val="17"/>
              </w:rPr>
              <w:t>Nächster Platz wird vorgeschlagen</w:t>
            </w:r>
          </w:p>
        </w:tc>
      </w:tr>
      <w:tr>
        <w:tc>
          <w:tcPr>
            <w:tcW w:type="dxa" w:w="2879"/>
          </w:tcPr>
          <w:p>
            <w:pPr>
              <w:spacing w:after="0" w:line="252" w:lineRule="auto"/>
            </w:pPr>
            <w:r>
              <w:rPr>
                <w:sz w:val="17"/>
              </w:rPr>
              <w:t>LE entfernen</w:t>
            </w:r>
          </w:p>
        </w:tc>
        <w:tc>
          <w:tcPr>
            <w:tcW w:type="dxa" w:w="3322"/>
          </w:tcPr>
          <w:p>
            <w:pPr>
              <w:spacing w:after="0" w:line="252" w:lineRule="auto"/>
            </w:pPr>
            <w:r>
              <w:rPr>
                <w:sz w:val="17"/>
              </w:rPr>
              <w:t xml:space="preserve">LM151 → Platz → </w:t>
            </w:r>
            <w:r>
              <w:rPr>
                <w:b/>
                <w:sz w:val="17"/>
              </w:rPr>
              <w:t>LE entfernen</w:t>
            </w:r>
            <w:r>
              <w:rPr>
                <w:sz w:val="17"/>
              </w:rPr>
              <w:t xml:space="preserve"> → </w:t>
            </w:r>
            <w:r>
              <w:rPr>
                <w:b/>
                <w:sz w:val="17"/>
              </w:rPr>
              <w:t>Ja</w:t>
            </w:r>
          </w:p>
        </w:tc>
        <w:tc>
          <w:tcPr>
            <w:tcW w:type="dxa" w:w="3322"/>
          </w:tcPr>
          <w:p>
            <w:pPr>
              <w:spacing w:after="0" w:line="252" w:lineRule="auto"/>
            </w:pPr>
            <w:r>
              <w:rPr>
                <w:sz w:val="17"/>
              </w:rPr>
              <w:t>LE vom Wagenplatz entfernt</w:t>
            </w:r>
          </w:p>
        </w:tc>
      </w:tr>
      <w:tr>
        <w:tc>
          <w:tcPr>
            <w:tcW w:type="dxa" w:w="2879"/>
          </w:tcPr>
          <w:p>
            <w:pPr>
              <w:spacing w:after="0" w:line="252" w:lineRule="auto"/>
            </w:pPr>
            <w:r>
              <w:rPr>
                <w:sz w:val="17"/>
              </w:rPr>
              <w:t>Zuordnung aufheben</w:t>
            </w:r>
          </w:p>
        </w:tc>
        <w:tc>
          <w:tcPr>
            <w:tcW w:type="dxa" w:w="3322"/>
          </w:tcPr>
          <w:p>
            <w:pPr>
              <w:spacing w:after="0" w:line="252" w:lineRule="auto"/>
            </w:pPr>
            <w:r>
              <w:rPr>
                <w:b/>
                <w:sz w:val="17"/>
              </w:rPr>
              <w:t>Zuordnung für Kommissionierwagen aufheben</w:t>
            </w:r>
            <w:r>
              <w:rPr>
                <w:sz w:val="17"/>
              </w:rPr>
              <w:t xml:space="preserve"> → </w:t>
            </w:r>
            <w:r>
              <w:rPr>
                <w:b/>
                <w:sz w:val="17"/>
              </w:rPr>
              <w:t>Ja</w:t>
            </w:r>
          </w:p>
        </w:tc>
        <w:tc>
          <w:tcPr>
            <w:tcW w:type="dxa" w:w="3322"/>
          </w:tcPr>
          <w:p>
            <w:pPr>
              <w:spacing w:after="0" w:line="252" w:lineRule="auto"/>
            </w:pPr>
            <w:r>
              <w:rPr>
                <w:sz w:val="17"/>
              </w:rPr>
              <w:t>Benutzer gelöst</w:t>
            </w:r>
          </w:p>
        </w:tc>
      </w:tr>
      <w:tr>
        <w:tc>
          <w:tcPr>
            <w:tcW w:type="dxa" w:w="2879"/>
          </w:tcPr>
          <w:p>
            <w:pPr>
              <w:spacing w:after="0" w:line="252" w:lineRule="auto"/>
            </w:pPr>
            <w:r>
              <w:rPr>
                <w:sz w:val="17"/>
              </w:rPr>
              <w:t>Wagen abschließen</w:t>
            </w:r>
          </w:p>
        </w:tc>
        <w:tc>
          <w:tcPr>
            <w:tcW w:type="dxa" w:w="3322"/>
          </w:tcPr>
          <w:p>
            <w:pPr>
              <w:spacing w:after="0" w:line="252" w:lineRule="auto"/>
            </w:pPr>
            <w:r>
              <w:rPr>
                <w:b/>
                <w:sz w:val="17"/>
              </w:rPr>
              <w:t>Kommissionierwagen abschließen</w:t>
            </w:r>
          </w:p>
        </w:tc>
        <w:tc>
          <w:tcPr>
            <w:tcW w:type="dxa" w:w="3322"/>
          </w:tcPr>
          <w:p>
            <w:pPr>
              <w:spacing w:after="0" w:line="252" w:lineRule="auto"/>
            </w:pPr>
            <w:r>
              <w:rPr>
                <w:sz w:val="17"/>
              </w:rPr>
              <w:t>Alle Plan-LE auf dem Wagen abgeschlossen</w:t>
            </w:r>
          </w:p>
        </w:tc>
      </w:tr>
    </w:tbl>
    <w:p>
      <w:pPr>
        <w:pStyle w:val="BeschriftungSSI"/>
      </w:pPr>
      <w:r>
        <w:t>Tab. 9: Kommissionierwagen am Touch-Client</w:t>
      </w:r>
    </w:p>
    <w:p>
      <w:r>
        <w:t>Abhängig von der Parametrierung bleiben einige Wagenplätze ohne Bedarf; sie nehmen Leer-LE auf, wenn in den vorhandenen LE nicht genug Platz ist (</w:t>
      </w:r>
      <w:r>
        <w:rPr>
          <w:rFonts w:ascii="Consolas" w:hAnsi="Consolas" w:cs="Consolas" w:eastAsia="Consolas"/>
          <w:sz w:val="18"/>
        </w:rPr>
        <w:t>logimat.picking.cart.full.reserve</w:t>
      </w:r>
      <w:r>
        <w:t xml:space="preserve">). Mit </w:t>
      </w:r>
      <w:r>
        <w:rPr>
          <w:rFonts w:ascii="Consolas" w:hAnsi="Consolas" w:cs="Consolas" w:eastAsia="Consolas"/>
          <w:sz w:val="18"/>
        </w:rPr>
        <w:t>logimat.dialogs.lm154.pickingCartLocationConfirmation</w:t>
      </w:r>
      <w:r>
        <w:t xml:space="preserve"> muss der Benutzer den Wagenplatz in LM154 bestätigen. Der Benutzer braucht Rechte für alle Bedarfe des Wagens; der Kommissionierbedarfstyp braucht </w:t>
      </w:r>
      <w:r>
        <w:rPr>
          <w:b/>
        </w:rPr>
        <w:t>Mit Kommissionierwagen verwendet</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LM040 Registerkarte „Übersicht Kommissionierwägen“ und LM151]</w:t>
            </w:r>
          </w:p>
          <w:p>
            <w:pPr>
              <w:spacing w:after="40"/>
            </w:pPr>
            <w:r>
              <w:rPr>
                <w:sz w:val="19"/>
              </w:rPr>
              <w:t xml:space="preserve">Wagen mit Spalte </w:t>
            </w:r>
            <w:r>
              <w:rPr>
                <w:b/>
                <w:sz w:val="19"/>
              </w:rPr>
              <w:t>Aktueller Benutzer</w:t>
            </w:r>
            <w:r>
              <w:rPr>
                <w:sz w:val="19"/>
              </w:rPr>
              <w:t xml:space="preserve"> sowie die Platzliste in LM151.</w:t>
            </w:r>
          </w:p>
        </w:tc>
      </w:tr>
    </w:tbl>
    <w:p>
      <w:pPr>
        <w:spacing w:after="40"/>
      </w:pPr>
    </w:p>
    <w:p>
      <w:pPr>
        <w:pStyle w:val="Quelle"/>
      </w:pPr>
      <w:r>
        <w:rPr>
          <w:b/>
        </w:rPr>
        <w:t xml:space="preserve">Quelle: </w:t>
      </w:r>
      <w:r>
        <w:rPr>
          <w:sz w:val="17"/>
        </w:rPr>
        <w:t>BH 2.7, Kap. 5.5.1–5.5.6; AH 2.7, Kap. 3.6.1.10, 3.11.2</w:t>
      </w:r>
    </w:p>
    <w:p>
      <w:pPr>
        <w:pStyle w:val="Heading2"/>
      </w:pPr>
      <w:r>
        <w:t>4.5 Abgrenzung Mobilterminal</w:t>
      </w:r>
    </w:p>
    <w:p>
      <w:r>
        <w:t xml:space="preserve">Am Mobilterminal endet die Kommissionierung mit </w:t>
      </w:r>
      <w:r>
        <w:rPr>
          <w:b/>
        </w:rPr>
        <w:t>MLP006 Bestätigung Zielplatz</w:t>
      </w:r>
      <w:r>
        <w:t xml:space="preserve">: Der Benutzer scannt den Lagerplatz, auf den die Artikel kommissioniert werden. Mit </w:t>
      </w:r>
      <w:r>
        <w:rPr>
          <w:rFonts w:ascii="Consolas" w:hAnsi="Consolas" w:cs="Consolas" w:eastAsia="Consolas"/>
          <w:sz w:val="18"/>
        </w:rPr>
        <w:t>logimat.mobile.picking.skipTargetScan</w:t>
      </w:r>
      <w:r>
        <w:t xml:space="preserve"> wird das Scannen einer Ziel-LE auf dem Mobilterminal übersprungen und eine temporäre LE-ID verwendet. Diese Abläufe betreffen externe Lagerplätze und sind im How-to „Externe Lagerprozesse“ beschrieben.</w:t>
      </w:r>
    </w:p>
    <w:p>
      <w:pPr>
        <w:pStyle w:val="Quelle"/>
      </w:pPr>
      <w:r>
        <w:rPr>
          <w:b/>
        </w:rPr>
        <w:t xml:space="preserve">Quelle: </w:t>
      </w:r>
      <w:r>
        <w:rPr>
          <w:sz w:val="17"/>
        </w:rPr>
        <w:t>BH 2.7, Kap. 6.3.2; AH 2.7, Kap. 3.11.2</w:t>
      </w:r>
    </w:p>
    <w:p>
      <w:pPr>
        <w:pStyle w:val="Heading1"/>
      </w:pPr>
      <w:r>
        <w:t>5 Zielplätze manuell anlegen</w:t>
      </w:r>
    </w:p>
    <w:p>
      <w:pPr>
        <w:pStyle w:val="Heading2"/>
      </w:pPr>
      <w:r>
        <w:t>5.1 Vorbereitung</w:t>
      </w:r>
    </w:p>
    <w:p>
      <w:pPr>
        <w:tabs>
          <w:tab w:pos="425" w:val="left"/>
        </w:tabs>
        <w:spacing w:after="60"/>
        <w:ind w:left="425" w:hanging="425"/>
      </w:pPr>
      <w:r>
        <w:rPr>
          <w:b/>
        </w:rPr>
        <w:t>1.</w:t>
        <w:tab/>
      </w:r>
      <w:r>
        <w:rPr>
          <w:b/>
        </w:rPr>
        <w:t>Zone</w:t>
      </w:r>
      <w:r>
        <w:t xml:space="preserve"> und Zugriffsöffnungen müssen existieren (LM069; SSI LOGIMAT in LM051 einer Zone zugeordnet). Zonen werden in der Regel über die Konfigurationsdatei in </w:t>
      </w:r>
      <w:r>
        <w:rPr>
          <w:b/>
        </w:rPr>
        <w:t>LM061</w:t>
      </w:r>
      <w:r>
        <w:t xml:space="preserve"> importiert.</w:t>
      </w:r>
    </w:p>
    <w:p>
      <w:pPr>
        <w:tabs>
          <w:tab w:pos="425" w:val="left"/>
        </w:tabs>
        <w:spacing w:after="60"/>
        <w:ind w:left="425" w:hanging="425"/>
      </w:pPr>
      <w:r>
        <w:rPr>
          <w:b/>
        </w:rPr>
        <w:t>2.</w:t>
        <w:tab/>
      </w:r>
      <w:r>
        <w:t xml:space="preserve">Klären, ob Zielplätze am </w:t>
      </w:r>
      <w:r>
        <w:rPr>
          <w:b/>
        </w:rPr>
        <w:t>Desktop</w:t>
      </w:r>
      <w:r>
        <w:t xml:space="preserve"> (beliebige Zone, Zugriffsöffnungen frei wählbar) oder am </w:t>
      </w:r>
      <w:r>
        <w:rPr>
          <w:b/>
        </w:rPr>
        <w:t>Touch-Client</w:t>
      </w:r>
      <w:r>
        <w:t xml:space="preserve"> (automatisch aktive Zugriffsöffnung) entstehen sollen.</w:t>
      </w:r>
    </w:p>
    <w:p>
      <w:pPr>
        <w:tabs>
          <w:tab w:pos="425" w:val="left"/>
        </w:tabs>
        <w:spacing w:after="60"/>
        <w:ind w:left="425" w:hanging="425"/>
      </w:pPr>
      <w:r>
        <w:rPr>
          <w:b/>
        </w:rPr>
        <w:t>3.</w:t>
        <w:tab/>
      </w:r>
      <w:r>
        <w:t xml:space="preserve">Physisches Regal ausmessen: Spalten, Reihen, Fachmaße. Für Kommissionierwägen den </w:t>
      </w:r>
      <w:r>
        <w:rPr>
          <w:b/>
        </w:rPr>
        <w:t>Lagerfachträgertyp</w:t>
      </w:r>
      <w:r>
        <w:t xml:space="preserve"> in </w:t>
      </w:r>
      <w:r>
        <w:rPr>
          <w:b/>
        </w:rPr>
        <w:t>WH025</w:t>
      </w:r>
      <w:r>
        <w:t xml:space="preserve"> vorbereiten.</w:t>
      </w:r>
    </w:p>
    <w:p>
      <w:pPr>
        <w:pStyle w:val="Quelle"/>
      </w:pPr>
      <w:r>
        <w:rPr>
          <w:b/>
        </w:rPr>
        <w:t xml:space="preserve">Quelle: </w:t>
      </w:r>
      <w:r>
        <w:rPr>
          <w:sz w:val="17"/>
        </w:rPr>
        <w:t>AH 2.7, Kap. 3.1.1, 3.1.9.1, 3.1.10, 3.4.2</w:t>
      </w:r>
    </w:p>
    <w:p>
      <w:pPr>
        <w:pStyle w:val="Heading2"/>
      </w:pPr>
      <w:r>
        <w:t>5.2 Am Desktop (LM065 → LM064)</w:t>
      </w:r>
    </w:p>
    <w:p>
      <w:pPr>
        <w:tabs>
          <w:tab w:pos="425" w:val="left"/>
        </w:tabs>
        <w:spacing w:after="60"/>
        <w:ind w:left="425" w:hanging="425"/>
      </w:pPr>
      <w:r>
        <w:rPr>
          <w:b/>
        </w:rPr>
        <w:t>1.</w:t>
        <w:tab/>
      </w:r>
      <w:r>
        <w:rPr>
          <w:b/>
        </w:rPr>
        <w:t>LM065 Übersicht Zielplatzgruppen</w:t>
      </w:r>
      <w:r>
        <w:t xml:space="preserve"> öffnen und suchen.</w:t>
      </w:r>
    </w:p>
    <w:p>
      <w:pPr>
        <w:tabs>
          <w:tab w:pos="425" w:val="left"/>
        </w:tabs>
        <w:spacing w:after="60"/>
        <w:ind w:left="425" w:hanging="425"/>
      </w:pPr>
      <w:r>
        <w:rPr>
          <w:b/>
        </w:rPr>
        <w:t>2.</w:t>
        <w:tab/>
      </w:r>
      <w:r>
        <w:t xml:space="preserve">Im Bereich </w:t>
      </w:r>
      <w:r>
        <w:rPr>
          <w:b/>
        </w:rPr>
        <w:t>Suchergebnis</w:t>
      </w:r>
      <w:r>
        <w:t xml:space="preserve"> rechtsklicken → </w:t>
      </w:r>
      <w:r>
        <w:rPr>
          <w:b/>
        </w:rPr>
        <w:t>Gruppe generieren</w:t>
      </w:r>
      <w:r>
        <w:t xml:space="preserve">. </w:t>
      </w:r>
      <w:r>
        <w:rPr>
          <w:b/>
        </w:rPr>
        <w:t>LM064 Zielplatz-Generator</w:t>
      </w:r>
      <w:r>
        <w:t xml:space="preserve"> öffnet sich.</w:t>
      </w:r>
    </w:p>
    <w:p>
      <w:pPr>
        <w:tabs>
          <w:tab w:pos="425" w:val="left"/>
        </w:tabs>
        <w:spacing w:after="60"/>
        <w:ind w:left="425" w:hanging="425"/>
      </w:pPr>
      <w:r>
        <w:rPr>
          <w:b/>
        </w:rPr>
        <w:t>3.</w:t>
        <w:tab/>
      </w:r>
      <w:r>
        <w:rPr>
          <w:rFonts w:ascii="Consolas" w:hAnsi="Consolas" w:cs="Consolas" w:eastAsia="Consolas"/>
          <w:sz w:val="18"/>
        </w:rPr>
        <w:t>WAMAS Lift &amp; Store-Zone</w:t>
      </w:r>
      <w:r>
        <w:t xml:space="preserve"> (Lagerstandort + Zone) wählen.</w:t>
      </w:r>
    </w:p>
    <w:p>
      <w:pPr>
        <w:tabs>
          <w:tab w:pos="425" w:val="left"/>
        </w:tabs>
        <w:spacing w:after="60"/>
        <w:ind w:left="425" w:hanging="425"/>
      </w:pPr>
      <w:r>
        <w:rPr>
          <w:b/>
        </w:rPr>
        <w:t>4.</w:t>
        <w:tab/>
      </w:r>
      <w:r>
        <w:rPr>
          <w:rFonts w:ascii="Consolas" w:hAnsi="Consolas" w:cs="Consolas" w:eastAsia="Consolas"/>
          <w:sz w:val="18"/>
        </w:rPr>
        <w:t>Gruppenname</w:t>
      </w:r>
      <w:r>
        <w:t xml:space="preserve">, </w:t>
      </w:r>
      <w:r>
        <w:rPr>
          <w:rFonts w:ascii="Consolas" w:hAnsi="Consolas" w:cs="Consolas" w:eastAsia="Consolas"/>
          <w:sz w:val="18"/>
        </w:rPr>
        <w:t>Spalten</w:t>
      </w:r>
      <w:r>
        <w:t xml:space="preserve">, </w:t>
      </w:r>
      <w:r>
        <w:rPr>
          <w:rFonts w:ascii="Consolas" w:hAnsi="Consolas" w:cs="Consolas" w:eastAsia="Consolas"/>
          <w:sz w:val="18"/>
        </w:rPr>
        <w:t>Reihen</w:t>
      </w:r>
      <w:r>
        <w:t xml:space="preserve"> eingeben.</w:t>
      </w:r>
    </w:p>
    <w:p>
      <w:pPr>
        <w:tabs>
          <w:tab w:pos="425" w:val="left"/>
        </w:tabs>
        <w:spacing w:after="60"/>
        <w:ind w:left="425" w:hanging="425"/>
      </w:pPr>
      <w:r>
        <w:rPr>
          <w:b/>
        </w:rPr>
        <w:t>5.</w:t>
        <w:tab/>
      </w:r>
      <w:r>
        <w:t xml:space="preserve">Länge, Breite, Höhe mit Maßeinheit eingeben; ggf. </w:t>
      </w:r>
      <w:r>
        <w:rPr>
          <w:b/>
        </w:rPr>
        <w:t>Uneingeschränkte Kapazität</w:t>
      </w:r>
      <w:r>
        <w:t xml:space="preserve"> aktivieren.</w:t>
      </w:r>
    </w:p>
    <w:p>
      <w:pPr>
        <w:tabs>
          <w:tab w:pos="425" w:val="left"/>
        </w:tabs>
        <w:spacing w:after="60"/>
        <w:ind w:left="425" w:hanging="425"/>
      </w:pPr>
      <w:r>
        <w:rPr>
          <w:b/>
        </w:rPr>
        <w:t>6.</w:t>
        <w:tab/>
      </w:r>
      <w:r>
        <w:rPr>
          <w:b/>
        </w:rPr>
        <w:t>Zielplätze generieren</w:t>
      </w:r>
      <w:r>
        <w:t>. LM064 schließt sich.</w:t>
      </w:r>
    </w:p>
    <w:p>
      <w:pPr>
        <w:tabs>
          <w:tab w:pos="425" w:val="left"/>
        </w:tabs>
        <w:spacing w:after="60"/>
        <w:ind w:left="425" w:hanging="425"/>
      </w:pPr>
      <w:r>
        <w:rPr>
          <w:b/>
        </w:rPr>
        <w:t>7.</w:t>
        <w:tab/>
      </w:r>
      <w:r>
        <w:t xml:space="preserve">In LM065 die neue Gruppe rechtsklicken → </w:t>
      </w:r>
      <w:r>
        <w:rPr>
          <w:b/>
        </w:rPr>
        <w:t>Zugriffsöffnung zuordnen</w:t>
      </w:r>
      <w:r>
        <w:t xml:space="preserve"> → </w:t>
      </w:r>
      <w:r>
        <w:rPr>
          <w:b/>
        </w:rPr>
        <w:t>FW005</w:t>
      </w:r>
      <w:r>
        <w:t xml:space="preserve">: eine oder mehrere Zugriffsöffnungen → </w:t>
      </w:r>
      <w:r>
        <w:rPr>
          <w:b/>
        </w:rPr>
        <w:t>Auswählen</w:t>
      </w:r>
      <w:r>
        <w:t>.</w:t>
      </w:r>
    </w:p>
    <w:p>
      <w:pPr>
        <w:tabs>
          <w:tab w:pos="425" w:val="left"/>
        </w:tabs>
        <w:spacing w:after="60"/>
        <w:ind w:left="425" w:hanging="425"/>
      </w:pPr>
      <w:r>
        <w:rPr>
          <w:b/>
        </w:rPr>
        <w:t>8.</w:t>
        <w:tab/>
      </w:r>
      <w:r>
        <w:t xml:space="preserve">Einzelne Plätze in </w:t>
      </w:r>
      <w:r>
        <w:rPr>
          <w:b/>
        </w:rPr>
        <w:t>LM088</w:t>
      </w:r>
      <w:r>
        <w:t xml:space="preserve"> nachpflegen (Kapitel 7.1).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LM064 Zielplatz-Generator, ausgefüllt]</w:t>
            </w:r>
          </w:p>
          <w:p>
            <w:pPr>
              <w:spacing w:after="40"/>
            </w:pPr>
            <w:r>
              <w:rPr>
                <w:sz w:val="19"/>
              </w:rPr>
              <w:t>Alle Felder sichtbar, z. B. 4 Spalten × 2 Reihen.</w:t>
            </w:r>
          </w:p>
        </w:tc>
      </w:tr>
    </w:tbl>
    <w:p>
      <w:pPr>
        <w:spacing w:after="40"/>
      </w:pPr>
    </w:p>
    <w:p>
      <w:pPr>
        <w:pStyle w:val="Quelle"/>
      </w:pPr>
      <w:r>
        <w:rPr>
          <w:b/>
        </w:rPr>
        <w:t xml:space="preserve">Quelle: </w:t>
      </w:r>
      <w:r>
        <w:rPr>
          <w:sz w:val="17"/>
        </w:rPr>
        <w:t>AH 2.7, Kap. 3.1.12</w:t>
      </w:r>
    </w:p>
    <w:p>
      <w:pPr>
        <w:pStyle w:val="Heading2"/>
      </w:pPr>
      <w:r>
        <w:t>5.3 Am Touch-Client (LM044 → LM106)</w:t>
      </w:r>
    </w:p>
    <w:p>
      <w:pPr>
        <w:tabs>
          <w:tab w:pos="425" w:val="left"/>
        </w:tabs>
        <w:spacing w:after="60"/>
        <w:ind w:left="425" w:hanging="425"/>
      </w:pPr>
      <w:r>
        <w:rPr>
          <w:b/>
        </w:rPr>
        <w:t>1.</w:t>
        <w:tab/>
      </w:r>
      <w:r>
        <w:t xml:space="preserve">In der Menüleiste </w:t>
      </w:r>
      <w:r>
        <w:rPr>
          <w:b/>
        </w:rPr>
        <w:t>Tools anzeigen</w:t>
      </w:r>
      <w:r>
        <w:t xml:space="preserve"> → </w:t>
      </w:r>
      <w:r>
        <w:rPr>
          <w:b/>
        </w:rPr>
        <w:t>LM044 Zielplätze</w:t>
      </w:r>
      <w:r>
        <w:t>.</w:t>
      </w:r>
    </w:p>
    <w:p>
      <w:pPr>
        <w:tabs>
          <w:tab w:pos="425" w:val="left"/>
        </w:tabs>
        <w:spacing w:after="60"/>
        <w:ind w:left="425" w:hanging="425"/>
      </w:pPr>
      <w:r>
        <w:rPr>
          <w:b/>
        </w:rPr>
        <w:t>2.</w:t>
        <w:tab/>
      </w:r>
      <w:r>
        <w:t xml:space="preserve">Icon </w:t>
      </w:r>
      <w:r>
        <w:rPr>
          <w:b/>
        </w:rPr>
        <w:t>Generieren</w:t>
      </w:r>
      <w:r>
        <w:t xml:space="preserve"> → </w:t>
      </w:r>
      <w:r>
        <w:rPr>
          <w:b/>
        </w:rPr>
        <w:t>LM106 Zielplätze generieren</w:t>
      </w:r>
      <w:r>
        <w:t>.</w:t>
      </w:r>
    </w:p>
    <w:p>
      <w:pPr>
        <w:tabs>
          <w:tab w:pos="425" w:val="left"/>
        </w:tabs>
        <w:spacing w:after="60"/>
        <w:ind w:left="425" w:hanging="425"/>
      </w:pPr>
      <w:r>
        <w:rPr>
          <w:b/>
        </w:rPr>
        <w:t>3.</w:t>
        <w:tab/>
      </w:r>
      <w:r>
        <w:rPr>
          <w:rFonts w:ascii="Consolas" w:hAnsi="Consolas" w:cs="Consolas" w:eastAsia="Consolas"/>
          <w:sz w:val="18"/>
        </w:rPr>
        <w:t>Gruppenname</w:t>
      </w:r>
      <w:r>
        <w:t xml:space="preserve">, </w:t>
      </w:r>
      <w:r>
        <w:rPr>
          <w:rFonts w:ascii="Consolas" w:hAnsi="Consolas" w:cs="Consolas" w:eastAsia="Consolas"/>
          <w:sz w:val="18"/>
        </w:rPr>
        <w:t>Spalten</w:t>
      </w:r>
      <w:r>
        <w:t xml:space="preserve">, </w:t>
      </w:r>
      <w:r>
        <w:rPr>
          <w:rFonts w:ascii="Consolas" w:hAnsi="Consolas" w:cs="Consolas" w:eastAsia="Consolas"/>
          <w:sz w:val="18"/>
        </w:rPr>
        <w:t>Reihen</w:t>
      </w:r>
      <w:r>
        <w:t xml:space="preserve">, Länge/Breite/Höhe mit Maßeinheit eingeben; ggf. </w:t>
      </w:r>
      <w:r>
        <w:rPr>
          <w:b/>
        </w:rPr>
        <w:t>Uneingeschränkte Kapazität</w:t>
      </w:r>
      <w:r>
        <w:t>.</w:t>
      </w:r>
    </w:p>
    <w:p>
      <w:pPr>
        <w:tabs>
          <w:tab w:pos="425" w:val="left"/>
        </w:tabs>
        <w:spacing w:after="60"/>
        <w:ind w:left="425" w:hanging="425"/>
      </w:pPr>
      <w:r>
        <w:rPr>
          <w:b/>
        </w:rPr>
        <w:t>4.</w:t>
        <w:tab/>
      </w:r>
      <w:r>
        <w:t xml:space="preserve">Icon </w:t>
      </w:r>
      <w:r>
        <w:rPr>
          <w:b/>
        </w:rPr>
        <w:t>Generieren</w:t>
      </w:r>
      <w:r>
        <w:t xml:space="preserve"> tippen. Die Zielplätze sind angelegt und der </w:t>
      </w:r>
      <w:r>
        <w:rPr>
          <w:b/>
        </w:rPr>
        <w:t>aktiven Zugriffsöffnung</w:t>
      </w:r>
      <w:r>
        <w:t xml:space="preserve"> zugeordnet; die Zielplatzgruppe wird automatisch angelegt.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LM044 Zielplätze mit geöffnetem LM106]</w:t>
            </w:r>
          </w:p>
          <w:p>
            <w:pPr>
              <w:spacing w:after="40"/>
            </w:pPr>
            <w:r>
              <w:rPr>
                <w:sz w:val="19"/>
              </w:rPr>
              <w:t>Symbolleiste von LM044 (Generieren, Alle entfernen, Platzgruppe zuordnen, Lagerplatzkennung zuordnen, LE buchen, Drucken) und LM106 mit Feldern.</w:t>
            </w:r>
          </w:p>
        </w:tc>
      </w:tr>
    </w:tbl>
    <w:p>
      <w:pPr>
        <w:spacing w:after="40"/>
      </w:pPr>
    </w:p>
    <w:p>
      <w:pPr>
        <w:pStyle w:val="Quelle"/>
      </w:pPr>
      <w:r>
        <w:rPr>
          <w:b/>
        </w:rPr>
        <w:t xml:space="preserve">Quelle: </w:t>
      </w:r>
      <w:r>
        <w:rPr>
          <w:sz w:val="17"/>
        </w:rPr>
        <w:t xml:space="preserve">BH 2.7, Kap. 5.4.1, 5.4.3; BH R2.4, Kap. 4.3.1 (gleicher Ablauf, Bestätigung dort mit </w:t>
      </w:r>
      <w:r>
        <w:rPr>
          <w:b/>
          <w:sz w:val="17"/>
        </w:rPr>
        <w:t>Speichern</w:t>
      </w:r>
      <w:r>
        <w:rPr>
          <w:sz w:val="17"/>
        </w:rPr>
        <w:t>)</w:t>
      </w:r>
    </w:p>
    <w:p>
      <w:pPr>
        <w:pStyle w:val="Heading2"/>
      </w:pPr>
      <w:r>
        <w:t>5.4 Lagerplatzkennung und Reihenfolge am Touch-Client (LM107)</w:t>
      </w:r>
    </w:p>
    <w:p>
      <w:pPr>
        <w:tabs>
          <w:tab w:pos="425" w:val="left"/>
        </w:tabs>
        <w:spacing w:after="60"/>
        <w:ind w:left="425" w:hanging="425"/>
      </w:pPr>
      <w:r>
        <w:rPr>
          <w:b/>
        </w:rPr>
        <w:t>1.</w:t>
        <w:tab/>
      </w:r>
      <w:r>
        <w:rPr>
          <w:b/>
        </w:rPr>
        <w:t>LM044</w:t>
      </w:r>
      <w:r>
        <w:t xml:space="preserve"> → Zielplatz wählen → </w:t>
      </w:r>
      <w:r>
        <w:rPr>
          <w:b/>
        </w:rPr>
        <w:t>Lagerplatzkennung zuordnen</w:t>
      </w:r>
      <w:r>
        <w:t xml:space="preserve">. </w:t>
      </w:r>
      <w:r>
        <w:rPr>
          <w:b/>
        </w:rPr>
        <w:t>LM107 LE auf externem Lagerplatz verwalten</w:t>
      </w:r>
      <w:r>
        <w:t xml:space="preserve"> öffnet sich.</w:t>
      </w:r>
    </w:p>
    <w:p>
      <w:pPr>
        <w:tabs>
          <w:tab w:pos="425" w:val="left"/>
        </w:tabs>
        <w:spacing w:after="60"/>
        <w:ind w:left="425" w:hanging="425"/>
      </w:pPr>
      <w:r>
        <w:rPr>
          <w:b/>
        </w:rPr>
        <w:t>2.</w:t>
        <w:tab/>
      </w:r>
      <w:r>
        <w:rPr>
          <w:rFonts w:ascii="Consolas" w:hAnsi="Consolas" w:cs="Consolas" w:eastAsia="Consolas"/>
          <w:sz w:val="18"/>
        </w:rPr>
        <w:t>Lagerplatzkennung</w:t>
      </w:r>
      <w:r>
        <w:t xml:space="preserve"> eingeben.</w:t>
      </w:r>
    </w:p>
    <w:p>
      <w:pPr>
        <w:tabs>
          <w:tab w:pos="425" w:val="left"/>
        </w:tabs>
        <w:spacing w:after="60"/>
        <w:ind w:left="425" w:hanging="425"/>
      </w:pPr>
      <w:r>
        <w:rPr>
          <w:b/>
        </w:rPr>
        <w:t>3.</w:t>
        <w:tab/>
      </w:r>
      <w:r>
        <w:rPr>
          <w:rFonts w:ascii="Consolas" w:hAnsi="Consolas" w:cs="Consolas" w:eastAsia="Consolas"/>
          <w:sz w:val="18"/>
        </w:rPr>
        <w:t>Reihenfolge</w:t>
      </w:r>
      <w:r>
        <w:t xml:space="preserve"> eingeben; sie wird laut Handbuch „während der Einlagerung“ berücksichtigt.</w:t>
      </w:r>
    </w:p>
    <w:p>
      <w:pPr>
        <w:tabs>
          <w:tab w:pos="425" w:val="left"/>
        </w:tabs>
        <w:spacing w:after="60"/>
        <w:ind w:left="425" w:hanging="425"/>
      </w:pPr>
      <w:r>
        <w:rPr>
          <w:b/>
        </w:rPr>
        <w:t>4.</w:t>
        <w:tab/>
      </w:r>
      <w:r>
        <w:t xml:space="preserve">Icon </w:t>
      </w:r>
      <w:r>
        <w:rPr>
          <w:b/>
        </w:rPr>
        <w:t>LE buchen</w:t>
      </w:r>
      <w:r>
        <w:t xml:space="preserve"> tippen, um zu bestätigen.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LM107 im Modus „Lagerplatzkennung zuordnen“]</w:t>
            </w:r>
          </w:p>
          <w:p>
            <w:pPr>
              <w:spacing w:after="40"/>
            </w:pPr>
            <w:r>
              <w:rPr>
                <w:sz w:val="19"/>
              </w:rPr>
              <w:t xml:space="preserve">Felder </w:t>
            </w:r>
            <w:r>
              <w:rPr>
                <w:rFonts w:ascii="Consolas" w:hAnsi="Consolas" w:cs="Consolas" w:eastAsia="Consolas"/>
                <w:sz w:val="17"/>
              </w:rPr>
              <w:t>Lagerplatzkennung</w:t>
            </w:r>
            <w:r>
              <w:rPr>
                <w:sz w:val="19"/>
              </w:rPr>
              <w:t xml:space="preserve"> und </w:t>
            </w:r>
            <w:r>
              <w:rPr>
                <w:rFonts w:ascii="Consolas" w:hAnsi="Consolas" w:cs="Consolas" w:eastAsia="Consolas"/>
                <w:sz w:val="17"/>
              </w:rPr>
              <w:t>Reihenfolge</w:t>
            </w:r>
            <w:r>
              <w:rPr>
                <w:sz w:val="19"/>
              </w:rPr>
              <w:t xml:space="preserve">; zeigt, dass der Button trotzdem </w:t>
            </w:r>
            <w:r>
              <w:rPr>
                <w:b/>
                <w:sz w:val="19"/>
              </w:rPr>
              <w:t>LE buchen</w:t>
            </w:r>
            <w:r>
              <w:rPr>
                <w:sz w:val="19"/>
              </w:rPr>
              <w:t xml:space="preserve"> heißt.</w:t>
            </w:r>
          </w:p>
        </w:tc>
      </w:tr>
    </w:tbl>
    <w:p>
      <w:pPr>
        <w:spacing w:after="40"/>
      </w:pPr>
    </w:p>
    <w:p>
      <w:pPr>
        <w:pStyle w:val="Quelle"/>
      </w:pPr>
      <w:r>
        <w:rPr>
          <w:b/>
        </w:rPr>
        <w:t xml:space="preserve">Quelle: </w:t>
      </w:r>
      <w:r>
        <w:rPr>
          <w:sz w:val="17"/>
        </w:rPr>
        <w:t>BH 2.7, Kap. 5.4.4; BH R2.4, Kap. 4.3.1</w:t>
      </w:r>
    </w:p>
    <w:p>
      <w:pPr>
        <w:pStyle w:val="Heading2"/>
      </w:pPr>
      <w:r>
        <w:t>5.5 Kommissionierwagen anlegen</w:t>
      </w:r>
    </w:p>
    <w:p>
      <w:r>
        <w:rPr>
          <w:b/>
        </w:rPr>
        <w:t>Desktop:</w:t>
      </w:r>
      <w:r>
        <w:t xml:space="preserve"> </w:t>
      </w:r>
      <w:r>
        <w:rPr>
          <w:b/>
        </w:rPr>
        <w:t>LM065</w:t>
      </w:r>
      <w:r>
        <w:t xml:space="preserve"> → Rechtsklick → </w:t>
      </w:r>
      <w:r>
        <w:rPr>
          <w:b/>
        </w:rPr>
        <w:t>Kommissionierwagen anlegen</w:t>
      </w:r>
      <w:r>
        <w:t xml:space="preserve"> → </w:t>
      </w:r>
      <w:r>
        <w:rPr>
          <w:b/>
        </w:rPr>
        <w:t>LM152</w:t>
      </w:r>
      <w:r>
        <w:t xml:space="preserve">: </w:t>
      </w:r>
      <w:r>
        <w:rPr>
          <w:rFonts w:ascii="Consolas" w:hAnsi="Consolas" w:cs="Consolas" w:eastAsia="Consolas"/>
          <w:sz w:val="18"/>
        </w:rPr>
        <w:t>Gruppenname</w:t>
      </w:r>
      <w:r>
        <w:t xml:space="preserve">, </w:t>
      </w:r>
      <w:r>
        <w:rPr>
          <w:rFonts w:ascii="Consolas" w:hAnsi="Consolas" w:cs="Consolas" w:eastAsia="Consolas"/>
          <w:sz w:val="18"/>
        </w:rPr>
        <w:t>Lagerfachträgertyp</w:t>
      </w:r>
      <w:r>
        <w:t xml:space="preserve">, </w:t>
      </w:r>
      <w:r>
        <w:rPr>
          <w:rFonts w:ascii="Consolas" w:hAnsi="Consolas" w:cs="Consolas" w:eastAsia="Consolas"/>
          <w:sz w:val="18"/>
        </w:rPr>
        <w:t>Spalten</w:t>
      </w:r>
      <w:r>
        <w:t xml:space="preserve">, </w:t>
      </w:r>
      <w:r>
        <w:rPr>
          <w:rFonts w:ascii="Consolas" w:hAnsi="Consolas" w:cs="Consolas" w:eastAsia="Consolas"/>
          <w:sz w:val="18"/>
        </w:rPr>
        <w:t>Reihen</w:t>
      </w:r>
      <w:r>
        <w:t xml:space="preserve">, </w:t>
      </w:r>
      <w:r>
        <w:rPr>
          <w:rFonts w:ascii="Consolas" w:hAnsi="Consolas" w:cs="Consolas" w:eastAsia="Consolas"/>
          <w:sz w:val="18"/>
        </w:rPr>
        <w:t>LP-Tiefe (X)</w:t>
      </w:r>
      <w:r>
        <w:t xml:space="preserve">, </w:t>
      </w:r>
      <w:r>
        <w:rPr>
          <w:rFonts w:ascii="Consolas" w:hAnsi="Consolas" w:cs="Consolas" w:eastAsia="Consolas"/>
          <w:sz w:val="18"/>
        </w:rPr>
        <w:t>LP-Breite (Y)</w:t>
      </w:r>
      <w:r>
        <w:t xml:space="preserve">, </w:t>
      </w:r>
      <w:r>
        <w:rPr>
          <w:rFonts w:ascii="Consolas" w:hAnsi="Consolas" w:cs="Consolas" w:eastAsia="Consolas"/>
          <w:sz w:val="18"/>
        </w:rPr>
        <w:t>LP-Höhe (Z)</w:t>
      </w:r>
      <w:r>
        <w:t xml:space="preserve"> → </w:t>
      </w:r>
      <w:r>
        <w:rPr>
          <w:b/>
        </w:rPr>
        <w:t>Kommissionierwagen anlegen</w:t>
      </w:r>
      <w:r>
        <w:t xml:space="preserve">. </w:t>
      </w:r>
      <w:r>
        <w:rPr>
          <w:b/>
        </w:rPr>
        <w:t>Touch:</w:t>
      </w:r>
      <w:r>
        <w:t xml:space="preserve"> </w:t>
      </w:r>
      <w:r>
        <w:rPr>
          <w:b/>
        </w:rPr>
        <w:t>LM040</w:t>
      </w:r>
      <w:r>
        <w:t xml:space="preserve"> › </w:t>
      </w:r>
      <w:r>
        <w:rPr>
          <w:b/>
        </w:rPr>
        <w:t>Übersicht Kommissionierwägen</w:t>
      </w:r>
      <w:r>
        <w:t xml:space="preserve"> → </w:t>
      </w:r>
      <w:r>
        <w:rPr>
          <w:b/>
        </w:rPr>
        <w:t>Kommissionierwagen anlegen</w:t>
      </w:r>
      <w:r>
        <w:t xml:space="preserve"> (LM153) → Felder wie Tab. 7 → </w:t>
      </w:r>
      <w:r>
        <w:rPr>
          <w:b/>
        </w:rPr>
        <w:t>Generieren</w:t>
      </w:r>
      <w:r>
        <w:t xml:space="preserve"> → </w:t>
      </w:r>
      <w:r>
        <w:rPr>
          <w:b/>
        </w:rPr>
        <w:t>Kommissionierwagen freigeben</w:t>
      </w:r>
      <w:r>
        <w:t xml:space="preserve"> → </w:t>
      </w:r>
      <w:r>
        <w:rPr>
          <w:b/>
        </w:rPr>
        <w:t>Bestätigen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LM152 Kommissionierwagen anlegen]</w:t>
            </w:r>
          </w:p>
          <w:p>
            <w:pPr>
              <w:spacing w:after="40"/>
            </w:pPr>
            <w:r>
              <w:rPr>
                <w:sz w:val="19"/>
              </w:rPr>
              <w:t>Mit gewähltem Lagerfachträgertyp.</w:t>
            </w:r>
          </w:p>
        </w:tc>
      </w:tr>
    </w:tbl>
    <w:p>
      <w:pPr>
        <w:spacing w:after="40"/>
      </w:pPr>
    </w:p>
    <w:p>
      <w:pPr>
        <w:pStyle w:val="Quelle"/>
      </w:pPr>
      <w:r>
        <w:rPr>
          <w:b/>
        </w:rPr>
        <w:t xml:space="preserve">Quelle: </w:t>
      </w:r>
      <w:r>
        <w:rPr>
          <w:sz w:val="17"/>
        </w:rPr>
        <w:t>AH 2.7, Kap. 3.1.17; BH 2.7, Kap. 5.5.1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Einzelnen Zielplatz anlegen</w:t>
            </w:r>
          </w:p>
          <w:p>
            <w:pPr>
              <w:spacing w:after="40"/>
            </w:pPr>
            <w:r>
              <w:rPr>
                <w:sz w:val="19"/>
              </w:rPr>
              <w:t xml:space="preserve">Die Handbücher beschreiben kein Anlegen eines </w:t>
            </w:r>
            <w:r>
              <w:rPr>
                <w:b/>
                <w:sz w:val="19"/>
              </w:rPr>
              <w:t>einzelnen</w:t>
            </w:r>
            <w:r>
              <w:rPr>
                <w:sz w:val="19"/>
              </w:rPr>
              <w:t xml:space="preserve"> Zielplatzes ohne Generator. LM088 pflegt laut AH einen vorhandenen Zielplatz (Auswahl von Zielplatzgruppe, Lagerstandort und Lagerplatz). Ein einzelner Platz entsteht dokumentiert nur als Gruppe mit 1 Spalte × 1 Reihe.</w:t>
            </w:r>
          </w:p>
        </w:tc>
      </w:tr>
    </w:tbl>
    <w:p>
      <w:pPr>
        <w:spacing w:after="40"/>
      </w:pPr>
    </w:p>
    <w:p>
      <w:pPr>
        <w:pStyle w:val="Heading1"/>
      </w:pPr>
      <w:r>
        <w:t>6 Zielplätze generieren (Massenanlage)</w:t>
      </w:r>
    </w:p>
    <w:p>
      <w:pPr>
        <w:pStyle w:val="Heading2"/>
      </w:pPr>
      <w:r>
        <w:t>6.1 Der Generator ist der dokumentierte Weg</w:t>
      </w:r>
    </w:p>
    <w:p>
      <w:r>
        <w:t xml:space="preserve">In 2.7 und 2.8 entstehen Zielplätze ausschließlich über den Generator: </w:t>
      </w:r>
      <w:r>
        <w:rPr>
          <w:b/>
        </w:rPr>
        <w:t>LM064</w:t>
      </w:r>
      <w:r>
        <w:t xml:space="preserve"> am Desktop bzw. </w:t>
      </w:r>
      <w:r>
        <w:rPr>
          <w:b/>
        </w:rPr>
        <w:t>LM106</w:t>
      </w:r>
      <w:r>
        <w:t xml:space="preserve"> am Touch-Client. Ein Durchlauf erzeugt Spalten × Reihen gleich großer Plätze einer Gruppe. Unterschiedlich große Fächer oder mehrere Regale werden daher als </w:t>
      </w:r>
      <w:r>
        <w:rPr>
          <w:b/>
        </w:rPr>
        <w:t>mehrere Gruppen</w:t>
      </w:r>
      <w:r>
        <w:t xml:space="preserve"> angelegt.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3"/>
        <w:gridCol w:w="1058"/>
        <w:gridCol w:w="4233"/>
      </w:tblGrid>
      <w:tr>
        <w:trPr>
          <w:tblHeader w:val="true"/>
        </w:trPr>
        <w:tc>
          <w:tcPr>
            <w:tcW w:type="dxa" w:w="4233"/>
            <w:shd w:val="clear" w:color="auto" w:fill="FEEE19"/>
          </w:tcPr>
          <w:p>
            <w:pPr>
              <w:spacing w:after="0"/>
            </w:pPr>
            <w:r>
              <w:rPr>
                <w:b/>
                <w:sz w:val="17"/>
              </w:rPr>
              <w:t>Werkzeug</w:t>
            </w:r>
          </w:p>
        </w:tc>
        <w:tc>
          <w:tcPr>
            <w:tcW w:type="dxa" w:w="1058"/>
            <w:shd w:val="clear" w:color="auto" w:fill="FEEE19"/>
          </w:tcPr>
          <w:p>
            <w:pPr>
              <w:spacing w:after="0"/>
            </w:pPr>
            <w:r>
              <w:rPr>
                <w:b/>
                <w:sz w:val="17"/>
              </w:rPr>
              <w:t>Für Zielplätze?</w:t>
            </w:r>
          </w:p>
        </w:tc>
        <w:tc>
          <w:tcPr>
            <w:tcW w:type="dxa" w:w="4233"/>
            <w:shd w:val="clear" w:color="auto" w:fill="FEEE19"/>
          </w:tcPr>
          <w:p>
            <w:pPr>
              <w:spacing w:after="0"/>
            </w:pPr>
            <w:r>
              <w:rPr>
                <w:b/>
                <w:sz w:val="17"/>
              </w:rPr>
              <w:t>Was laut Doku importiert wird</w:t>
            </w:r>
          </w:p>
        </w:tc>
      </w:tr>
      <w:tr>
        <w:tc>
          <w:tcPr>
            <w:tcW w:type="dxa" w:w="4233"/>
          </w:tcPr>
          <w:p>
            <w:pPr>
              <w:spacing w:after="0" w:line="252" w:lineRule="auto"/>
            </w:pPr>
            <w:r>
              <w:rPr>
                <w:b/>
                <w:sz w:val="17"/>
              </w:rPr>
              <w:t>LM064 / LM106</w:t>
            </w:r>
            <w:r>
              <w:rPr>
                <w:sz w:val="17"/>
              </w:rPr>
              <w:t xml:space="preserve"> Generator</w:t>
            </w:r>
          </w:p>
        </w:tc>
        <w:tc>
          <w:tcPr>
            <w:tcW w:type="dxa" w:w="1058"/>
          </w:tcPr>
          <w:p>
            <w:pPr>
              <w:spacing w:after="0" w:line="252" w:lineRule="auto"/>
            </w:pPr>
            <w:r>
              <w:rPr>
                <w:sz w:val="17"/>
              </w:rPr>
              <w:t>Ja</w:t>
            </w:r>
          </w:p>
        </w:tc>
        <w:tc>
          <w:tcPr>
            <w:tcW w:type="dxa" w:w="4233"/>
          </w:tcPr>
          <w:p>
            <w:pPr>
              <w:spacing w:after="0" w:line="252" w:lineRule="auto"/>
            </w:pPr>
            <w:r>
              <w:rPr>
                <w:sz w:val="17"/>
              </w:rPr>
              <w:t>Zielplatzgruppe mit Spalten × Reihen</w:t>
            </w:r>
          </w:p>
        </w:tc>
      </w:tr>
      <w:tr>
        <w:tc>
          <w:tcPr>
            <w:tcW w:type="dxa" w:w="4233"/>
          </w:tcPr>
          <w:p>
            <w:pPr>
              <w:spacing w:after="0" w:line="252" w:lineRule="auto"/>
            </w:pPr>
            <w:r>
              <w:rPr>
                <w:b/>
                <w:sz w:val="17"/>
              </w:rPr>
              <w:t>LM061</w:t>
            </w:r>
            <w:r>
              <w:rPr>
                <w:sz w:val="17"/>
              </w:rPr>
              <w:t xml:space="preserve"> Konfigurationsimport</w:t>
            </w:r>
          </w:p>
        </w:tc>
        <w:tc>
          <w:tcPr>
            <w:tcW w:type="dxa" w:w="1058"/>
          </w:tcPr>
          <w:p>
            <w:pPr>
              <w:spacing w:after="0" w:line="252" w:lineRule="auto"/>
            </w:pPr>
            <w:r>
              <w:rPr>
                <w:sz w:val="17"/>
              </w:rPr>
              <w:t>Nein</w:t>
            </w:r>
          </w:p>
        </w:tc>
        <w:tc>
          <w:tcPr>
            <w:tcW w:type="dxa" w:w="4233"/>
          </w:tcPr>
          <w:p>
            <w:pPr>
              <w:spacing w:after="0" w:line="252" w:lineRule="auto"/>
            </w:pPr>
            <w:r>
              <w:rPr>
                <w:sz w:val="17"/>
              </w:rPr>
              <w:t>Boxtypen, Zonen, SSI LOGIMAT, UST-Kommunikation</w:t>
            </w:r>
          </w:p>
        </w:tc>
      </w:tr>
      <w:tr>
        <w:tc>
          <w:tcPr>
            <w:tcW w:type="dxa" w:w="4233"/>
          </w:tcPr>
          <w:p>
            <w:pPr>
              <w:spacing w:after="0" w:line="252" w:lineRule="auto"/>
            </w:pPr>
            <w:r>
              <w:rPr>
                <w:sz w:val="17"/>
              </w:rPr>
              <w:t xml:space="preserve">Externe Lagerplatzgruppen importieren (AH 2.7 Kap. 3.1.13.2, CSV-Beispiel </w:t>
            </w:r>
            <w:r>
              <w:rPr>
                <w:rFonts w:ascii="Consolas" w:hAnsi="Consolas" w:cs="Consolas" w:eastAsia="Consolas"/>
                <w:sz w:val="15"/>
              </w:rPr>
              <w:t>Import_ExternalLocation_NK_FORUM_example.csv</w:t>
            </w:r>
            <w:r>
              <w:rPr>
                <w:sz w:val="17"/>
              </w:rPr>
              <w:t>)</w:t>
            </w:r>
          </w:p>
        </w:tc>
        <w:tc>
          <w:tcPr>
            <w:tcW w:type="dxa" w:w="1058"/>
          </w:tcPr>
          <w:p>
            <w:pPr>
              <w:spacing w:after="0" w:line="252" w:lineRule="auto"/>
            </w:pPr>
            <w:r>
              <w:rPr>
                <w:sz w:val="17"/>
              </w:rPr>
              <w:t>Nein</w:t>
            </w:r>
          </w:p>
        </w:tc>
        <w:tc>
          <w:tcPr>
            <w:tcW w:type="dxa" w:w="4233"/>
          </w:tcPr>
          <w:p>
            <w:pPr>
              <w:spacing w:after="0" w:line="252" w:lineRule="auto"/>
            </w:pPr>
            <w:r>
              <w:rPr>
                <w:sz w:val="17"/>
              </w:rPr>
              <w:t>externe Lagerplatzgruppen und -plätze</w:t>
            </w:r>
          </w:p>
        </w:tc>
      </w:tr>
      <w:tr>
        <w:tc>
          <w:tcPr>
            <w:tcW w:type="dxa" w:w="4233"/>
          </w:tcPr>
          <w:p>
            <w:pPr>
              <w:spacing w:after="0" w:line="252" w:lineRule="auto"/>
            </w:pPr>
            <w:r>
              <w:rPr>
                <w:sz w:val="17"/>
              </w:rPr>
              <w:t>2.8: Excel-Import (LM163)</w:t>
            </w:r>
          </w:p>
        </w:tc>
        <w:tc>
          <w:tcPr>
            <w:tcW w:type="dxa" w:w="1058"/>
          </w:tcPr>
          <w:p>
            <w:pPr>
              <w:spacing w:after="0" w:line="252" w:lineRule="auto"/>
            </w:pPr>
            <w:r>
              <w:rPr>
                <w:sz w:val="17"/>
              </w:rPr>
              <w:t>Nein</w:t>
            </w:r>
          </w:p>
        </w:tc>
        <w:tc>
          <w:tcPr>
            <w:tcW w:type="dxa" w:w="4233"/>
          </w:tcPr>
          <w:p>
            <w:pPr>
              <w:spacing w:after="0" w:line="252" w:lineRule="auto"/>
            </w:pPr>
            <w:r>
              <w:rPr>
                <w:sz w:val="17"/>
              </w:rPr>
              <w:t>Artikelstamm sowie Einlager-, Kommissionier- und Inventurbedarfe</w:t>
            </w:r>
          </w:p>
        </w:tc>
      </w:tr>
    </w:tbl>
    <w:p>
      <w:pPr>
        <w:pStyle w:val="BeschriftungSSI"/>
      </w:pPr>
      <w:r>
        <w:t>Tab. 10: Werkzeuge zur Massenanlage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Import und Assistent für Zielplätze</w:t>
            </w:r>
          </w:p>
          <w:p>
            <w:pPr>
              <w:spacing w:after="40"/>
            </w:pPr>
            <w:r>
              <w:rPr>
                <w:sz w:val="19"/>
              </w:rPr>
              <w:t>Einen Import, eine Schnittstellen-Satzart oder einen Assistenten für Zielplätze dokumentieren weder 2.7 noch 2.8. Ob sich der Import für externe Lagerplatzgruppen auch für Zielplätze eignet, ist nicht beschrieben und sollte nicht ohne Test angenommen werden.</w:t>
            </w:r>
          </w:p>
        </w:tc>
      </w:tr>
    </w:tbl>
    <w:p>
      <w:pPr>
        <w:spacing w:after="40"/>
      </w:pPr>
    </w:p>
    <w:p>
      <w:pPr>
        <w:pStyle w:val="Quelle"/>
      </w:pPr>
      <w:r>
        <w:rPr>
          <w:b/>
        </w:rPr>
        <w:t xml:space="preserve">Quelle: </w:t>
      </w:r>
      <w:r>
        <w:rPr>
          <w:sz w:val="17"/>
        </w:rPr>
        <w:t>AH 2.7, Kap. 3.1.9.1, 3.1.12, 3.1.13.2; BH 2.7, Kap. 5.4.1; AH 2.8, Kap. 3.5.6; Knowlledge-Ordner, CSV-Beispiel</w:t>
      </w:r>
    </w:p>
    <w:p>
      <w:pPr>
        <w:pStyle w:val="Heading2"/>
      </w:pPr>
      <w:r>
        <w:t>6.2 Planungshilfe für das Raster</w:t>
      </w:r>
    </w:p>
    <w:p>
      <w:pPr>
        <w:pStyle w:val="ListBullet"/>
      </w:pPr>
      <w:r>
        <w:rPr>
          <w:b/>
        </w:rPr>
        <w:t>Spalten/Reihen</w:t>
      </w:r>
      <w:r>
        <w:t xml:space="preserve"> so wählen, wie das Regal physisch aussieht; daraus entsteht die Anzahl der Plätze und damit bei </w:t>
      </w:r>
      <w:r>
        <w:rPr>
          <w:b/>
        </w:rPr>
        <w:t>Bedarfsaktivierung durch freien, externen Lagerplatz begrenzen</w:t>
      </w:r>
      <w:r>
        <w:t xml:space="preserve"> die Obergrenze gleichzeitig aktiver Bedarfe.</w:t>
      </w:r>
    </w:p>
    <w:p>
      <w:pPr>
        <w:pStyle w:val="ListBullet"/>
      </w:pPr>
      <w:r>
        <w:t>Für Express-/Kleinaufträge reservierte Plätze (</w:t>
      </w:r>
      <w:r>
        <w:rPr>
          <w:rFonts w:ascii="Consolas" w:hAnsi="Consolas" w:cs="Consolas" w:eastAsia="Consolas"/>
          <w:sz w:val="18"/>
        </w:rPr>
        <w:t>logimat.picking.externalloc.reserve</w:t>
      </w:r>
      <w:r>
        <w:t>) von der Gesamtzahl abziehen.</w:t>
      </w:r>
    </w:p>
    <w:p>
      <w:pPr>
        <w:pStyle w:val="ListBullet"/>
      </w:pPr>
      <w:r>
        <w:t xml:space="preserve">Bei PTL im 2.7-Setup je Zielplatz ein </w:t>
      </w:r>
      <w:r>
        <w:rPr>
          <w:b/>
        </w:rPr>
        <w:t>DC-LC-Gadget</w:t>
      </w:r>
      <w:r>
        <w:t xml:space="preserve"> in MF105 einplanen.</w:t>
      </w:r>
    </w:p>
    <w:p>
      <w:pPr>
        <w:pStyle w:val="ListBullet"/>
      </w:pPr>
      <w:r>
        <w:rPr>
          <w:b/>
        </w:rPr>
        <w:t>Empfehlung:</w:t>
      </w:r>
      <w:r>
        <w:t xml:space="preserve"> Reihenfolge der Plätze (LM088) so vergeben, dass die ergonomisch besten Fächer zuerst belegt werden; ohne Nummer werden Plätze zuletzt berücksichtigt.</w:t>
      </w:r>
    </w:p>
    <w:p>
      <w:pPr>
        <w:pStyle w:val="Quelle"/>
      </w:pPr>
      <w:r>
        <w:rPr>
          <w:b/>
        </w:rPr>
        <w:t xml:space="preserve">Quelle: </w:t>
      </w:r>
      <w:r>
        <w:rPr>
          <w:sz w:val="17"/>
        </w:rPr>
        <w:t>AH 2.7, Kap. 3.1.11.1, 3.6.1.10, 3.11.2; IH 2.7, Kap. 6.6</w:t>
      </w:r>
    </w:p>
    <w:p>
      <w:pPr>
        <w:pStyle w:val="Heading1"/>
      </w:pPr>
      <w:r>
        <w:t>7 Zielplätze ändern</w:t>
      </w:r>
    </w:p>
    <w:p>
      <w:pPr>
        <w:pStyle w:val="Heading2"/>
      </w:pPr>
      <w:r>
        <w:t>7.1 Platzdaten pflegen (LM088)</w:t>
      </w:r>
    </w:p>
    <w:p>
      <w:pPr>
        <w:tabs>
          <w:tab w:pos="425" w:val="left"/>
        </w:tabs>
        <w:spacing w:after="60"/>
        <w:ind w:left="425" w:hanging="425"/>
      </w:pPr>
      <w:r>
        <w:rPr>
          <w:b/>
        </w:rPr>
        <w:t>1.</w:t>
        <w:tab/>
      </w:r>
      <w:r>
        <w:rPr>
          <w:b/>
        </w:rPr>
        <w:t>LM088 Zielplatz pflegen</w:t>
      </w:r>
      <w:r>
        <w:t xml:space="preserve"> öffnen.</w:t>
      </w:r>
    </w:p>
    <w:p>
      <w:pPr>
        <w:tabs>
          <w:tab w:pos="425" w:val="left"/>
        </w:tabs>
        <w:spacing w:after="60"/>
        <w:ind w:left="425" w:hanging="425"/>
      </w:pPr>
      <w:r>
        <w:rPr>
          <w:b/>
        </w:rPr>
        <w:t>2.</w:t>
        <w:tab/>
      </w:r>
      <w:r>
        <w:t>Zielplatzgruppe, Lagerstandort und Lagerplatz wählen.</w:t>
      </w:r>
    </w:p>
    <w:p>
      <w:pPr>
        <w:tabs>
          <w:tab w:pos="425" w:val="left"/>
        </w:tabs>
        <w:spacing w:after="60"/>
        <w:ind w:left="425" w:hanging="425"/>
      </w:pPr>
      <w:r>
        <w:rPr>
          <w:b/>
        </w:rPr>
        <w:t>3.</w:t>
        <w:tab/>
      </w:r>
      <w:r>
        <w:t xml:space="preserve">Registerkarte </w:t>
      </w:r>
      <w:r>
        <w:rPr>
          <w:b/>
        </w:rPr>
        <w:t>Zielplatz</w:t>
      </w:r>
      <w:r>
        <w:t xml:space="preserve">: </w:t>
      </w:r>
      <w:r>
        <w:rPr>
          <w:rFonts w:ascii="Consolas" w:hAnsi="Consolas" w:cs="Consolas" w:eastAsia="Consolas"/>
          <w:sz w:val="18"/>
        </w:rPr>
        <w:t>Einlagerungsreihenfolge von Zielplatz</w:t>
      </w:r>
      <w:r>
        <w:t xml:space="preserve">, </w:t>
      </w:r>
      <w:r>
        <w:rPr>
          <w:b/>
        </w:rPr>
        <w:t>Uneingeschränkte Kapazität</w:t>
      </w:r>
      <w:r>
        <w:t xml:space="preserve">, </w:t>
      </w:r>
      <w:r>
        <w:rPr>
          <w:rFonts w:ascii="Consolas" w:hAnsi="Consolas" w:cs="Consolas" w:eastAsia="Consolas"/>
          <w:sz w:val="18"/>
        </w:rPr>
        <w:t>Zielplatzkennung</w:t>
      </w:r>
      <w:r>
        <w:t xml:space="preserve">, </w:t>
      </w:r>
      <w:r>
        <w:rPr>
          <w:b/>
        </w:rPr>
        <w:t>Abmessung</w:t>
      </w:r>
      <w:r>
        <w:t xml:space="preserve"> ändern. Bereich </w:t>
      </w:r>
      <w:r>
        <w:rPr>
          <w:b/>
        </w:rPr>
        <w:t>Ladeeinheit</w:t>
      </w:r>
      <w:r>
        <w:t xml:space="preserve"> prüfen.</w:t>
      </w:r>
    </w:p>
    <w:p>
      <w:pPr>
        <w:tabs>
          <w:tab w:pos="425" w:val="left"/>
        </w:tabs>
        <w:spacing w:after="60"/>
        <w:ind w:left="425" w:hanging="425"/>
      </w:pPr>
      <w:r>
        <w:rPr>
          <w:b/>
        </w:rPr>
        <w:t>4.</w:t>
        <w:tab/>
      </w:r>
      <w:r>
        <w:rPr>
          <w:b/>
        </w:rPr>
        <w:t>Speichern</w:t>
      </w:r>
      <w:r>
        <w:t>.</w:t>
      </w:r>
    </w:p>
    <w:p>
      <w:pPr>
        <w:pStyle w:val="Quelle"/>
      </w:pPr>
      <w:r>
        <w:rPr>
          <w:b/>
        </w:rPr>
        <w:t xml:space="preserve">Quelle: </w:t>
      </w:r>
      <w:r>
        <w:rPr>
          <w:sz w:val="17"/>
        </w:rPr>
        <w:t>AH 2.7, Kap. 3.1.11</w:t>
      </w:r>
    </w:p>
    <w:p>
      <w:pPr>
        <w:pStyle w:val="Heading2"/>
      </w:pPr>
      <w:r>
        <w:t>7.2 Gruppe oder Zugriffsöffnung wechseln</w:t>
      </w:r>
    </w:p>
    <w:p>
      <w:pPr>
        <w:pStyle w:val="ListBullet"/>
      </w:pPr>
      <w:r>
        <w:rPr>
          <w:b/>
        </w:rPr>
        <w:t>Platz in andere Gruppe:</w:t>
      </w:r>
      <w:r>
        <w:t xml:space="preserve"> </w:t>
      </w:r>
      <w:r>
        <w:rPr>
          <w:b/>
        </w:rPr>
        <w:t>LM044</w:t>
      </w:r>
      <w:r>
        <w:t xml:space="preserve"> → Platz → </w:t>
      </w:r>
      <w:r>
        <w:rPr>
          <w:b/>
        </w:rPr>
        <w:t>Platzgruppe zuordnen</w:t>
      </w:r>
      <w:r>
        <w:t xml:space="preserve"> → </w:t>
      </w:r>
      <w:r>
        <w:rPr>
          <w:b/>
        </w:rPr>
        <w:t>LM046</w:t>
      </w:r>
      <w:r>
        <w:t xml:space="preserve"> → Gruppe → </w:t>
      </w:r>
      <w:r>
        <w:rPr>
          <w:b/>
        </w:rPr>
        <w:t>Speichern</w:t>
      </w:r>
      <w:r>
        <w:t>. Der Platz gilt danach für die Zugriffsöffnung der neuen Gruppe.</w:t>
      </w:r>
    </w:p>
    <w:p>
      <w:pPr>
        <w:pStyle w:val="ListBullet"/>
      </w:pPr>
      <w:r>
        <w:rPr>
          <w:b/>
        </w:rPr>
        <w:t>Weitere Zugriffsöffnung zur Gruppe:</w:t>
      </w:r>
      <w:r>
        <w:t xml:space="preserve"> </w:t>
      </w:r>
      <w:r>
        <w:rPr>
          <w:b/>
        </w:rPr>
        <w:t>LM065</w:t>
      </w:r>
      <w:r>
        <w:t xml:space="preserve"> → </w:t>
      </w:r>
      <w:r>
        <w:rPr>
          <w:b/>
        </w:rPr>
        <w:t>Zugriffsöffnung zuordnen</w:t>
      </w:r>
      <w:r>
        <w:t xml:space="preserve"> → </w:t>
      </w:r>
      <w:r>
        <w:rPr>
          <w:b/>
        </w:rPr>
        <w:t>FW005</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LM046 Platzgruppe zuordnen]</w:t>
            </w:r>
          </w:p>
          <w:p>
            <w:pPr>
              <w:spacing w:after="40"/>
            </w:pPr>
            <w:r>
              <w:rPr>
                <w:sz w:val="19"/>
              </w:rPr>
              <w:t>Auswahlliste der Zielplatzgruppen.</w:t>
            </w:r>
          </w:p>
        </w:tc>
      </w:tr>
    </w:tbl>
    <w:p>
      <w:pPr>
        <w:spacing w:after="40"/>
      </w:pPr>
    </w:p>
    <w:p>
      <w:pPr>
        <w:pStyle w:val="Quelle"/>
      </w:pPr>
      <w:r>
        <w:rPr>
          <w:b/>
        </w:rPr>
        <w:t xml:space="preserve">Quelle: </w:t>
      </w:r>
      <w:r>
        <w:rPr>
          <w:sz w:val="17"/>
        </w:rPr>
        <w:t>BH 2.7, Kap. 5.4.3; AH 2.7, Kap. 3.1.12</w:t>
      </w:r>
    </w:p>
    <w:p>
      <w:pPr>
        <w:pStyle w:val="Heading2"/>
      </w:pPr>
      <w:r>
        <w:t>7.3 LE auf einem Zielplatz buchen, entfernen, umbuchen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25"/>
        <w:gridCol w:w="4500"/>
        <w:gridCol w:w="2400"/>
      </w:tblGrid>
      <w:tr>
        <w:trPr>
          <w:tblHeader w:val="true"/>
        </w:trPr>
        <w:tc>
          <w:tcPr>
            <w:tcW w:type="dxa" w:w="2625"/>
            <w:shd w:val="clear" w:color="auto" w:fill="FEEE19"/>
          </w:tcPr>
          <w:p>
            <w:pPr>
              <w:spacing w:after="0"/>
            </w:pPr>
            <w:r>
              <w:rPr>
                <w:b/>
                <w:sz w:val="17"/>
              </w:rPr>
              <w:t>Aktion</w:t>
            </w:r>
          </w:p>
        </w:tc>
        <w:tc>
          <w:tcPr>
            <w:tcW w:type="dxa" w:w="4500"/>
            <w:shd w:val="clear" w:color="auto" w:fill="FEEE19"/>
          </w:tcPr>
          <w:p>
            <w:pPr>
              <w:spacing w:after="0"/>
            </w:pPr>
            <w:r>
              <w:rPr>
                <w:b/>
                <w:sz w:val="17"/>
              </w:rPr>
              <w:t>Ablauf</w:t>
            </w:r>
          </w:p>
        </w:tc>
        <w:tc>
          <w:tcPr>
            <w:tcW w:type="dxa" w:w="2400"/>
            <w:shd w:val="clear" w:color="auto" w:fill="FEEE19"/>
          </w:tcPr>
          <w:p>
            <w:pPr>
              <w:spacing w:after="0"/>
            </w:pPr>
            <w:r>
              <w:rPr>
                <w:b/>
                <w:sz w:val="17"/>
              </w:rPr>
              <w:t>Quelle</w:t>
            </w:r>
          </w:p>
        </w:tc>
      </w:tr>
      <w:tr>
        <w:tc>
          <w:tcPr>
            <w:tcW w:type="dxa" w:w="2625"/>
          </w:tcPr>
          <w:p>
            <w:pPr>
              <w:spacing w:after="0" w:line="252" w:lineRule="auto"/>
            </w:pPr>
            <w:r>
              <w:rPr>
                <w:sz w:val="17"/>
              </w:rPr>
              <w:t>LE buchen</w:t>
            </w:r>
          </w:p>
        </w:tc>
        <w:tc>
          <w:tcPr>
            <w:tcW w:type="dxa" w:w="4500"/>
          </w:tcPr>
          <w:p>
            <w:pPr>
              <w:spacing w:after="0" w:line="252" w:lineRule="auto"/>
            </w:pPr>
            <w:r>
              <w:rPr>
                <w:b/>
                <w:sz w:val="17"/>
              </w:rPr>
              <w:t>LM044</w:t>
            </w:r>
            <w:r>
              <w:rPr>
                <w:sz w:val="17"/>
              </w:rPr>
              <w:t xml:space="preserve"> → </w:t>
            </w:r>
            <w:r>
              <w:rPr>
                <w:b/>
                <w:sz w:val="17"/>
              </w:rPr>
              <w:t>Suche</w:t>
            </w:r>
            <w:r>
              <w:rPr>
                <w:sz w:val="17"/>
              </w:rPr>
              <w:t xml:space="preserve"> → Platz → </w:t>
            </w:r>
            <w:r>
              <w:rPr>
                <w:b/>
                <w:sz w:val="17"/>
              </w:rPr>
              <w:t>LE buchen</w:t>
            </w:r>
            <w:r>
              <w:rPr>
                <w:sz w:val="17"/>
              </w:rPr>
              <w:t xml:space="preserve"> → </w:t>
            </w:r>
            <w:r>
              <w:rPr>
                <w:b/>
                <w:sz w:val="17"/>
              </w:rPr>
              <w:t>LM107</w:t>
            </w:r>
            <w:r>
              <w:rPr>
                <w:sz w:val="17"/>
              </w:rPr>
              <w:t xml:space="preserve">: </w:t>
            </w:r>
            <w:r>
              <w:rPr>
                <w:rFonts w:ascii="Consolas" w:hAnsi="Consolas" w:cs="Consolas" w:eastAsia="Consolas"/>
                <w:sz w:val="15"/>
              </w:rPr>
              <w:t>LE-ID</w:t>
            </w:r>
            <w:r>
              <w:rPr>
                <w:sz w:val="17"/>
              </w:rPr>
              <w:t xml:space="preserve"> → </w:t>
            </w:r>
            <w:r>
              <w:rPr>
                <w:b/>
                <w:sz w:val="17"/>
              </w:rPr>
              <w:t>LE buchen</w:t>
            </w:r>
          </w:p>
        </w:tc>
        <w:tc>
          <w:tcPr>
            <w:tcW w:type="dxa" w:w="2400"/>
          </w:tcPr>
          <w:p>
            <w:pPr>
              <w:spacing w:after="0" w:line="252" w:lineRule="auto"/>
            </w:pPr>
            <w:r>
              <w:rPr>
                <w:sz w:val="17"/>
              </w:rPr>
              <w:t>BH 2.7, 5.4.5</w:t>
            </w:r>
          </w:p>
        </w:tc>
      </w:tr>
      <w:tr>
        <w:tc>
          <w:tcPr>
            <w:tcW w:type="dxa" w:w="2625"/>
          </w:tcPr>
          <w:p>
            <w:pPr>
              <w:spacing w:after="0" w:line="252" w:lineRule="auto"/>
            </w:pPr>
            <w:r>
              <w:rPr>
                <w:sz w:val="17"/>
              </w:rPr>
              <w:t>LE entfernen</w:t>
            </w:r>
          </w:p>
        </w:tc>
        <w:tc>
          <w:tcPr>
            <w:tcW w:type="dxa" w:w="4500"/>
          </w:tcPr>
          <w:p>
            <w:pPr>
              <w:spacing w:after="0" w:line="252" w:lineRule="auto"/>
            </w:pPr>
            <w:r>
              <w:rPr>
                <w:sz w:val="17"/>
              </w:rPr>
              <w:t>Die Icon-Liste nennt ein Icon, „mit dem die Position einer LE von einem externen Lagerplatz entfernt“ wird</w:t>
            </w:r>
          </w:p>
        </w:tc>
        <w:tc>
          <w:tcPr>
            <w:tcW w:type="dxa" w:w="2400"/>
          </w:tcPr>
          <w:p>
            <w:pPr>
              <w:spacing w:after="0" w:line="252" w:lineRule="auto"/>
            </w:pPr>
            <w:r>
              <w:rPr>
                <w:sz w:val="17"/>
              </w:rPr>
              <w:t>BH 2.7, Icon-Liste</w:t>
            </w:r>
          </w:p>
        </w:tc>
      </w:tr>
      <w:tr>
        <w:tc>
          <w:tcPr>
            <w:tcW w:type="dxa" w:w="2625"/>
          </w:tcPr>
          <w:p>
            <w:pPr>
              <w:spacing w:after="0" w:line="252" w:lineRule="auto"/>
            </w:pPr>
            <w:r>
              <w:rPr>
                <w:sz w:val="17"/>
              </w:rPr>
              <w:t>LE auf Kommissionierwagen entfernen</w:t>
            </w:r>
          </w:p>
        </w:tc>
        <w:tc>
          <w:tcPr>
            <w:tcW w:type="dxa" w:w="4500"/>
          </w:tcPr>
          <w:p>
            <w:pPr>
              <w:spacing w:after="0" w:line="252" w:lineRule="auto"/>
            </w:pPr>
            <w:r>
              <w:rPr>
                <w:sz w:val="17"/>
              </w:rPr>
              <w:t xml:space="preserve">LM151 → Platz → </w:t>
            </w:r>
            <w:r>
              <w:rPr>
                <w:b/>
                <w:sz w:val="17"/>
              </w:rPr>
              <w:t>LE entfernen</w:t>
            </w:r>
            <w:r>
              <w:rPr>
                <w:sz w:val="17"/>
              </w:rPr>
              <w:t xml:space="preserve"> → </w:t>
            </w:r>
            <w:r>
              <w:rPr>
                <w:b/>
                <w:sz w:val="17"/>
              </w:rPr>
              <w:t>Ja</w:t>
            </w:r>
          </w:p>
        </w:tc>
        <w:tc>
          <w:tcPr>
            <w:tcW w:type="dxa" w:w="2400"/>
          </w:tcPr>
          <w:p>
            <w:pPr>
              <w:spacing w:after="0" w:line="252" w:lineRule="auto"/>
            </w:pPr>
            <w:r>
              <w:rPr>
                <w:sz w:val="17"/>
              </w:rPr>
              <w:t>BH 2.7, 5.5.3</w:t>
            </w:r>
          </w:p>
        </w:tc>
      </w:tr>
      <w:tr>
        <w:tc>
          <w:tcPr>
            <w:tcW w:type="dxa" w:w="2625"/>
          </w:tcPr>
          <w:p>
            <w:pPr>
              <w:spacing w:after="0" w:line="252" w:lineRule="auto"/>
            </w:pPr>
            <w:r>
              <w:rPr>
                <w:sz w:val="17"/>
              </w:rPr>
              <w:t>Externe LE-ID ändern</w:t>
            </w:r>
          </w:p>
        </w:tc>
        <w:tc>
          <w:tcPr>
            <w:tcW w:type="dxa" w:w="4500"/>
          </w:tcPr>
          <w:p>
            <w:pPr>
              <w:spacing w:after="0" w:line="252" w:lineRule="auto"/>
            </w:pPr>
            <w:r>
              <w:rPr>
                <w:sz w:val="17"/>
              </w:rPr>
              <w:t xml:space="preserve">2.7: LM045 → </w:t>
            </w:r>
            <w:r>
              <w:rPr>
                <w:b/>
                <w:sz w:val="17"/>
              </w:rPr>
              <w:t>Scannen</w:t>
            </w:r>
            <w:r>
              <w:rPr>
                <w:sz w:val="17"/>
              </w:rPr>
              <w:t>; 2.8: LM108 (Touch) bzw. LM165 (Desktop)</w:t>
            </w:r>
          </w:p>
        </w:tc>
        <w:tc>
          <w:tcPr>
            <w:tcW w:type="dxa" w:w="2400"/>
          </w:tcPr>
          <w:p>
            <w:pPr>
              <w:spacing w:after="0" w:line="252" w:lineRule="auto"/>
            </w:pPr>
            <w:r>
              <w:rPr>
                <w:sz w:val="17"/>
              </w:rPr>
              <w:t>BH 2.7, 6.7.1.1; BH 2.8, 6.2.5.3</w:t>
            </w:r>
          </w:p>
        </w:tc>
      </w:tr>
    </w:tbl>
    <w:p>
      <w:pPr>
        <w:pStyle w:val="BeschriftungSSI"/>
      </w:pPr>
      <w:r>
        <w:t>Tab. 11: LE auf Zielplätzen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Umbuchen und Entfernen</w:t>
            </w:r>
          </w:p>
          <w:p>
            <w:pPr>
              <w:spacing w:after="40"/>
            </w:pPr>
            <w:r>
              <w:rPr>
                <w:sz w:val="19"/>
              </w:rPr>
              <w:t>Ein Ablauf „LE von Zielplatz entfernen“ am Touch-Client und ein direktes Umbuchen einer Ziel-LE auf einen anderen Zielplatz sind nicht beschrieben; nur das Icon ist in der Icon-Liste genannt.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LM107 im Modus „LE buchen“ und Icon „LE entfernen“ in LM044]</w:t>
            </w:r>
          </w:p>
          <w:p>
            <w:pPr>
              <w:spacing w:after="40"/>
            </w:pPr>
            <w:r>
              <w:rPr>
                <w:sz w:val="19"/>
              </w:rPr>
              <w:t xml:space="preserve">Zeigt das Feld </w:t>
            </w:r>
            <w:r>
              <w:rPr>
                <w:rFonts w:ascii="Consolas" w:hAnsi="Consolas" w:cs="Consolas" w:eastAsia="Consolas"/>
                <w:sz w:val="17"/>
              </w:rPr>
              <w:t>LE-ID</w:t>
            </w:r>
            <w:r>
              <w:rPr>
                <w:sz w:val="19"/>
              </w:rPr>
              <w:t xml:space="preserve"> und – falls vorhanden – das Entfernen-Icon in der Symbolleiste.</w:t>
            </w:r>
          </w:p>
        </w:tc>
      </w:tr>
    </w:tbl>
    <w:p>
      <w:pPr>
        <w:spacing w:after="40"/>
      </w:pPr>
    </w:p>
    <w:p>
      <w:pPr>
        <w:pStyle w:val="Heading1"/>
      </w:pPr>
      <w:r>
        <w:t>8 Zielplätze deaktivieren und abbauen</w:t>
      </w:r>
    </w:p>
    <w:p>
      <w:pPr>
        <w:pStyle w:val="Heading2"/>
      </w:pPr>
      <w:r>
        <w:t>8.1 Was die Handbücher anbieten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33"/>
        <w:gridCol w:w="3617"/>
        <w:gridCol w:w="3074"/>
      </w:tblGrid>
      <w:tr>
        <w:trPr>
          <w:tblHeader w:val="true"/>
        </w:trPr>
        <w:tc>
          <w:tcPr>
            <w:tcW w:type="dxa" w:w="2833"/>
            <w:shd w:val="clear" w:color="auto" w:fill="FEEE19"/>
          </w:tcPr>
          <w:p>
            <w:pPr>
              <w:spacing w:after="0"/>
            </w:pPr>
            <w:r>
              <w:rPr>
                <w:b/>
                <w:sz w:val="17"/>
              </w:rPr>
              <w:t>Was</w:t>
            </w:r>
          </w:p>
        </w:tc>
        <w:tc>
          <w:tcPr>
            <w:tcW w:type="dxa" w:w="3617"/>
            <w:shd w:val="clear" w:color="auto" w:fill="FEEE19"/>
          </w:tcPr>
          <w:p>
            <w:pPr>
              <w:spacing w:after="0"/>
            </w:pPr>
            <w:r>
              <w:rPr>
                <w:b/>
                <w:sz w:val="17"/>
              </w:rPr>
              <w:t>Ablauf</w:t>
            </w:r>
          </w:p>
        </w:tc>
        <w:tc>
          <w:tcPr>
            <w:tcW w:type="dxa" w:w="3074"/>
            <w:shd w:val="clear" w:color="auto" w:fill="FEEE19"/>
          </w:tcPr>
          <w:p>
            <w:pPr>
              <w:spacing w:after="0"/>
            </w:pPr>
            <w:r>
              <w:rPr>
                <w:b/>
                <w:sz w:val="17"/>
              </w:rPr>
              <w:t>Wirkung laut Handbuch</w:t>
            </w:r>
          </w:p>
        </w:tc>
      </w:tr>
      <w:tr>
        <w:tc>
          <w:tcPr>
            <w:tcW w:type="dxa" w:w="2833"/>
          </w:tcPr>
          <w:p>
            <w:pPr>
              <w:spacing w:after="0" w:line="252" w:lineRule="auto"/>
            </w:pPr>
            <w:r>
              <w:rPr>
                <w:sz w:val="17"/>
              </w:rPr>
              <w:t>Zielplatzgruppe löschen (Desktop)</w:t>
            </w:r>
          </w:p>
        </w:tc>
        <w:tc>
          <w:tcPr>
            <w:tcW w:type="dxa" w:w="3617"/>
          </w:tcPr>
          <w:p>
            <w:pPr>
              <w:spacing w:after="0" w:line="252" w:lineRule="auto"/>
            </w:pPr>
            <w:r>
              <w:rPr>
                <w:b/>
                <w:sz w:val="17"/>
              </w:rPr>
              <w:t>LM065</w:t>
            </w:r>
            <w:r>
              <w:rPr>
                <w:sz w:val="17"/>
              </w:rPr>
              <w:t xml:space="preserve"> → Rechtsklick auf Gruppe → </w:t>
            </w:r>
            <w:r>
              <w:rPr>
                <w:b/>
                <w:sz w:val="17"/>
              </w:rPr>
              <w:t>Zielplatzgruppe löschen</w:t>
            </w:r>
          </w:p>
        </w:tc>
        <w:tc>
          <w:tcPr>
            <w:tcW w:type="dxa" w:w="3074"/>
          </w:tcPr>
          <w:p>
            <w:pPr>
              <w:spacing w:after="0" w:line="252" w:lineRule="auto"/>
            </w:pPr>
            <w:r>
              <w:rPr>
                <w:sz w:val="17"/>
              </w:rPr>
              <w:t>„Um vorhandene Zielplätze zu löschen …“</w:t>
            </w:r>
          </w:p>
        </w:tc>
      </w:tr>
      <w:tr>
        <w:tc>
          <w:tcPr>
            <w:tcW w:type="dxa" w:w="2833"/>
          </w:tcPr>
          <w:p>
            <w:pPr>
              <w:spacing w:after="0" w:line="252" w:lineRule="auto"/>
            </w:pPr>
            <w:r>
              <w:rPr>
                <w:sz w:val="17"/>
              </w:rPr>
              <w:t>Alle Zielplätze entfernen (Touch)</w:t>
            </w:r>
          </w:p>
        </w:tc>
        <w:tc>
          <w:tcPr>
            <w:tcW w:type="dxa" w:w="3617"/>
          </w:tcPr>
          <w:p>
            <w:pPr>
              <w:spacing w:after="0" w:line="252" w:lineRule="auto"/>
            </w:pPr>
            <w:r>
              <w:rPr>
                <w:b/>
                <w:sz w:val="17"/>
              </w:rPr>
              <w:t>LM044</w:t>
            </w:r>
            <w:r>
              <w:rPr>
                <w:sz w:val="17"/>
              </w:rPr>
              <w:t xml:space="preserve"> → </w:t>
            </w:r>
            <w:r>
              <w:rPr>
                <w:b/>
                <w:sz w:val="17"/>
              </w:rPr>
              <w:t>Alle entfernen</w:t>
            </w:r>
            <w:r>
              <w:rPr>
                <w:sz w:val="17"/>
              </w:rPr>
              <w:t xml:space="preserve"> → Rückfrage → </w:t>
            </w:r>
            <w:r>
              <w:rPr>
                <w:b/>
                <w:sz w:val="17"/>
              </w:rPr>
              <w:t>Ja</w:t>
            </w:r>
          </w:p>
        </w:tc>
        <w:tc>
          <w:tcPr>
            <w:tcW w:type="dxa" w:w="3074"/>
          </w:tcPr>
          <w:p>
            <w:pPr>
              <w:spacing w:after="0" w:line="252" w:lineRule="auto"/>
            </w:pPr>
            <w:r>
              <w:rPr>
                <w:sz w:val="17"/>
              </w:rPr>
              <w:t>„Alle Zielplätze sind entfernt.“</w:t>
            </w:r>
          </w:p>
        </w:tc>
      </w:tr>
      <w:tr>
        <w:tc>
          <w:tcPr>
            <w:tcW w:type="dxa" w:w="2833"/>
          </w:tcPr>
          <w:p>
            <w:pPr>
              <w:spacing w:after="0" w:line="252" w:lineRule="auto"/>
            </w:pPr>
            <w:r>
              <w:rPr>
                <w:sz w:val="17"/>
              </w:rPr>
              <w:t>Kommissionierwagen leeren / lösen / abschließen</w:t>
            </w:r>
          </w:p>
        </w:tc>
        <w:tc>
          <w:tcPr>
            <w:tcW w:type="dxa" w:w="3617"/>
          </w:tcPr>
          <w:p>
            <w:pPr>
              <w:spacing w:after="0" w:line="252" w:lineRule="auto"/>
            </w:pPr>
            <w:r>
              <w:rPr>
                <w:sz w:val="17"/>
              </w:rPr>
              <w:t xml:space="preserve">LM151 </w:t>
            </w:r>
            <w:r>
              <w:rPr>
                <w:b/>
                <w:sz w:val="17"/>
              </w:rPr>
              <w:t>LE entfernen</w:t>
            </w:r>
            <w:r>
              <w:rPr>
                <w:sz w:val="17"/>
              </w:rPr>
              <w:t xml:space="preserve">; </w:t>
            </w:r>
            <w:r>
              <w:rPr>
                <w:b/>
                <w:sz w:val="17"/>
              </w:rPr>
              <w:t>Zuordnung für Kommissionierwagen aufheben</w:t>
            </w:r>
            <w:r>
              <w:rPr>
                <w:sz w:val="17"/>
              </w:rPr>
              <w:t xml:space="preserve">; </w:t>
            </w:r>
            <w:r>
              <w:rPr>
                <w:b/>
                <w:sz w:val="17"/>
              </w:rPr>
              <w:t>Kommissionierwagen abschließen</w:t>
            </w:r>
          </w:p>
        </w:tc>
        <w:tc>
          <w:tcPr>
            <w:tcW w:type="dxa" w:w="3074"/>
          </w:tcPr>
          <w:p>
            <w:pPr>
              <w:spacing w:after="0" w:line="252" w:lineRule="auto"/>
            </w:pPr>
            <w:r>
              <w:rPr>
                <w:sz w:val="17"/>
              </w:rPr>
              <w:t>LE entfernt; Benutzer gelöst; Plan-LE abgeschlossen</w:t>
            </w:r>
          </w:p>
        </w:tc>
      </w:tr>
    </w:tbl>
    <w:p>
      <w:pPr>
        <w:pStyle w:val="BeschriftungSSI"/>
      </w:pPr>
      <w:r>
        <w:t>Tab. 12: Abbau-Funktionen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„Alle entfernen“ heißt alle</w:t>
            </w:r>
          </w:p>
          <w:p>
            <w:pPr>
              <w:spacing w:after="40"/>
            </w:pPr>
            <w:r>
              <w:rPr>
                <w:sz w:val="19"/>
              </w:rPr>
              <w:t xml:space="preserve">Das Benutzerhandbuch beschreibt in LM044 nur </w:t>
            </w:r>
            <w:r>
              <w:rPr>
                <w:b/>
                <w:sz w:val="19"/>
              </w:rPr>
              <w:t>Alle entfernen</w:t>
            </w:r>
            <w:r>
              <w:rPr>
                <w:sz w:val="19"/>
              </w:rPr>
              <w:t>, kein Löschen einzelner Plätze. Ob „alle“ die Plätze der aktiven Zugriffsöffnung oder alle Zielplätze des Systems meint, ist nicht beschrieben. Im Livebetrieb nicht ohne Test im Testsystem verwenden.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Rückfrage nach „Alle entfernen“ in LM044]</w:t>
            </w:r>
          </w:p>
          <w:p>
            <w:pPr>
              <w:spacing w:after="40"/>
            </w:pPr>
            <w:r>
              <w:rPr>
                <w:sz w:val="19"/>
              </w:rPr>
              <w:t>Den genauen Wortlaut der Rückfrage festhalten; er klärt möglicherweise den Umfang.</w:t>
            </w:r>
          </w:p>
        </w:tc>
      </w:tr>
    </w:tbl>
    <w:p>
      <w:pPr>
        <w:spacing w:after="40"/>
      </w:pPr>
    </w:p>
    <w:p>
      <w:pPr>
        <w:pStyle w:val="Quelle"/>
      </w:pPr>
      <w:r>
        <w:rPr>
          <w:b/>
        </w:rPr>
        <w:t xml:space="preserve">Quelle: </w:t>
      </w:r>
      <w:r>
        <w:rPr>
          <w:sz w:val="17"/>
        </w:rPr>
        <w:t>AH 2.7, Kap. 3.1.12; BH 2.7, Kap. 5.4.2, 5.5.3, 5.5.5, 5.5.6; AH 2.8, Kap. 3.1.13; BH 2.8, Kap. 5.4.2</w:t>
      </w:r>
    </w:p>
    <w:p>
      <w:pPr>
        <w:pStyle w:val="Heading2"/>
      </w:pPr>
      <w:r>
        <w:t>8.2 Deaktivieren ohne Löschen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Kein Deaktivieren dokumentiert</w:t>
            </w:r>
          </w:p>
          <w:p>
            <w:pPr>
              <w:spacing w:after="40"/>
            </w:pPr>
            <w:r>
              <w:rPr>
                <w:sz w:val="19"/>
              </w:rPr>
              <w:t xml:space="preserve">Für Zielplätze und Zielplatzgruppen beschreiben 2.7 und 2.8 weder einen </w:t>
            </w:r>
            <w:r>
              <w:rPr>
                <w:b/>
                <w:sz w:val="19"/>
              </w:rPr>
              <w:t>Stammdatenstatus</w:t>
            </w:r>
            <w:r>
              <w:rPr>
                <w:sz w:val="19"/>
              </w:rPr>
              <w:t xml:space="preserve"> (wie </w:t>
            </w:r>
            <w:r>
              <w:rPr>
                <w:b/>
                <w:sz w:val="19"/>
              </w:rPr>
              <w:t>Normal/Auslaufend/Gesperrt</w:t>
            </w:r>
            <w:r>
              <w:rPr>
                <w:sz w:val="19"/>
              </w:rPr>
              <w:t xml:space="preserve"> bei anderen Stammdaten) noch eine Sperre. Auch das Löschen eines Kommissionierwagens und das Lösen einer Zugriffsöffnung von einer Gruppe sind nicht beschrieben. LE-Sperren (</w:t>
            </w:r>
            <w:r>
              <w:rPr>
                <w:b/>
                <w:sz w:val="19"/>
              </w:rPr>
              <w:t>LM121</w:t>
            </w:r>
            <w:r>
              <w:rPr>
                <w:sz w:val="19"/>
              </w:rPr>
              <w:t>, SM023) betreffen Ladeeinheiten, nicht Plätze.</w:t>
            </w:r>
          </w:p>
        </w:tc>
      </w:tr>
    </w:tbl>
    <w:p>
      <w:pPr>
        <w:spacing w:after="40"/>
      </w:pPr>
    </w:p>
    <w:p>
      <w:r>
        <w:t>Mittelbar dokumentierte Stellschrauben, um Zielplätze aus dem Ablauf zu nehmen:</w:t>
      </w:r>
    </w:p>
    <w:p>
      <w:pPr>
        <w:pStyle w:val="ListBullet"/>
      </w:pPr>
      <w:r>
        <w:rPr>
          <w:b/>
        </w:rPr>
        <w:t>Kommissionierbedarfstyp (MD017):</w:t>
      </w:r>
      <w:r>
        <w:t xml:space="preserve"> </w:t>
      </w:r>
      <w:r>
        <w:rPr>
          <w:b/>
        </w:rPr>
        <w:t>Zielplatz automatisch auswählen</w:t>
      </w:r>
      <w:r>
        <w:t xml:space="preserve"> und </w:t>
      </w:r>
      <w:r>
        <w:rPr>
          <w:b/>
        </w:rPr>
        <w:t>Bedarfsaktivierung durch freien, externen Lagerplatz begrenzen</w:t>
      </w:r>
      <w:r>
        <w:t xml:space="preserve"> steuern, ob und wie Zielplätze in die Aktivierung eingehen; </w:t>
      </w:r>
      <w:r>
        <w:rPr>
          <w:b/>
        </w:rPr>
        <w:t>PTL deaktivieren</w:t>
      </w:r>
      <w:r>
        <w:t xml:space="preserve"> schaltet Put to Light für den Bedarfstyp ab.</w:t>
      </w:r>
    </w:p>
    <w:p>
      <w:pPr>
        <w:pStyle w:val="ListBullet"/>
      </w:pPr>
      <w:r>
        <w:rPr>
          <w:b/>
        </w:rPr>
        <w:t>Reihenfolge (LM088):</w:t>
      </w:r>
      <w:r>
        <w:t xml:space="preserve"> Plätze ohne Nummer werden zuletzt berücksichtigt (nicht ausgeschlossen).</w:t>
      </w:r>
    </w:p>
    <w:p>
      <w:pPr>
        <w:pStyle w:val="ListBullet"/>
      </w:pPr>
      <w:r>
        <w:rPr>
          <w:b/>
        </w:rPr>
        <w:t>Reserve (`logimat.picking.externalloc.reserve`):</w:t>
      </w:r>
      <w:r>
        <w:t xml:space="preserve"> Anzahl Plätze, die für kleine Aufträge reserviert und für andere Aufträge nicht verfügbar sind.</w:t>
      </w:r>
    </w:p>
    <w:p>
      <w:pPr>
        <w:pStyle w:val="Quelle"/>
      </w:pPr>
      <w:r>
        <w:rPr>
          <w:b/>
        </w:rPr>
        <w:t xml:space="preserve">Quelle: </w:t>
      </w:r>
      <w:r>
        <w:rPr>
          <w:sz w:val="17"/>
        </w:rPr>
        <w:t>AH 2.7, Kap. 3.1.11.1, 3.6.1.10, 3.11.2; BH 2.7, Kap. 6.7.2</w:t>
      </w:r>
    </w:p>
    <w:p>
      <w:pPr>
        <w:pStyle w:val="Heading2"/>
      </w:pPr>
      <w:r>
        <w:t>8.3 Checkliste vor dem Abbau</w:t>
      </w:r>
    </w:p>
    <w:p>
      <w:r>
        <w:rPr>
          <w:b/>
        </w:rPr>
        <w:t>Empfehlung</w:t>
      </w:r>
      <w:r>
        <w:t xml:space="preserve"> (aus den Abhängigkeiten der Handbuchtexte abgeleitet, keine Herstellervorgabe):</w:t>
      </w:r>
    </w:p>
    <w:p>
      <w:pPr>
        <w:tabs>
          <w:tab w:pos="425" w:val="left"/>
        </w:tabs>
        <w:spacing w:after="60"/>
        <w:ind w:left="425" w:hanging="425"/>
      </w:pPr>
      <w:r>
        <w:rPr>
          <w:b/>
        </w:rPr>
        <w:t>1.</w:t>
        <w:tab/>
      </w:r>
      <w:r>
        <w:t xml:space="preserve">In </w:t>
      </w:r>
      <w:r>
        <w:rPr>
          <w:b/>
        </w:rPr>
        <w:t>LM044 → Suche</w:t>
      </w:r>
      <w:r>
        <w:t xml:space="preserve"> bzw. </w:t>
      </w:r>
      <w:r>
        <w:rPr>
          <w:b/>
        </w:rPr>
        <w:t>LM088</w:t>
      </w:r>
      <w:r>
        <w:t xml:space="preserve">, Bereich </w:t>
      </w:r>
      <w:r>
        <w:rPr>
          <w:b/>
        </w:rPr>
        <w:t>Ladeeinheit</w:t>
      </w:r>
      <w:r>
        <w:t>, prüfen, dass keine LE mehr auf den Plätzen gebucht ist.</w:t>
      </w:r>
    </w:p>
    <w:p>
      <w:pPr>
        <w:tabs>
          <w:tab w:pos="425" w:val="left"/>
        </w:tabs>
        <w:spacing w:after="60"/>
        <w:ind w:left="425" w:hanging="425"/>
      </w:pPr>
      <w:r>
        <w:rPr>
          <w:b/>
        </w:rPr>
        <w:t>2.</w:t>
        <w:tab/>
      </w:r>
      <w:r>
        <w:t xml:space="preserve">In </w:t>
      </w:r>
      <w:r>
        <w:rPr>
          <w:b/>
        </w:rPr>
        <w:t>LM071</w:t>
      </w:r>
      <w:r>
        <w:t xml:space="preserve"> / </w:t>
      </w:r>
      <w:r>
        <w:rPr>
          <w:b/>
        </w:rPr>
        <w:t>LM074</w:t>
      </w:r>
      <w:r>
        <w:t xml:space="preserve"> prüfen, dass keine aktiven Kommissionierbedarfe bzw. offenen Plan-LE die Plätze nutzen; Ziel-LE ggf. abschließen, versenden oder per </w:t>
      </w:r>
      <w:r>
        <w:rPr>
          <w:b/>
        </w:rPr>
        <w:t>LM045 → LE für Rücklagerung kennzeichnen</w:t>
      </w:r>
      <w:r>
        <w:t xml:space="preserve"> in den SSI LOGIMAT zurücklagern.</w:t>
      </w:r>
    </w:p>
    <w:p>
      <w:pPr>
        <w:tabs>
          <w:tab w:pos="425" w:val="left"/>
        </w:tabs>
        <w:spacing w:after="60"/>
        <w:ind w:left="425" w:hanging="425"/>
      </w:pPr>
      <w:r>
        <w:rPr>
          <w:b/>
        </w:rPr>
        <w:t>3.</w:t>
        <w:tab/>
      </w:r>
      <w:r>
        <w:t>Kommissionierwagen: LE entfernen, Benutzerzuordnung aufheben, Wagen abschließen.</w:t>
      </w:r>
    </w:p>
    <w:p>
      <w:pPr>
        <w:tabs>
          <w:tab w:pos="425" w:val="left"/>
        </w:tabs>
        <w:spacing w:after="60"/>
        <w:ind w:left="425" w:hanging="425"/>
      </w:pPr>
      <w:r>
        <w:rPr>
          <w:b/>
        </w:rPr>
        <w:t>4.</w:t>
        <w:tab/>
      </w:r>
      <w:r>
        <w:t>PTL: zugehörige DC-LC-Gadgets (MF105) bzw. Pick Faces (2.8, LM301) prüfen.</w:t>
      </w:r>
    </w:p>
    <w:p>
      <w:pPr>
        <w:tabs>
          <w:tab w:pos="425" w:val="left"/>
        </w:tabs>
        <w:spacing w:after="60"/>
        <w:ind w:left="425" w:hanging="425"/>
      </w:pPr>
      <w:r>
        <w:rPr>
          <w:b/>
        </w:rPr>
        <w:t>5.</w:t>
        <w:tab/>
      </w:r>
      <w:r>
        <w:t xml:space="preserve">Zielplatzgruppe in </w:t>
      </w:r>
      <w:r>
        <w:rPr>
          <w:b/>
        </w:rPr>
        <w:t>LM065</w:t>
      </w:r>
      <w:r>
        <w:t xml:space="preserve"> löschen (Desktop bevorzugt, weil gezielt je Gruppe).</w:t>
      </w:r>
    </w:p>
    <w:p>
      <w:pPr>
        <w:tabs>
          <w:tab w:pos="425" w:val="left"/>
        </w:tabs>
        <w:spacing w:after="60"/>
        <w:ind w:left="425" w:hanging="425"/>
      </w:pPr>
      <w:r>
        <w:rPr>
          <w:b/>
        </w:rPr>
        <w:t>6.</w:t>
        <w:tab/>
      </w:r>
      <w:r>
        <w:t xml:space="preserve">Bedarfstypen mit </w:t>
      </w:r>
      <w:r>
        <w:rPr>
          <w:b/>
        </w:rPr>
        <w:t>Bedarfsaktivierung durch freien, externen Lagerplatz begrenzen</w:t>
      </w:r>
      <w:r>
        <w:t xml:space="preserve"> anpassen; ohne freie Plätze ist laut Schulungslogik („active demands &lt;= destination locations“) keine Aktivierung zu erwarten.</w:t>
      </w:r>
    </w:p>
    <w:p>
      <w:pPr>
        <w:pStyle w:val="Quelle"/>
      </w:pPr>
      <w:r>
        <w:rPr>
          <w:b/>
        </w:rPr>
        <w:t xml:space="preserve">Quelle: </w:t>
      </w:r>
      <w:r>
        <w:rPr>
          <w:sz w:val="17"/>
        </w:rPr>
        <w:t>AH 2.7, Kap. 3.1.11–3.1.12, 3.6.1.10; BH 2.7, Kap. 5.4.2, 5.5, 6.7.1.3; IH 2.7, Kap. 6.6; SCH, „Client Configuration (2)“</w:t>
      </w:r>
    </w:p>
    <w:p>
      <w:pPr>
        <w:pStyle w:val="Heading1"/>
      </w:pPr>
      <w:r>
        <w:t>9 Parameter und Bedarfstyp-Einstellungen</w:t>
      </w:r>
    </w:p>
    <w:p>
      <w:pPr>
        <w:pStyle w:val="Heading2"/>
      </w:pPr>
      <w:r>
        <w:t>9.1 Kommissionierbedarfstyp (MD017, Registerkarte „Kommissionierbedarfstyp“)</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Einstellung</w:t>
            </w:r>
          </w:p>
        </w:tc>
        <w:tc>
          <w:tcPr>
            <w:tcW w:type="dxa" w:w="4762"/>
            <w:shd w:val="clear" w:color="auto" w:fill="FEEE19"/>
          </w:tcPr>
          <w:p>
            <w:pPr>
              <w:spacing w:after="0"/>
            </w:pPr>
            <w:r>
              <w:rPr>
                <w:b/>
                <w:sz w:val="17"/>
              </w:rPr>
              <w:t>Wirkung laut AH 2.7</w:t>
            </w:r>
          </w:p>
        </w:tc>
      </w:tr>
      <w:tr>
        <w:tc>
          <w:tcPr>
            <w:tcW w:type="dxa" w:w="4762"/>
          </w:tcPr>
          <w:p>
            <w:pPr>
              <w:spacing w:after="0" w:line="252" w:lineRule="auto"/>
            </w:pPr>
            <w:r>
              <w:rPr>
                <w:b/>
                <w:sz w:val="17"/>
              </w:rPr>
              <w:t>Batchkommissionierung Put to Light</w:t>
            </w:r>
          </w:p>
        </w:tc>
        <w:tc>
          <w:tcPr>
            <w:tcW w:type="dxa" w:w="4762"/>
          </w:tcPr>
          <w:p>
            <w:pPr>
              <w:spacing w:after="0" w:line="252" w:lineRule="auto"/>
            </w:pPr>
            <w:r>
              <w:rPr>
                <w:sz w:val="17"/>
              </w:rPr>
              <w:t>Aktivieren, wenn Batchkommissionierung mit PTL verfügbar ist</w:t>
            </w:r>
          </w:p>
        </w:tc>
      </w:tr>
      <w:tr>
        <w:tc>
          <w:tcPr>
            <w:tcW w:type="dxa" w:w="4762"/>
          </w:tcPr>
          <w:p>
            <w:pPr>
              <w:spacing w:after="0" w:line="252" w:lineRule="auto"/>
            </w:pPr>
            <w:r>
              <w:rPr>
                <w:b/>
                <w:sz w:val="17"/>
              </w:rPr>
              <w:t>Zielplatz automatisch auswählen</w:t>
            </w:r>
          </w:p>
        </w:tc>
        <w:tc>
          <w:tcPr>
            <w:tcW w:type="dxa" w:w="4762"/>
          </w:tcPr>
          <w:p>
            <w:pPr>
              <w:spacing w:after="0" w:line="252" w:lineRule="auto"/>
            </w:pPr>
            <w:r>
              <w:rPr>
                <w:sz w:val="17"/>
              </w:rPr>
              <w:t>Zielplätze werden automatisch gewählt, wenn der Bedarf vom Benutzer manuell aktiviert wird</w:t>
            </w:r>
          </w:p>
        </w:tc>
      </w:tr>
      <w:tr>
        <w:tc>
          <w:tcPr>
            <w:tcW w:type="dxa" w:w="4762"/>
          </w:tcPr>
          <w:p>
            <w:pPr>
              <w:spacing w:after="0" w:line="252" w:lineRule="auto"/>
            </w:pPr>
            <w:r>
              <w:rPr>
                <w:b/>
                <w:sz w:val="17"/>
              </w:rPr>
              <w:t>PTL deaktivieren</w:t>
            </w:r>
          </w:p>
        </w:tc>
        <w:tc>
          <w:tcPr>
            <w:tcW w:type="dxa" w:w="4762"/>
          </w:tcPr>
          <w:p>
            <w:pPr>
              <w:spacing w:after="0" w:line="252" w:lineRule="auto"/>
            </w:pPr>
            <w:r>
              <w:rPr>
                <w:sz w:val="17"/>
              </w:rPr>
              <w:t>Put-to-Light-Kommissionierung abschalten</w:t>
            </w:r>
          </w:p>
        </w:tc>
      </w:tr>
      <w:tr>
        <w:tc>
          <w:tcPr>
            <w:tcW w:type="dxa" w:w="4762"/>
          </w:tcPr>
          <w:p>
            <w:pPr>
              <w:spacing w:after="0" w:line="252" w:lineRule="auto"/>
            </w:pPr>
            <w:r>
              <w:rPr>
                <w:b/>
                <w:sz w:val="17"/>
              </w:rPr>
              <w:t>Bedarfsaktivierung durch freien, externen Lagerplatz begrenzen</w:t>
            </w:r>
          </w:p>
        </w:tc>
        <w:tc>
          <w:tcPr>
            <w:tcW w:type="dxa" w:w="4762"/>
          </w:tcPr>
          <w:p>
            <w:pPr>
              <w:spacing w:after="0" w:line="252" w:lineRule="auto"/>
            </w:pPr>
            <w:r>
              <w:rPr>
                <w:sz w:val="17"/>
              </w:rPr>
              <w:t>Aktivierung auf Basis der verfügbaren (Ziel-)Plätze begrenzen</w:t>
            </w:r>
          </w:p>
        </w:tc>
      </w:tr>
      <w:tr>
        <w:tc>
          <w:tcPr>
            <w:tcW w:type="dxa" w:w="4762"/>
          </w:tcPr>
          <w:p>
            <w:pPr>
              <w:spacing w:after="0" w:line="252" w:lineRule="auto"/>
            </w:pPr>
            <w:r>
              <w:rPr>
                <w:b/>
                <w:sz w:val="17"/>
              </w:rPr>
              <w:t>Mit Kommissionierwagen verwendet</w:t>
            </w:r>
          </w:p>
        </w:tc>
        <w:tc>
          <w:tcPr>
            <w:tcW w:type="dxa" w:w="4762"/>
          </w:tcPr>
          <w:p>
            <w:pPr>
              <w:spacing w:after="0" w:line="252" w:lineRule="auto"/>
            </w:pPr>
            <w:r>
              <w:rPr>
                <w:sz w:val="17"/>
              </w:rPr>
              <w:t>Bedarfstyp wird mit Kommissionierwägen verwendet</w:t>
            </w:r>
          </w:p>
        </w:tc>
      </w:tr>
      <w:tr>
        <w:tc>
          <w:tcPr>
            <w:tcW w:type="dxa" w:w="4762"/>
          </w:tcPr>
          <w:p>
            <w:pPr>
              <w:spacing w:after="0" w:line="252" w:lineRule="auto"/>
            </w:pPr>
            <w:r>
              <w:rPr>
                <w:b/>
                <w:sz w:val="17"/>
              </w:rPr>
              <w:t>Bevorzugtes Ladehilfsmittel</w:t>
            </w:r>
            <w:r>
              <w:rPr>
                <w:sz w:val="17"/>
              </w:rPr>
              <w:t xml:space="preserve">, </w:t>
            </w:r>
            <w:r>
              <w:rPr>
                <w:b/>
                <w:sz w:val="17"/>
              </w:rPr>
              <w:t>Bevorzugte Kubatur</w:t>
            </w:r>
          </w:p>
        </w:tc>
        <w:tc>
          <w:tcPr>
            <w:tcW w:type="dxa" w:w="4762"/>
          </w:tcPr>
          <w:p>
            <w:pPr>
              <w:spacing w:after="0" w:line="252" w:lineRule="auto"/>
            </w:pPr>
            <w:r>
              <w:rPr>
                <w:sz w:val="17"/>
              </w:rPr>
              <w:t>Vorgabe für die Ziel-LE</w:t>
            </w:r>
          </w:p>
        </w:tc>
      </w:tr>
      <w:tr>
        <w:tc>
          <w:tcPr>
            <w:tcW w:type="dxa" w:w="4762"/>
          </w:tcPr>
          <w:p>
            <w:pPr>
              <w:spacing w:after="0" w:line="252" w:lineRule="auto"/>
            </w:pPr>
            <w:r>
              <w:rPr>
                <w:b/>
                <w:sz w:val="17"/>
              </w:rPr>
              <w:t>Kommissionierlieferschein drucken</w:t>
            </w:r>
            <w:r>
              <w:rPr>
                <w:sz w:val="17"/>
              </w:rPr>
              <w:t xml:space="preserve">, </w:t>
            </w:r>
            <w:r>
              <w:rPr>
                <w:b/>
                <w:sz w:val="17"/>
              </w:rPr>
              <w:t>Packliste drucken</w:t>
            </w:r>
            <w:r>
              <w:rPr>
                <w:sz w:val="17"/>
              </w:rPr>
              <w:t xml:space="preserve">, </w:t>
            </w:r>
            <w:r>
              <w:rPr>
                <w:b/>
                <w:sz w:val="17"/>
              </w:rPr>
              <w:t>Optionen für Drucken von Kommissionieretiketten</w:t>
            </w:r>
          </w:p>
        </w:tc>
        <w:tc>
          <w:tcPr>
            <w:tcW w:type="dxa" w:w="4762"/>
          </w:tcPr>
          <w:p>
            <w:pPr>
              <w:spacing w:after="0" w:line="252" w:lineRule="auto"/>
            </w:pPr>
            <w:r>
              <w:rPr>
                <w:sz w:val="17"/>
              </w:rPr>
              <w:t>Belege nach bzw. vor der Kommissionierung</w:t>
            </w:r>
          </w:p>
        </w:tc>
      </w:tr>
      <w:tr>
        <w:tc>
          <w:tcPr>
            <w:tcW w:type="dxa" w:w="4762"/>
          </w:tcPr>
          <w:p>
            <w:pPr>
              <w:spacing w:after="0" w:line="252" w:lineRule="auto"/>
            </w:pPr>
            <w:r>
              <w:rPr>
                <w:b/>
                <w:sz w:val="17"/>
              </w:rPr>
              <w:t>Leere Box nach Kommissionierung entfernen</w:t>
            </w:r>
          </w:p>
        </w:tc>
        <w:tc>
          <w:tcPr>
            <w:tcW w:type="dxa" w:w="4762"/>
          </w:tcPr>
          <w:p>
            <w:pPr>
              <w:spacing w:after="0" w:line="252" w:lineRule="auto"/>
            </w:pPr>
            <w:r>
              <w:rPr>
                <w:sz w:val="17"/>
              </w:rPr>
              <w:t>Geleerte Boxen werden aus dem SSI LOGIMAT entfernt</w:t>
            </w:r>
          </w:p>
        </w:tc>
      </w:tr>
    </w:tbl>
    <w:p>
      <w:pPr>
        <w:pStyle w:val="BeschriftungSSI"/>
      </w:pPr>
      <w:r>
        <w:t>Tab. 13: Bedarfstyp-Einstellungen mit Zielplatzbezug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MD017 Registerkarte „Kommissionierbedarfstyp“]</w:t>
            </w:r>
          </w:p>
          <w:p>
            <w:pPr>
              <w:spacing w:after="40"/>
            </w:pPr>
            <w:r>
              <w:rPr>
                <w:sz w:val="19"/>
              </w:rPr>
              <w:t>Bereich mit den Checkboxen Put to Light, Zielplatz automatisch auswählen, Aktivierung begrenzen, Kommissionierwagen, bevorzugtes Ladehilfsmittel/Kubatur.</w:t>
            </w:r>
          </w:p>
        </w:tc>
      </w:tr>
    </w:tbl>
    <w:p>
      <w:pPr>
        <w:spacing w:after="40"/>
      </w:pPr>
    </w:p>
    <w:p>
      <w:pPr>
        <w:pStyle w:val="Quelle"/>
      </w:pPr>
      <w:r>
        <w:rPr>
          <w:b/>
        </w:rPr>
        <w:t xml:space="preserve">Quelle: </w:t>
      </w:r>
      <w:r>
        <w:rPr>
          <w:sz w:val="17"/>
        </w:rPr>
        <w:t>AH 2.7, Kap. 3.6.1.10; AH 2.8, Kap. 3.6.1.10 (Punkte 12–14 inhaltsgleich)</w:t>
      </w:r>
    </w:p>
    <w:p>
      <w:pPr>
        <w:pStyle w:val="Heading2"/>
      </w:pPr>
      <w:r>
        <w:t>9.2 Globale Systemparameter (FW028)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Parameter</w:t>
            </w:r>
          </w:p>
        </w:tc>
        <w:tc>
          <w:tcPr>
            <w:tcW w:type="dxa" w:w="3175"/>
            <w:shd w:val="clear" w:color="auto" w:fill="FEEE19"/>
          </w:tcPr>
          <w:p>
            <w:pPr>
              <w:spacing w:after="0"/>
            </w:pPr>
            <w:r>
              <w:rPr>
                <w:b/>
                <w:sz w:val="17"/>
              </w:rPr>
              <w:t>Wirkung laut AH 2.7</w:t>
            </w:r>
          </w:p>
        </w:tc>
        <w:tc>
          <w:tcPr>
            <w:tcW w:type="dxa" w:w="3175"/>
            <w:shd w:val="clear" w:color="auto" w:fill="FEEE19"/>
          </w:tcPr>
          <w:p>
            <w:pPr>
              <w:spacing w:after="0"/>
            </w:pPr>
            <w:r>
              <w:rPr>
                <w:b/>
                <w:sz w:val="17"/>
              </w:rPr>
              <w:t>Schulung 2024</w:t>
            </w:r>
          </w:p>
        </w:tc>
      </w:tr>
      <w:tr>
        <w:tc>
          <w:tcPr>
            <w:tcW w:type="dxa" w:w="3175"/>
          </w:tcPr>
          <w:p>
            <w:pPr>
              <w:spacing w:after="0" w:line="252" w:lineRule="auto"/>
            </w:pPr>
            <w:r>
              <w:rPr>
                <w:rFonts w:ascii="Consolas" w:hAnsi="Consolas" w:cs="Consolas" w:eastAsia="Consolas"/>
                <w:sz w:val="15"/>
              </w:rPr>
              <w:t>logimat.picking.askBookLuOnExternalLocation</w:t>
            </w:r>
          </w:p>
        </w:tc>
        <w:tc>
          <w:tcPr>
            <w:tcW w:type="dxa" w:w="3175"/>
          </w:tcPr>
          <w:p>
            <w:pPr>
              <w:spacing w:after="0" w:line="252" w:lineRule="auto"/>
            </w:pPr>
            <w:r>
              <w:rPr>
                <w:rFonts w:ascii="Consolas" w:hAnsi="Consolas" w:cs="Consolas" w:eastAsia="Consolas"/>
                <w:sz w:val="15"/>
              </w:rPr>
              <w:t>true</w:t>
            </w:r>
            <w:r>
              <w:rPr>
                <w:sz w:val="17"/>
              </w:rPr>
              <w:t xml:space="preserve">: LE wird beim Scannen der Ziel-LE auf den Platz gebucht, Benutzer bringt die Artikel dorthin; </w:t>
            </w:r>
            <w:r>
              <w:rPr>
                <w:rFonts w:ascii="Consolas" w:hAnsi="Consolas" w:cs="Consolas" w:eastAsia="Consolas"/>
                <w:sz w:val="15"/>
              </w:rPr>
              <w:t>false</w:t>
            </w:r>
            <w:r>
              <w:rPr>
                <w:sz w:val="17"/>
              </w:rPr>
              <w:t>: keine Buchung</w:t>
            </w:r>
          </w:p>
        </w:tc>
        <w:tc>
          <w:tcPr>
            <w:tcW w:type="dxa" w:w="3175"/>
          </w:tcPr>
          <w:p>
            <w:pPr>
              <w:spacing w:after="0" w:line="252" w:lineRule="auto"/>
            </w:pPr>
            <w:r>
              <w:rPr>
                <w:sz w:val="17"/>
              </w:rPr>
              <w:t>„Ask operator to assign destination location for every Picking demand“</w:t>
            </w:r>
          </w:p>
        </w:tc>
      </w:tr>
      <w:tr>
        <w:tc>
          <w:tcPr>
            <w:tcW w:type="dxa" w:w="3175"/>
          </w:tcPr>
          <w:p>
            <w:pPr>
              <w:spacing w:after="0" w:line="252" w:lineRule="auto"/>
            </w:pPr>
            <w:r>
              <w:rPr>
                <w:rFonts w:ascii="Consolas" w:hAnsi="Consolas" w:cs="Consolas" w:eastAsia="Consolas"/>
                <w:sz w:val="15"/>
              </w:rPr>
              <w:t>logimat.picking.externalloc.reserve</w:t>
            </w:r>
          </w:p>
        </w:tc>
        <w:tc>
          <w:tcPr>
            <w:tcW w:type="dxa" w:w="3175"/>
          </w:tcPr>
          <w:p>
            <w:pPr>
              <w:spacing w:after="0" w:line="252" w:lineRule="auto"/>
            </w:pPr>
            <w:r>
              <w:rPr>
                <w:sz w:val="17"/>
              </w:rPr>
              <w:t>Anzahl Plätze, für kleine Aufträge reserviert</w:t>
            </w:r>
          </w:p>
        </w:tc>
        <w:tc>
          <w:tcPr>
            <w:tcW w:type="dxa" w:w="3175"/>
          </w:tcPr>
          <w:p>
            <w:pPr>
              <w:spacing w:after="0" w:line="252" w:lineRule="auto"/>
            </w:pPr>
            <w:r>
              <w:rPr>
                <w:sz w:val="17"/>
              </w:rPr>
              <w:t>„Destination locations kept free for Express demands“</w:t>
            </w:r>
          </w:p>
        </w:tc>
      </w:tr>
      <w:tr>
        <w:tc>
          <w:tcPr>
            <w:tcW w:type="dxa" w:w="3175"/>
          </w:tcPr>
          <w:p>
            <w:pPr>
              <w:spacing w:after="0" w:line="252" w:lineRule="auto"/>
            </w:pPr>
            <w:r>
              <w:rPr>
                <w:rFonts w:ascii="Consolas" w:hAnsi="Consolas" w:cs="Consolas" w:eastAsia="Consolas"/>
                <w:sz w:val="15"/>
              </w:rPr>
              <w:t>logimat.picking.externalluid.generate</w:t>
            </w:r>
          </w:p>
        </w:tc>
        <w:tc>
          <w:tcPr>
            <w:tcW w:type="dxa" w:w="3175"/>
          </w:tcPr>
          <w:p>
            <w:pPr>
              <w:spacing w:after="0" w:line="252" w:lineRule="auto"/>
            </w:pPr>
            <w:r>
              <w:rPr>
                <w:rFonts w:ascii="Consolas" w:hAnsi="Consolas" w:cs="Consolas" w:eastAsia="Consolas"/>
                <w:sz w:val="15"/>
              </w:rPr>
              <w:t>true</w:t>
            </w:r>
            <w:r>
              <w:rPr>
                <w:sz w:val="17"/>
              </w:rPr>
              <w:t xml:space="preserve">: immer neue LE-ID; </w:t>
            </w:r>
            <w:r>
              <w:rPr>
                <w:rFonts w:ascii="Consolas" w:hAnsi="Consolas" w:cs="Consolas" w:eastAsia="Consolas"/>
                <w:sz w:val="15"/>
              </w:rPr>
              <w:t>false</w:t>
            </w:r>
            <w:r>
              <w:rPr>
                <w:sz w:val="17"/>
              </w:rPr>
              <w:t>: externe LE-ID wird wiederverwendet</w:t>
            </w:r>
          </w:p>
        </w:tc>
        <w:tc>
          <w:tcPr>
            <w:tcW w:type="dxa" w:w="3175"/>
          </w:tcPr>
          <w:p>
            <w:pPr>
              <w:spacing w:after="0" w:line="252" w:lineRule="auto"/>
            </w:pPr>
            <w:r>
              <w:rPr>
                <w:sz w:val="17"/>
              </w:rPr>
              <w:t>„Create ID for PPLU automatically“</w:t>
            </w:r>
          </w:p>
        </w:tc>
      </w:tr>
      <w:tr>
        <w:tc>
          <w:tcPr>
            <w:tcW w:type="dxa" w:w="3175"/>
          </w:tcPr>
          <w:p>
            <w:pPr>
              <w:spacing w:after="0" w:line="252" w:lineRule="auto"/>
            </w:pPr>
            <w:r>
              <w:rPr>
                <w:rFonts w:ascii="Consolas" w:hAnsi="Consolas" w:cs="Consolas" w:eastAsia="Consolas"/>
                <w:sz w:val="15"/>
              </w:rPr>
              <w:t>logimat.picking.externalluid.print</w:t>
            </w:r>
          </w:p>
        </w:tc>
        <w:tc>
          <w:tcPr>
            <w:tcW w:type="dxa" w:w="3175"/>
          </w:tcPr>
          <w:p>
            <w:pPr>
              <w:spacing w:after="0" w:line="252" w:lineRule="auto"/>
            </w:pPr>
            <w:r>
              <w:rPr>
                <w:rFonts w:ascii="Consolas" w:hAnsi="Consolas" w:cs="Consolas" w:eastAsia="Consolas"/>
                <w:sz w:val="15"/>
              </w:rPr>
              <w:t>AUTOMATIC</w:t>
            </w:r>
            <w:r>
              <w:rPr>
                <w:sz w:val="17"/>
              </w:rPr>
              <w:t xml:space="preserve">: Druck beim Start der Kommissionierung einer externen LE; </w:t>
            </w:r>
            <w:r>
              <w:rPr>
                <w:rFonts w:ascii="Consolas" w:hAnsi="Consolas" w:cs="Consolas" w:eastAsia="Consolas"/>
                <w:sz w:val="15"/>
              </w:rPr>
              <w:t>MANUAL</w:t>
            </w:r>
            <w:r>
              <w:rPr>
                <w:sz w:val="17"/>
              </w:rPr>
              <w:t>: Nachdruck über LM045</w:t>
            </w:r>
          </w:p>
        </w:tc>
        <w:tc>
          <w:tcPr>
            <w:tcW w:type="dxa" w:w="3175"/>
          </w:tcPr>
          <w:p>
            <w:pPr>
              <w:spacing w:after="0" w:line="252" w:lineRule="auto"/>
            </w:pPr>
            <w:r>
              <w:rPr>
                <w:sz w:val="17"/>
              </w:rPr>
              <w:t>„Print PPLU label on generation“</w:t>
            </w:r>
          </w:p>
        </w:tc>
      </w:tr>
      <w:tr>
        <w:tc>
          <w:tcPr>
            <w:tcW w:type="dxa" w:w="3175"/>
          </w:tcPr>
          <w:p>
            <w:pPr>
              <w:spacing w:after="0" w:line="252" w:lineRule="auto"/>
            </w:pPr>
            <w:r>
              <w:rPr>
                <w:rFonts w:ascii="Consolas" w:hAnsi="Consolas" w:cs="Consolas" w:eastAsia="Consolas"/>
                <w:sz w:val="15"/>
              </w:rPr>
              <w:t>logimat.picking.anyluid.print</w:t>
            </w:r>
          </w:p>
        </w:tc>
        <w:tc>
          <w:tcPr>
            <w:tcW w:type="dxa" w:w="3175"/>
          </w:tcPr>
          <w:p>
            <w:pPr>
              <w:spacing w:after="0" w:line="252" w:lineRule="auto"/>
            </w:pPr>
            <w:r>
              <w:rPr>
                <w:sz w:val="17"/>
              </w:rPr>
              <w:t>Beliebige LE-Etiketten drucken, auch temporäre und kundenspezifische Nummernkreise</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logimat.picking.ptl.concurrentOperations</w:t>
            </w:r>
          </w:p>
        </w:tc>
        <w:tc>
          <w:tcPr>
            <w:tcW w:type="dxa" w:w="3175"/>
          </w:tcPr>
          <w:p>
            <w:pPr>
              <w:spacing w:after="0" w:line="252" w:lineRule="auto"/>
            </w:pPr>
            <w:r>
              <w:rPr>
                <w:rFonts w:ascii="Consolas" w:hAnsi="Consolas" w:cs="Consolas" w:eastAsia="Consolas"/>
                <w:sz w:val="15"/>
              </w:rPr>
              <w:t>ONE_PER_GROUP</w:t>
            </w:r>
            <w:r>
              <w:rPr>
                <w:sz w:val="17"/>
              </w:rPr>
              <w:t xml:space="preserve"> / </w:t>
            </w:r>
            <w:r>
              <w:rPr>
                <w:rFonts w:ascii="Consolas" w:hAnsi="Consolas" w:cs="Consolas" w:eastAsia="Consolas"/>
                <w:sz w:val="15"/>
              </w:rPr>
              <w:t>ONE_PER_LOCATION</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logimat.picking.cart.full.reserve</w:t>
            </w:r>
          </w:p>
        </w:tc>
        <w:tc>
          <w:tcPr>
            <w:tcW w:type="dxa" w:w="3175"/>
          </w:tcPr>
          <w:p>
            <w:pPr>
              <w:spacing w:after="0" w:line="252" w:lineRule="auto"/>
            </w:pPr>
            <w:r>
              <w:rPr>
                <w:sz w:val="17"/>
              </w:rPr>
              <w:t>Wagenplätze, reserviert für volle Plan-LE</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logimat.dialogs.lm154.pickingCartLocationConfirmation</w:t>
            </w:r>
          </w:p>
        </w:tc>
        <w:tc>
          <w:tcPr>
            <w:tcW w:type="dxa" w:w="3175"/>
          </w:tcPr>
          <w:p>
            <w:pPr>
              <w:spacing w:after="0" w:line="252" w:lineRule="auto"/>
            </w:pPr>
            <w:r>
              <w:rPr>
                <w:sz w:val="17"/>
              </w:rPr>
              <w:t>Wagenplatz in LM154 bestätigen</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logimat.logimatExt.timeout</w:t>
            </w:r>
          </w:p>
        </w:tc>
        <w:tc>
          <w:tcPr>
            <w:tcW w:type="dxa" w:w="3175"/>
          </w:tcPr>
          <w:p>
            <w:pPr>
              <w:spacing w:after="0" w:line="252" w:lineRule="auto"/>
            </w:pPr>
            <w:r>
              <w:rPr>
                <w:sz w:val="17"/>
              </w:rPr>
              <w:t>Dauer der Reservierungen auf LE, die auf externe Plätze gebucht sind</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logimat.picking.batchSize</w:t>
            </w:r>
            <w:r>
              <w:rPr>
                <w:sz w:val="17"/>
              </w:rPr>
              <w:t xml:space="preserve">, </w:t>
            </w:r>
            <w:r>
              <w:rPr>
                <w:rFonts w:ascii="Consolas" w:hAnsi="Consolas" w:cs="Consolas" w:eastAsia="Consolas"/>
                <w:sz w:val="15"/>
              </w:rPr>
              <w:t>logimat.picking.maxRelease</w:t>
            </w:r>
          </w:p>
        </w:tc>
        <w:tc>
          <w:tcPr>
            <w:tcW w:type="dxa" w:w="3175"/>
          </w:tcPr>
          <w:p>
            <w:pPr>
              <w:spacing w:after="0" w:line="252" w:lineRule="auto"/>
            </w:pPr>
            <w:r>
              <w:rPr>
                <w:sz w:val="17"/>
              </w:rPr>
              <w:t>Batchgröße bzw. max. automatisch freigegebene Bedarfe</w:t>
            </w:r>
          </w:p>
        </w:tc>
        <w:tc>
          <w:tcPr>
            <w:tcW w:type="dxa" w:w="3175"/>
          </w:tcPr>
          <w:p>
            <w:pPr>
              <w:spacing w:after="0" w:line="252" w:lineRule="auto"/>
            </w:pPr>
            <w:r>
              <w:rPr>
                <w:sz w:val="17"/>
              </w:rPr>
              <w:t>batchSize: „max amount of Picking demands activated“; maxRelease: „… released“</w:t>
            </w:r>
          </w:p>
        </w:tc>
      </w:tr>
      <w:tr>
        <w:tc>
          <w:tcPr>
            <w:tcW w:type="dxa" w:w="3175"/>
          </w:tcPr>
          <w:p>
            <w:pPr>
              <w:spacing w:after="0" w:line="252" w:lineRule="auto"/>
            </w:pPr>
            <w:r>
              <w:rPr>
                <w:rFonts w:ascii="Consolas" w:hAnsi="Consolas" w:cs="Consolas" w:eastAsia="Consolas"/>
                <w:sz w:val="15"/>
              </w:rPr>
              <w:t>logimat.picking.wcs.automaticallyAssignBarcodeToExternalLU</w:t>
            </w:r>
            <w:r>
              <w:rPr>
                <w:sz w:val="17"/>
              </w:rPr>
              <w:t xml:space="preserve"> (+ </w:t>
            </w:r>
            <w:r>
              <w:rPr>
                <w:rFonts w:ascii="Consolas" w:hAnsi="Consolas" w:cs="Consolas" w:eastAsia="Consolas"/>
                <w:sz w:val="15"/>
              </w:rPr>
              <w:t>.sameZoneOnly</w:t>
            </w:r>
            <w:r>
              <w:rPr>
                <w:sz w:val="17"/>
              </w:rPr>
              <w:t>)</w:t>
            </w:r>
          </w:p>
        </w:tc>
        <w:tc>
          <w:tcPr>
            <w:tcW w:type="dxa" w:w="3175"/>
          </w:tcPr>
          <w:p>
            <w:pPr>
              <w:spacing w:after="0" w:line="252" w:lineRule="auto"/>
            </w:pPr>
            <w:r>
              <w:rPr>
                <w:sz w:val="17"/>
              </w:rPr>
              <w:t>Unbekannter Barcode → gültige externe LE anhand des Kubatur-Barcodes suchen und zuordnen</w:t>
            </w:r>
          </w:p>
        </w:tc>
        <w:tc>
          <w:tcPr>
            <w:tcW w:type="dxa" w:w="3175"/>
          </w:tcPr>
          <w:p>
            <w:pPr>
              <w:spacing w:after="0" w:line="252" w:lineRule="auto"/>
            </w:pPr>
            <w:r>
              <w:rPr>
                <w:sz w:val="17"/>
              </w:rPr>
              <w:t>–</w:t>
            </w:r>
          </w:p>
        </w:tc>
      </w:tr>
      <w:tr>
        <w:tc>
          <w:tcPr>
            <w:tcW w:type="dxa" w:w="3175"/>
          </w:tcPr>
          <w:p>
            <w:pPr>
              <w:spacing w:after="0" w:line="252" w:lineRule="auto"/>
            </w:pPr>
            <w:r>
              <w:rPr>
                <w:rFonts w:ascii="Consolas" w:hAnsi="Consolas" w:cs="Consolas" w:eastAsia="Consolas"/>
                <w:sz w:val="15"/>
              </w:rPr>
              <w:t>logimat.mobile.picking.skipTargetScan</w:t>
            </w:r>
          </w:p>
        </w:tc>
        <w:tc>
          <w:tcPr>
            <w:tcW w:type="dxa" w:w="3175"/>
          </w:tcPr>
          <w:p>
            <w:pPr>
              <w:spacing w:after="0" w:line="252" w:lineRule="auto"/>
            </w:pPr>
            <w:r>
              <w:rPr>
                <w:sz w:val="17"/>
              </w:rPr>
              <w:t>Mobilterminal: Ziel-LE-Scan überspringen, temporäre LE-ID</w:t>
            </w:r>
          </w:p>
        </w:tc>
        <w:tc>
          <w:tcPr>
            <w:tcW w:type="dxa" w:w="3175"/>
          </w:tcPr>
          <w:p>
            <w:pPr>
              <w:spacing w:after="0" w:line="252" w:lineRule="auto"/>
            </w:pPr>
            <w:r>
              <w:rPr>
                <w:sz w:val="17"/>
              </w:rPr>
              <w:t>–</w:t>
            </w:r>
          </w:p>
        </w:tc>
      </w:tr>
    </w:tbl>
    <w:p>
      <w:pPr>
        <w:pStyle w:val="BeschriftungSSI"/>
      </w:pPr>
      <w:r>
        <w:t>Tab. 14: Parameter mit Zielplatzbezug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FW028 gefiltert auf „logimat.picking“]</w:t>
            </w:r>
          </w:p>
          <w:p>
            <w:pPr>
              <w:spacing w:after="40"/>
            </w:pPr>
            <w:r>
              <w:rPr>
                <w:sz w:val="19"/>
              </w:rPr>
              <w:t>Aktuelle Werte im Projekt dokumentieren.</w:t>
            </w:r>
          </w:p>
        </w:tc>
      </w:tr>
    </w:tbl>
    <w:p>
      <w:pPr>
        <w:spacing w:after="40"/>
      </w:pPr>
    </w:p>
    <w:p>
      <w:pPr>
        <w:pStyle w:val="Quelle"/>
      </w:pPr>
      <w:r>
        <w:rPr>
          <w:b/>
        </w:rPr>
        <w:t xml:space="preserve">Quelle: </w:t>
      </w:r>
      <w:r>
        <w:rPr>
          <w:sz w:val="17"/>
        </w:rPr>
        <w:t>AH 2.7, Kap. 3.11.2; AH 2.8, Kap. 3.11.2; SCH, „Global parameters – Demand parameters“</w:t>
      </w:r>
    </w:p>
    <w:p>
      <w:pPr>
        <w:pStyle w:val="Heading2"/>
      </w:pPr>
      <w:r>
        <w:t>9.3 Quittierungseinstellungen (Systempartner)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44"/>
        <w:gridCol w:w="3640"/>
        <w:gridCol w:w="3640"/>
      </w:tblGrid>
      <w:tr>
        <w:trPr>
          <w:tblHeader w:val="true"/>
        </w:trPr>
        <w:tc>
          <w:tcPr>
            <w:tcW w:type="dxa" w:w="2245"/>
            <w:shd w:val="clear" w:color="auto" w:fill="FEEE19"/>
          </w:tcPr>
          <w:p>
            <w:pPr>
              <w:spacing w:after="0"/>
            </w:pPr>
            <w:r>
              <w:rPr>
                <w:b/>
                <w:sz w:val="17"/>
              </w:rPr>
              <w:t>Registerkarte</w:t>
            </w:r>
          </w:p>
        </w:tc>
        <w:tc>
          <w:tcPr>
            <w:tcW w:type="dxa" w:w="3640"/>
            <w:shd w:val="clear" w:color="auto" w:fill="FEEE19"/>
          </w:tcPr>
          <w:p>
            <w:pPr>
              <w:spacing w:after="0"/>
            </w:pPr>
            <w:r>
              <w:rPr>
                <w:b/>
                <w:sz w:val="17"/>
              </w:rPr>
              <w:t>Feld / Werte</w:t>
            </w:r>
          </w:p>
        </w:tc>
        <w:tc>
          <w:tcPr>
            <w:tcW w:type="dxa" w:w="3640"/>
            <w:shd w:val="clear" w:color="auto" w:fill="FEEE19"/>
          </w:tcPr>
          <w:p>
            <w:pPr>
              <w:spacing w:after="0"/>
            </w:pPr>
            <w:r>
              <w:rPr>
                <w:b/>
                <w:sz w:val="17"/>
              </w:rPr>
              <w:t>Bezug</w:t>
            </w:r>
          </w:p>
        </w:tc>
      </w:tr>
      <w:tr>
        <w:tc>
          <w:tcPr>
            <w:tcW w:type="dxa" w:w="2245"/>
          </w:tcPr>
          <w:p>
            <w:pPr>
              <w:spacing w:after="0" w:line="252" w:lineRule="auto"/>
            </w:pPr>
            <w:r>
              <w:rPr>
                <w:b/>
                <w:sz w:val="17"/>
              </w:rPr>
              <w:t>Kommissionierbedarfsquittierung</w:t>
            </w:r>
          </w:p>
        </w:tc>
        <w:tc>
          <w:tcPr>
            <w:tcW w:type="dxa" w:w="3640"/>
          </w:tcPr>
          <w:p>
            <w:pPr>
              <w:spacing w:after="0" w:line="252" w:lineRule="auto"/>
            </w:pPr>
            <w:r>
              <w:rPr>
                <w:rFonts w:ascii="Consolas" w:hAnsi="Consolas" w:cs="Consolas" w:eastAsia="Consolas"/>
                <w:sz w:val="15"/>
              </w:rPr>
              <w:t>Kommissionierquittierungsmodus</w:t>
            </w:r>
            <w:r>
              <w:rPr>
                <w:sz w:val="17"/>
              </w:rPr>
              <w:t xml:space="preserve">: </w:t>
            </w:r>
            <w:r>
              <w:rPr>
                <w:b/>
                <w:sz w:val="17"/>
              </w:rPr>
              <w:t>Bei fertiggestelltem Bedarf</w:t>
            </w:r>
            <w:r>
              <w:rPr>
                <w:sz w:val="17"/>
              </w:rPr>
              <w:t xml:space="preserve">, </w:t>
            </w:r>
            <w:r>
              <w:rPr>
                <w:b/>
                <w:sz w:val="17"/>
              </w:rPr>
              <w:t>Nach jeder Kommissioniertätigkeit</w:t>
            </w:r>
            <w:r>
              <w:rPr>
                <w:sz w:val="17"/>
              </w:rPr>
              <w:t xml:space="preserve">, </w:t>
            </w:r>
            <w:r>
              <w:rPr>
                <w:b/>
                <w:sz w:val="17"/>
              </w:rPr>
              <w:t>Wenn Ziel voll</w:t>
            </w:r>
          </w:p>
        </w:tc>
        <w:tc>
          <w:tcPr>
            <w:tcW w:type="dxa" w:w="3640"/>
          </w:tcPr>
          <w:p>
            <w:pPr>
              <w:spacing w:after="0" w:line="252" w:lineRule="auto"/>
            </w:pPr>
            <w:r>
              <w:rPr>
                <w:sz w:val="17"/>
              </w:rPr>
              <w:t>ERP</w:t>
            </w:r>
          </w:p>
        </w:tc>
      </w:tr>
      <w:tr>
        <w:tc>
          <w:tcPr>
            <w:tcW w:type="dxa" w:w="2245"/>
          </w:tcPr>
          <w:p>
            <w:pPr>
              <w:spacing w:after="0" w:line="252" w:lineRule="auto"/>
            </w:pPr>
            <w:r>
              <w:rPr>
                <w:b/>
                <w:sz w:val="17"/>
              </w:rPr>
              <w:t>WCS Kommissionierquittierung</w:t>
            </w:r>
          </w:p>
        </w:tc>
        <w:tc>
          <w:tcPr>
            <w:tcW w:type="dxa" w:w="3640"/>
          </w:tcPr>
          <w:p>
            <w:pPr>
              <w:spacing w:after="0" w:line="252" w:lineRule="auto"/>
            </w:pPr>
            <w:r>
              <w:rPr>
                <w:b/>
                <w:sz w:val="17"/>
              </w:rPr>
              <w:t>Bei fertiggestelltem Bedarf</w:t>
            </w:r>
            <w:r>
              <w:rPr>
                <w:sz w:val="17"/>
              </w:rPr>
              <w:t xml:space="preserve">, </w:t>
            </w:r>
            <w:r>
              <w:rPr>
                <w:b/>
                <w:sz w:val="17"/>
              </w:rPr>
              <w:t>Wenn Ziel voll</w:t>
            </w:r>
            <w:r>
              <w:rPr>
                <w:sz w:val="17"/>
              </w:rPr>
              <w:t xml:space="preserve"> („wenn eine Ziel-Versand-LE voll ist“), </w:t>
            </w:r>
            <w:r>
              <w:rPr>
                <w:b/>
                <w:sz w:val="17"/>
              </w:rPr>
              <w:t>Nach jedem Pick</w:t>
            </w:r>
          </w:p>
        </w:tc>
        <w:tc>
          <w:tcPr>
            <w:tcW w:type="dxa" w:w="3640"/>
          </w:tcPr>
          <w:p>
            <w:pPr>
              <w:spacing w:after="0" w:line="252" w:lineRule="auto"/>
            </w:pPr>
            <w:r>
              <w:rPr>
                <w:sz w:val="17"/>
              </w:rPr>
              <w:t>WCS-Szenario</w:t>
            </w:r>
          </w:p>
        </w:tc>
      </w:tr>
      <w:tr>
        <w:tc>
          <w:tcPr>
            <w:tcW w:type="dxa" w:w="2245"/>
          </w:tcPr>
          <w:p>
            <w:pPr>
              <w:spacing w:after="0" w:line="252" w:lineRule="auto"/>
            </w:pPr>
            <w:r>
              <w:rPr>
                <w:b/>
                <w:sz w:val="17"/>
              </w:rPr>
              <w:t>Quittierung Kommissionier-Plan-LE</w:t>
            </w:r>
          </w:p>
        </w:tc>
        <w:tc>
          <w:tcPr>
            <w:tcW w:type="dxa" w:w="3640"/>
          </w:tcPr>
          <w:p>
            <w:pPr>
              <w:spacing w:after="0" w:line="252" w:lineRule="auto"/>
            </w:pPr>
            <w:r>
              <w:rPr>
                <w:sz w:val="17"/>
              </w:rPr>
              <w:t>Ziel-Systempartner, Konverter, Hauptdatensatztyp, Verarbeitungspfad, Lagerstandort</w:t>
            </w:r>
          </w:p>
        </w:tc>
        <w:tc>
          <w:tcPr>
            <w:tcW w:type="dxa" w:w="3640"/>
          </w:tcPr>
          <w:p>
            <w:pPr>
              <w:spacing w:after="0" w:line="252" w:lineRule="auto"/>
            </w:pPr>
            <w:r>
              <w:rPr>
                <w:sz w:val="17"/>
              </w:rPr>
              <w:t>Plan-LE</w:t>
            </w:r>
          </w:p>
        </w:tc>
      </w:tr>
      <w:tr>
        <w:tc>
          <w:tcPr>
            <w:tcW w:type="dxa" w:w="2245"/>
          </w:tcPr>
          <w:p>
            <w:pPr>
              <w:spacing w:after="0" w:line="252" w:lineRule="auto"/>
            </w:pPr>
            <w:r>
              <w:rPr>
                <w:b/>
                <w:sz w:val="17"/>
              </w:rPr>
              <w:t>Versand-LE-Quittierung</w:t>
            </w:r>
            <w:r>
              <w:rPr>
                <w:sz w:val="17"/>
              </w:rPr>
              <w:t xml:space="preserve"> (MD096)</w:t>
            </w:r>
          </w:p>
        </w:tc>
        <w:tc>
          <w:tcPr>
            <w:tcW w:type="dxa" w:w="3640"/>
          </w:tcPr>
          <w:p>
            <w:pPr>
              <w:spacing w:after="0" w:line="252" w:lineRule="auto"/>
            </w:pPr>
            <w:r>
              <w:rPr>
                <w:b/>
                <w:sz w:val="17"/>
              </w:rPr>
              <w:t>Versand-LE-Zeile inkludieren</w:t>
            </w:r>
            <w:r>
              <w:rPr>
                <w:sz w:val="17"/>
              </w:rPr>
              <w:t xml:space="preserve">, </w:t>
            </w:r>
            <w:r>
              <w:rPr>
                <w:b/>
                <w:sz w:val="17"/>
              </w:rPr>
              <w:t>WA-Auftrag inkludieren</w:t>
            </w:r>
            <w:r>
              <w:rPr>
                <w:sz w:val="17"/>
              </w:rPr>
              <w:t xml:space="preserve">, </w:t>
            </w:r>
            <w:r>
              <w:rPr>
                <w:rFonts w:ascii="Consolas" w:hAnsi="Consolas" w:cs="Consolas" w:eastAsia="Consolas"/>
                <w:sz w:val="15"/>
              </w:rPr>
              <w:t>Quittierung basierend auf Versand-LE-Status</w:t>
            </w:r>
            <w:r>
              <w:rPr>
                <w:sz w:val="17"/>
              </w:rPr>
              <w:t>, Filter Klient/Auslieferungstyp/Empfänger</w:t>
            </w:r>
          </w:p>
        </w:tc>
        <w:tc>
          <w:tcPr>
            <w:tcW w:type="dxa" w:w="3640"/>
          </w:tcPr>
          <w:p>
            <w:pPr>
              <w:spacing w:after="0" w:line="252" w:lineRule="auto"/>
            </w:pPr>
            <w:r>
              <w:rPr>
                <w:sz w:val="17"/>
              </w:rPr>
              <w:t>ERP; LE für Nachschub durch Kommissionierung sind nicht enthalten</w:t>
            </w:r>
          </w:p>
        </w:tc>
      </w:tr>
      <w:tr>
        <w:tc>
          <w:tcPr>
            <w:tcW w:type="dxa" w:w="2245"/>
          </w:tcPr>
          <w:p>
            <w:pPr>
              <w:spacing w:after="0" w:line="252" w:lineRule="auto"/>
            </w:pPr>
            <w:r>
              <w:rPr>
                <w:sz w:val="17"/>
              </w:rPr>
              <w:t>WAMAS als WMS zu WCS (MD093)</w:t>
            </w:r>
          </w:p>
        </w:tc>
        <w:tc>
          <w:tcPr>
            <w:tcW w:type="dxa" w:w="3640"/>
          </w:tcPr>
          <w:p>
            <w:pPr>
              <w:spacing w:after="0" w:line="252" w:lineRule="auto"/>
            </w:pPr>
            <w:r>
              <w:rPr>
                <w:b/>
                <w:sz w:val="17"/>
              </w:rPr>
              <w:t>Kommissionier-Plan-Ladeeinheiten konsolidieren</w:t>
            </w:r>
          </w:p>
        </w:tc>
        <w:tc>
          <w:tcPr>
            <w:tcW w:type="dxa" w:w="3640"/>
          </w:tcPr>
          <w:p>
            <w:pPr>
              <w:spacing w:after="0" w:line="252" w:lineRule="auto"/>
            </w:pPr>
            <w:r>
              <w:rPr>
                <w:sz w:val="17"/>
              </w:rPr>
              <w:t>Kapitel 10.2</w:t>
            </w:r>
          </w:p>
        </w:tc>
      </w:tr>
    </w:tbl>
    <w:p>
      <w:pPr>
        <w:pStyle w:val="BeschriftungSSI"/>
      </w:pPr>
      <w:r>
        <w:t>Tab. 15: Quittierungen mit Zielplatzbezug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Systempartner, Registerkarte „Kommissionierbedarfsquittierung“]</w:t>
            </w:r>
          </w:p>
          <w:p>
            <w:pPr>
              <w:spacing w:after="40"/>
            </w:pPr>
            <w:r>
              <w:rPr>
                <w:sz w:val="19"/>
              </w:rPr>
              <w:t xml:space="preserve">Feld </w:t>
            </w:r>
            <w:r>
              <w:rPr>
                <w:b/>
                <w:sz w:val="19"/>
              </w:rPr>
              <w:t>Kommissionierquittierungsmodus</w:t>
            </w:r>
            <w:r>
              <w:rPr>
                <w:sz w:val="19"/>
              </w:rPr>
              <w:t xml:space="preserve"> mit Wert </w:t>
            </w:r>
            <w:r>
              <w:rPr>
                <w:b/>
                <w:sz w:val="19"/>
              </w:rPr>
              <w:t>Wenn Ziel voll</w:t>
            </w:r>
            <w:r>
              <w:rPr>
                <w:sz w:val="19"/>
              </w:rPr>
              <w:t>.</w:t>
            </w:r>
          </w:p>
        </w:tc>
      </w:tr>
    </w:tbl>
    <w:p>
      <w:pPr>
        <w:spacing w:after="40"/>
      </w:pPr>
    </w:p>
    <w:p>
      <w:pPr>
        <w:pStyle w:val="Quelle"/>
      </w:pPr>
      <w:r>
        <w:rPr>
          <w:b/>
        </w:rPr>
        <w:t xml:space="preserve">Quelle: </w:t>
      </w:r>
      <w:r>
        <w:rPr>
          <w:sz w:val="17"/>
        </w:rPr>
        <w:t>AH 2.7, Kap. 3.5.1.6.1, 3.5.1.6.2, 3.5.1.6.6, 3.5.2.8, 3.5.3.1</w:t>
      </w:r>
    </w:p>
    <w:p>
      <w:pPr>
        <w:pStyle w:val="Heading1"/>
      </w:pPr>
      <w:r>
        <w:t>10 „Ziel voll“, Konsolidierung und Übergabe an den Versand</w:t>
      </w:r>
    </w:p>
    <w:p>
      <w:pPr>
        <w:pStyle w:val="Heading2"/>
      </w:pPr>
      <w:r>
        <w:t>10.1 „Ziel voll“</w:t>
      </w:r>
    </w:p>
    <w:p>
      <w:pPr>
        <w:pStyle w:val="ListBullet"/>
      </w:pPr>
      <w:r>
        <w:rPr>
          <w:b/>
        </w:rPr>
        <w:t>AH 2.7:</w:t>
      </w:r>
      <w:r>
        <w:t xml:space="preserve"> Mit </w:t>
      </w:r>
      <w:r>
        <w:rPr>
          <w:b/>
        </w:rPr>
        <w:t>Wenn Ziel voll</w:t>
      </w:r>
      <w:r>
        <w:t xml:space="preserve"> wird eine Quittierung gesendet, wenn ein Kommissioniervorgang fertiggestellt ist </w:t>
      </w:r>
      <w:r>
        <w:rPr>
          <w:b/>
        </w:rPr>
        <w:t>und die Ziel-LE vom Benutzer als voll gekennzeichnet wurde</w:t>
      </w:r>
      <w:r>
        <w:t>.</w:t>
      </w:r>
    </w:p>
    <w:p>
      <w:pPr>
        <w:pStyle w:val="ListBullet"/>
      </w:pPr>
      <w:r>
        <w:rPr>
          <w:b/>
        </w:rPr>
        <w:t>Schulung 2024:</w:t>
      </w:r>
      <w:r>
        <w:t xml:space="preserve"> „When destination full – PPLU finished“, also wenn die Plan-LE fertig ist.</w:t>
      </w:r>
    </w:p>
    <w:p>
      <w:pPr>
        <w:pStyle w:val="ListBullet"/>
      </w:pPr>
      <w:r>
        <w:rPr>
          <w:b/>
        </w:rPr>
        <w:t>Telegrammbeispiel 2.7.0 (`PD/ACK_when_dest_full`):</w:t>
      </w:r>
      <w:r>
        <w:t xml:space="preserve"> Zuerst geht ein Put-to-Light-Satz mit </w:t>
      </w:r>
      <w:r>
        <w:rPr>
          <w:rFonts w:ascii="Consolas" w:hAnsi="Consolas" w:cs="Consolas" w:eastAsia="Consolas"/>
          <w:sz w:val="18"/>
        </w:rPr>
        <w:t>demandNo</w:t>
      </w:r>
      <w:r>
        <w:t xml:space="preserve"> = </w:t>
      </w:r>
      <w:r>
        <w:rPr>
          <w:rFonts w:ascii="Consolas" w:hAnsi="Consolas" w:cs="Consolas" w:eastAsia="Consolas"/>
          <w:sz w:val="18"/>
        </w:rPr>
        <w:t>604</w:t>
      </w:r>
      <w:r>
        <w:t xml:space="preserve"> und </w:t>
      </w:r>
      <w:r>
        <w:rPr>
          <w:rFonts w:ascii="Consolas" w:hAnsi="Consolas" w:cs="Consolas" w:eastAsia="Consolas"/>
          <w:sz w:val="18"/>
        </w:rPr>
        <w:t>destLuId</w:t>
      </w:r>
      <w:r>
        <w:t xml:space="preserve"> = </w:t>
      </w:r>
      <w:r>
        <w:rPr>
          <w:rFonts w:ascii="Consolas" w:hAnsi="Consolas" w:cs="Consolas" w:eastAsia="Consolas"/>
          <w:sz w:val="18"/>
        </w:rPr>
        <w:t>TEMP000000043</w:t>
      </w:r>
      <w:r>
        <w:t xml:space="preserve"> an das ERP (14:12:54 laut Header); die Bedarfsquittierung </w:t>
      </w:r>
      <w:r>
        <w:rPr>
          <w:rFonts w:ascii="Consolas" w:hAnsi="Consolas" w:cs="Consolas" w:eastAsia="Consolas"/>
          <w:sz w:val="18"/>
        </w:rPr>
        <w:t>WLSPDACK002</w:t>
      </w:r>
      <w:r>
        <w:t xml:space="preserve"> mit Status </w:t>
      </w:r>
      <w:r>
        <w:rPr>
          <w:rFonts w:ascii="Consolas" w:hAnsi="Consolas" w:cs="Consolas" w:eastAsia="Consolas"/>
          <w:sz w:val="18"/>
        </w:rPr>
        <w:t>FINISHED</w:t>
      </w:r>
      <w:r>
        <w:t xml:space="preserve"> folgt später (14:13:30) und enthält zwei Tätigkeiten in die Ziel-LE </w:t>
      </w:r>
      <w:r>
        <w:rPr>
          <w:rFonts w:ascii="Consolas" w:hAnsi="Consolas" w:cs="Consolas" w:eastAsia="Consolas"/>
          <w:sz w:val="18"/>
        </w:rPr>
        <w:t>TEMP000000043</w:t>
      </w:r>
      <w:r>
        <w:t xml:space="preserve"> und </w:t>
      </w:r>
      <w:r>
        <w:rPr>
          <w:rFonts w:ascii="Consolas" w:hAnsi="Consolas" w:cs="Consolas" w:eastAsia="Consolas"/>
          <w:sz w:val="18"/>
        </w:rPr>
        <w:t>TEMP000000048</w:t>
      </w:r>
      <w:r>
        <w:t xml:space="preserve">, beide mit </w:t>
      </w:r>
      <w:r>
        <w:rPr>
          <w:rFonts w:ascii="Consolas" w:hAnsi="Consolas" w:cs="Consolas" w:eastAsia="Consolas"/>
          <w:sz w:val="18"/>
        </w:rPr>
        <w:t>destStoLoc</w:t>
      </w:r>
      <w:r>
        <w:t xml:space="preserve"> = </w:t>
      </w:r>
      <w:r>
        <w:rPr>
          <w:rFonts w:ascii="Consolas" w:hAnsi="Consolas" w:cs="Consolas" w:eastAsia="Consolas"/>
          <w:sz w:val="18"/>
        </w:rPr>
        <w:t>LogiShpLoc</w:t>
      </w:r>
      <w:r>
        <w:t>. Nach dem Vollmelden wurde also in eine zweite Ziel-LE weiterkommissioniert.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WAMAS;HOST;1;20250311141254;WLSP2LACK002;604;TEMP000000043</w:t>
            </w:r>
          </w:p>
          <w:p>
            <w:pPr>
              <w:pStyle w:val="Code"/>
            </w:pPr>
            <w:r>
              <w:t>...</w:t>
            </w:r>
          </w:p>
          <w:p>
            <w:pPr>
              <w:pStyle w:val="Code"/>
            </w:pPr>
            <w:r>
              <w:t>WAMAS;HOST;4;…;WLSPDLACTIVITYACK001;A1;1;18888888101;101;18888888101-008;A1-OP1-1;TEMP000000043;LogiShpLoc;…</w:t>
            </w:r>
          </w:p>
          <w:p>
            <w:pPr>
              <w:pStyle w:val="Code"/>
            </w:pPr>
            <w:r>
              <w:t>WAMAS;HOST;5;…;WLSPDLACTIVITYACK001;A1;1;18888888101;101;18888888101-008;A1-OP1-1;TEMP000000048;LogiShpLoc;…</w:t>
            </w:r>
          </w:p>
        </w:tc>
      </w:tr>
    </w:tbl>
    <w:p>
      <w:pPr>
        <w:pStyle w:val="BeschriftungSSI"/>
      </w:pPr>
      <w:r>
        <w:t>Abb. 3: Auszug Telegrammbeispiel PD/ACK_when_dest_full/0099.csv und 0103.csv</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Satzart-Version passt nicht zum Handbuch</w:t>
            </w:r>
          </w:p>
          <w:p>
            <w:pPr>
              <w:spacing w:after="40"/>
            </w:pPr>
            <w:r>
              <w:rPr>
                <w:sz w:val="19"/>
              </w:rPr>
              <w:t xml:space="preserve">Das Interface Manual 2.7 dokumentiert </w:t>
            </w:r>
            <w:r>
              <w:rPr>
                <w:rFonts w:ascii="Consolas" w:hAnsi="Consolas" w:cs="Consolas" w:eastAsia="Consolas"/>
                <w:sz w:val="17"/>
              </w:rPr>
              <w:t>WLSP2LACK001</w:t>
            </w:r>
            <w:r>
              <w:rPr>
                <w:sz w:val="19"/>
              </w:rPr>
              <w:t xml:space="preserve"> (Felder </w:t>
            </w:r>
            <w:r>
              <w:rPr>
                <w:rFonts w:ascii="Consolas" w:hAnsi="Consolas" w:cs="Consolas" w:eastAsia="Consolas"/>
                <w:sz w:val="17"/>
              </w:rPr>
              <w:t>demandNo</w:t>
            </w:r>
            <w:r>
              <w:rPr>
                <w:sz w:val="19"/>
              </w:rPr>
              <w:t xml:space="preserve">, </w:t>
            </w:r>
            <w:r>
              <w:rPr>
                <w:rFonts w:ascii="Consolas" w:hAnsi="Consolas" w:cs="Consolas" w:eastAsia="Consolas"/>
                <w:sz w:val="17"/>
              </w:rPr>
              <w:t>destLuId</w:t>
            </w:r>
            <w:r>
              <w:rPr>
                <w:sz w:val="19"/>
              </w:rPr>
              <w:t xml:space="preserve">), die Telegrammbeispiele „2.7.0“ enthalten </w:t>
            </w:r>
            <w:r>
              <w:rPr>
                <w:rFonts w:ascii="Consolas" w:hAnsi="Consolas" w:cs="Consolas" w:eastAsia="Consolas"/>
                <w:sz w:val="17"/>
              </w:rPr>
              <w:t>WLSP2LACK002</w:t>
            </w:r>
            <w:r>
              <w:rPr>
                <w:sz w:val="19"/>
              </w:rPr>
              <w:t xml:space="preserve"> mit einem eingebetteten Satz </w:t>
            </w:r>
            <w:r>
              <w:rPr>
                <w:rFonts w:ascii="Consolas" w:hAnsi="Consolas" w:cs="Consolas" w:eastAsia="Consolas"/>
                <w:sz w:val="17"/>
              </w:rPr>
              <w:t>WLSP2LLACK001</w:t>
            </w:r>
            <w:r>
              <w:rPr>
                <w:sz w:val="19"/>
              </w:rPr>
              <w:t xml:space="preserve"> (Zeilen mit </w:t>
            </w:r>
            <w:r>
              <w:rPr>
                <w:rFonts w:ascii="Consolas" w:hAnsi="Consolas" w:cs="Consolas" w:eastAsia="Consolas"/>
                <w:sz w:val="17"/>
              </w:rPr>
              <w:t>orderedAmount</w:t>
            </w:r>
            <w:r>
              <w:rPr>
                <w:sz w:val="19"/>
              </w:rPr>
              <w:t xml:space="preserve">, </w:t>
            </w:r>
            <w:r>
              <w:rPr>
                <w:rFonts w:ascii="Consolas" w:hAnsi="Consolas" w:cs="Consolas" w:eastAsia="Consolas"/>
                <w:sz w:val="17"/>
              </w:rPr>
              <w:t>releasedAmount</w:t>
            </w:r>
            <w:r>
              <w:rPr>
                <w:sz w:val="19"/>
              </w:rPr>
              <w:t xml:space="preserve">, </w:t>
            </w:r>
            <w:r>
              <w:rPr>
                <w:rFonts w:ascii="Consolas" w:hAnsi="Consolas" w:cs="Consolas" w:eastAsia="Consolas"/>
                <w:sz w:val="17"/>
              </w:rPr>
              <w:t>deliveredAmount</w:t>
            </w:r>
            <w:r>
              <w:rPr>
                <w:sz w:val="19"/>
              </w:rPr>
              <w:t xml:space="preserve">). </w:t>
            </w:r>
            <w:r>
              <w:rPr>
                <w:rFonts w:ascii="Consolas" w:hAnsi="Consolas" w:cs="Consolas" w:eastAsia="Consolas"/>
                <w:sz w:val="17"/>
              </w:rPr>
              <w:t>WLSP2LACK002</w:t>
            </w:r>
            <w:r>
              <w:rPr>
                <w:sz w:val="19"/>
              </w:rPr>
              <w:t xml:space="preserve"> ist erst im Interface Manual 2.8 dokumentiert, </w:t>
            </w:r>
            <w:r>
              <w:rPr>
                <w:rFonts w:ascii="Consolas" w:hAnsi="Consolas" w:cs="Consolas" w:eastAsia="Consolas"/>
                <w:sz w:val="17"/>
              </w:rPr>
              <w:t>WLSP2LLACK001</w:t>
            </w:r>
            <w:r>
              <w:rPr>
                <w:sz w:val="19"/>
              </w:rPr>
              <w:t xml:space="preserve"> in keinem Handbuch. Vor der ERP-Anbindung im Live-System prüfen, welche Satzart gesendet wird.</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Wie wird eine Ziel-LE „voll“ gekennzeichnet?</w:t>
            </w:r>
          </w:p>
          <w:p>
            <w:pPr>
              <w:spacing w:after="40"/>
            </w:pPr>
            <w:r>
              <w:rPr>
                <w:sz w:val="19"/>
              </w:rPr>
              <w:t>Wo und wie der Benutzer am Touch-Client eine Ziel-LE als voll kennzeichnet, beschreiben BH 2.7 und BH 2.8 nicht.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Stelle am Touch-Client, an der die Ziel-LE als voll gemeldet wird]</w:t>
            </w:r>
          </w:p>
          <w:p>
            <w:pPr>
              <w:spacing w:after="40"/>
            </w:pPr>
            <w:r>
              <w:rPr>
                <w:sz w:val="19"/>
              </w:rPr>
              <w:t>Den Bedienschritt im Live-System suchen (z. B. in LM002 oder LM045) und festhalten; schließt die Lücke.</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DI004 Übersicht ausgehende Systempartnernachrichten mit Put-to-Light-Quittierung]</w:t>
            </w:r>
          </w:p>
          <w:p>
            <w:pPr>
              <w:spacing w:after="40"/>
            </w:pPr>
            <w:r>
              <w:rPr>
                <w:sz w:val="19"/>
              </w:rPr>
              <w:t>Satzartname (</w:t>
            </w:r>
            <w:r>
              <w:rPr>
                <w:rFonts w:ascii="Consolas" w:hAnsi="Consolas" w:cs="Consolas" w:eastAsia="Consolas"/>
                <w:sz w:val="17"/>
              </w:rPr>
              <w:t>WLSP2LACK001</w:t>
            </w:r>
            <w:r>
              <w:rPr>
                <w:sz w:val="19"/>
              </w:rPr>
              <w:t xml:space="preserve"> oder </w:t>
            </w:r>
            <w:r>
              <w:rPr>
                <w:rFonts w:ascii="Consolas" w:hAnsi="Consolas" w:cs="Consolas" w:eastAsia="Consolas"/>
                <w:sz w:val="17"/>
              </w:rPr>
              <w:t>…002</w:t>
            </w:r>
            <w:r>
              <w:rPr>
                <w:sz w:val="19"/>
              </w:rPr>
              <w:t>) sichtbar machen.</w:t>
            </w:r>
          </w:p>
        </w:tc>
      </w:tr>
    </w:tbl>
    <w:p>
      <w:pPr>
        <w:spacing w:after="40"/>
      </w:pPr>
    </w:p>
    <w:p>
      <w:pPr>
        <w:pStyle w:val="Quelle"/>
      </w:pPr>
      <w:r>
        <w:rPr>
          <w:b/>
        </w:rPr>
        <w:t xml:space="preserve">Quelle: </w:t>
      </w:r>
      <w:r>
        <w:rPr>
          <w:sz w:val="17"/>
        </w:rPr>
        <w:t>AH 2.7, Kap. 3.5.1.6.1–3.5.1.6.2; SH ERP 2.7, Kap. 7.2.1.3, 7.2.2.3; SH ERP 2.8, Kap. 7.2.1.3; TB 2.7, PD/ACK_when_dest_full/0098–0105; SCH, „Configure Systempartner (3)“</w:t>
      </w:r>
    </w:p>
    <w:p>
      <w:pPr>
        <w:pStyle w:val="Heading2"/>
      </w:pPr>
      <w:r>
        <w:t>10.2 Konsolidierung</w:t>
      </w:r>
    </w:p>
    <w:p>
      <w:pPr>
        <w:pStyle w:val="ListBullet"/>
      </w:pPr>
      <w:r>
        <w:rPr>
          <w:b/>
        </w:rPr>
        <w:t>Kommissionier-Plan-LE konsolidieren (WAMAS als WMS zu WCS, MD093, Registerkarte „Systempartner“):</w:t>
      </w:r>
      <w:r>
        <w:t xml:space="preserve"> Plan-LE mit identischem Ladehilfsmittel, gleicher Auslieferung, gleichem Kommissionierbereich und gleicher Kommissioniergruppe werden </w:t>
      </w:r>
      <w:r>
        <w:rPr>
          <w:b/>
        </w:rPr>
        <w:t>nach der Freigabe</w:t>
      </w:r>
      <w:r>
        <w:t xml:space="preserve"> zu einem Kommissionierauftrag zusammengefasst.</w:t>
      </w:r>
    </w:p>
    <w:p>
      <w:pPr>
        <w:pStyle w:val="ListBullet"/>
      </w:pPr>
      <w:r>
        <w:rPr>
          <w:b/>
        </w:rPr>
        <w:t>Nicht verwechseln:</w:t>
      </w:r>
      <w:r>
        <w:t xml:space="preserve"> </w:t>
      </w:r>
      <w:r>
        <w:rPr>
          <w:b/>
        </w:rPr>
        <w:t>Konsolidieren von Boxen</w:t>
      </w:r>
      <w:r>
        <w:t xml:space="preserve"> am Touch-Client (BH 2.7 Kap. 6.1.6) betrifft Bestand in Boxen des SSI LOGIMAT, nicht Ziel-LE.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Konsolidierung am Zielplatz</w:t>
            </w:r>
          </w:p>
          <w:p>
            <w:pPr>
              <w:spacing w:after="40"/>
            </w:pPr>
            <w:r>
              <w:rPr>
                <w:sz w:val="19"/>
              </w:rPr>
              <w:t>Ein Zusammenführen mehrerer Ziel-LE eines Auftrags am Zielplatz (z. B. Umpacken, Master-LE bilden) ist in 2.7 für den Touch-Client nicht beschrieben.</w:t>
            </w:r>
          </w:p>
        </w:tc>
      </w:tr>
    </w:tbl>
    <w:p>
      <w:pPr>
        <w:spacing w:after="40"/>
      </w:pPr>
    </w:p>
    <w:p>
      <w:pPr>
        <w:pStyle w:val="Quelle"/>
      </w:pPr>
      <w:r>
        <w:rPr>
          <w:b/>
        </w:rPr>
        <w:t xml:space="preserve">Quelle: </w:t>
      </w:r>
      <w:r>
        <w:rPr>
          <w:sz w:val="17"/>
        </w:rPr>
        <w:t>AH 2.7, Kap. 3.5.3.1; BH 2.7, Kap. 6.1.6</w:t>
      </w:r>
    </w:p>
    <w:p>
      <w:pPr>
        <w:pStyle w:val="Heading2"/>
      </w:pPr>
      <w:r>
        <w:t>10.3 Übergabe an den Versand</w:t>
      </w:r>
    </w:p>
    <w:p>
      <w:r>
        <w:t>Dokumentiert sind folgende Bausteine: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66"/>
        <w:gridCol w:w="5658"/>
      </w:tblGrid>
      <w:tr>
        <w:trPr>
          <w:tblHeader w:val="true"/>
        </w:trPr>
        <w:tc>
          <w:tcPr>
            <w:tcW w:type="dxa" w:w="3866"/>
            <w:shd w:val="clear" w:color="auto" w:fill="FEEE19"/>
          </w:tcPr>
          <w:p>
            <w:pPr>
              <w:spacing w:after="0"/>
            </w:pPr>
            <w:r>
              <w:rPr>
                <w:b/>
                <w:sz w:val="17"/>
              </w:rPr>
              <w:t>Baustein</w:t>
            </w:r>
          </w:p>
        </w:tc>
        <w:tc>
          <w:tcPr>
            <w:tcW w:type="dxa" w:w="5658"/>
            <w:shd w:val="clear" w:color="auto" w:fill="FEEE19"/>
          </w:tcPr>
          <w:p>
            <w:pPr>
              <w:spacing w:after="0"/>
            </w:pPr>
            <w:r>
              <w:rPr>
                <w:b/>
                <w:sz w:val="17"/>
              </w:rPr>
              <w:t>Was dokumentiert ist</w:t>
            </w:r>
          </w:p>
        </w:tc>
      </w:tr>
      <w:tr>
        <w:tc>
          <w:tcPr>
            <w:tcW w:type="dxa" w:w="3866"/>
          </w:tcPr>
          <w:p>
            <w:pPr>
              <w:spacing w:after="0" w:line="252" w:lineRule="auto"/>
            </w:pPr>
            <w:r>
              <w:rPr>
                <w:sz w:val="17"/>
              </w:rPr>
              <w:t>Lagerplatz der Ziel-LE in der Quittierung</w:t>
            </w:r>
          </w:p>
        </w:tc>
        <w:tc>
          <w:tcPr>
            <w:tcW w:type="dxa" w:w="5658"/>
          </w:tcPr>
          <w:p>
            <w:pPr>
              <w:spacing w:after="0" w:line="252" w:lineRule="auto"/>
            </w:pPr>
            <w:r>
              <w:rPr>
                <w:rFonts w:ascii="Consolas" w:hAnsi="Consolas" w:cs="Consolas" w:eastAsia="Consolas"/>
                <w:sz w:val="15"/>
              </w:rPr>
              <w:t>WLSPDLACTIVITYACK001</w:t>
            </w:r>
            <w:r>
              <w:rPr>
                <w:sz w:val="17"/>
              </w:rPr>
              <w:t xml:space="preserve">: </w:t>
            </w:r>
            <w:r>
              <w:rPr>
                <w:rFonts w:ascii="Consolas" w:hAnsi="Consolas" w:cs="Consolas" w:eastAsia="Consolas"/>
                <w:sz w:val="15"/>
              </w:rPr>
              <w:t>destLuId</w:t>
            </w:r>
            <w:r>
              <w:rPr>
                <w:sz w:val="17"/>
              </w:rPr>
              <w:t xml:space="preserve"> (Ziel-LE) und </w:t>
            </w:r>
            <w:r>
              <w:rPr>
                <w:rFonts w:ascii="Consolas" w:hAnsi="Consolas" w:cs="Consolas" w:eastAsia="Consolas"/>
                <w:sz w:val="15"/>
              </w:rPr>
              <w:t>destStoLoc</w:t>
            </w:r>
            <w:r>
              <w:rPr>
                <w:sz w:val="17"/>
              </w:rPr>
              <w:t xml:space="preserve"> (Tabellenfeld </w:t>
            </w:r>
            <w:r>
              <w:rPr>
                <w:rFonts w:ascii="Consolas" w:hAnsi="Consolas" w:cs="Consolas" w:eastAsia="Consolas"/>
                <w:sz w:val="15"/>
              </w:rPr>
              <w:t>externalStoLoc.stoLocId</w:t>
            </w:r>
            <w:r>
              <w:rPr>
                <w:sz w:val="17"/>
              </w:rPr>
              <w:t xml:space="preserve">); im Beispiel </w:t>
            </w:r>
            <w:r>
              <w:rPr>
                <w:rFonts w:ascii="Consolas" w:hAnsi="Consolas" w:cs="Consolas" w:eastAsia="Consolas"/>
                <w:sz w:val="15"/>
              </w:rPr>
              <w:t>LogiShpLoc</w:t>
            </w:r>
          </w:p>
        </w:tc>
      </w:tr>
      <w:tr>
        <w:tc>
          <w:tcPr>
            <w:tcW w:type="dxa" w:w="3866"/>
          </w:tcPr>
          <w:p>
            <w:pPr>
              <w:spacing w:after="0" w:line="252" w:lineRule="auto"/>
            </w:pPr>
            <w:r>
              <w:rPr>
                <w:sz w:val="17"/>
              </w:rPr>
              <w:t>Belege</w:t>
            </w:r>
          </w:p>
        </w:tc>
        <w:tc>
          <w:tcPr>
            <w:tcW w:type="dxa" w:w="5658"/>
          </w:tcPr>
          <w:p>
            <w:pPr>
              <w:spacing w:after="0" w:line="252" w:lineRule="auto"/>
            </w:pPr>
            <w:r>
              <w:rPr>
                <w:b/>
                <w:sz w:val="17"/>
              </w:rPr>
              <w:t>Kommissionierlieferschein drucken</w:t>
            </w:r>
            <w:r>
              <w:rPr>
                <w:sz w:val="17"/>
              </w:rPr>
              <w:t xml:space="preserve">, </w:t>
            </w:r>
            <w:r>
              <w:rPr>
                <w:b/>
                <w:sz w:val="17"/>
              </w:rPr>
              <w:t>Packliste drucken</w:t>
            </w:r>
            <w:r>
              <w:rPr>
                <w:sz w:val="17"/>
              </w:rPr>
              <w:t xml:space="preserve"> am Kommissionierbedarfstyp; Lieferscheine für kommissionierte LE (BH 6.8.1.4/6.8.2.3)</w:t>
            </w:r>
          </w:p>
        </w:tc>
      </w:tr>
      <w:tr>
        <w:tc>
          <w:tcPr>
            <w:tcW w:type="dxa" w:w="3866"/>
          </w:tcPr>
          <w:p>
            <w:pPr>
              <w:spacing w:after="0" w:line="252" w:lineRule="auto"/>
            </w:pPr>
            <w:r>
              <w:rPr>
                <w:sz w:val="17"/>
              </w:rPr>
              <w:t>Versand-LE-Quittierung</w:t>
            </w:r>
          </w:p>
        </w:tc>
        <w:tc>
          <w:tcPr>
            <w:tcW w:type="dxa" w:w="5658"/>
          </w:tcPr>
          <w:p>
            <w:pPr>
              <w:spacing w:after="0" w:line="252" w:lineRule="auto"/>
            </w:pPr>
            <w:r>
              <w:rPr>
                <w:sz w:val="17"/>
              </w:rPr>
              <w:t xml:space="preserve">MD096, Registerkarte </w:t>
            </w:r>
            <w:r>
              <w:rPr>
                <w:b/>
                <w:sz w:val="17"/>
              </w:rPr>
              <w:t>Versand-LE-Quittierung</w:t>
            </w:r>
          </w:p>
        </w:tc>
      </w:tr>
      <w:tr>
        <w:tc>
          <w:tcPr>
            <w:tcW w:type="dxa" w:w="3866"/>
          </w:tcPr>
          <w:p>
            <w:pPr>
              <w:spacing w:after="0" w:line="252" w:lineRule="auto"/>
            </w:pPr>
            <w:r>
              <w:rPr>
                <w:sz w:val="17"/>
              </w:rPr>
              <w:t>Übergabeplatz der Zone</w:t>
            </w:r>
          </w:p>
        </w:tc>
        <w:tc>
          <w:tcPr>
            <w:tcW w:type="dxa" w:w="5658"/>
          </w:tcPr>
          <w:p>
            <w:pPr>
              <w:spacing w:after="0" w:line="252" w:lineRule="auto"/>
            </w:pPr>
            <w:r>
              <w:rPr>
                <w:sz w:val="17"/>
              </w:rPr>
              <w:t xml:space="preserve">LM069, </w:t>
            </w:r>
            <w:r>
              <w:rPr>
                <w:b/>
                <w:sz w:val="17"/>
              </w:rPr>
              <w:t>Übergabeplatztyp</w:t>
            </w:r>
            <w:r>
              <w:rPr>
                <w:sz w:val="17"/>
              </w:rPr>
              <w:t xml:space="preserve"> </w:t>
            </w:r>
            <w:r>
              <w:rPr>
                <w:b/>
                <w:sz w:val="17"/>
              </w:rPr>
              <w:t>Auslagerung</w:t>
            </w:r>
          </w:p>
        </w:tc>
      </w:tr>
      <w:tr>
        <w:tc>
          <w:tcPr>
            <w:tcW w:type="dxa" w:w="3866"/>
          </w:tcPr>
          <w:p>
            <w:pPr>
              <w:spacing w:after="0" w:line="252" w:lineRule="auto"/>
            </w:pPr>
            <w:r>
              <w:rPr>
                <w:sz w:val="17"/>
              </w:rPr>
              <w:t>Zwischenlagern</w:t>
            </w:r>
          </w:p>
        </w:tc>
        <w:tc>
          <w:tcPr>
            <w:tcW w:type="dxa" w:w="5658"/>
          </w:tcPr>
          <w:p>
            <w:pPr>
              <w:spacing w:after="0" w:line="252" w:lineRule="auto"/>
            </w:pPr>
            <w:r>
              <w:rPr>
                <w:b/>
                <w:sz w:val="17"/>
              </w:rPr>
              <w:t>LM045 → LE für Rücklagerung kennzeichnen</w:t>
            </w:r>
            <w:r>
              <w:rPr>
                <w:sz w:val="17"/>
              </w:rPr>
              <w:t xml:space="preserve"> → LM109 Boxtyp; ursprünglicher Bedarf erst nach erneuter Auslagerung abschließbar; später </w:t>
            </w:r>
            <w:r>
              <w:rPr>
                <w:b/>
                <w:sz w:val="17"/>
              </w:rPr>
              <w:t>LE für Auslagerung kennzeichnen</w:t>
            </w:r>
          </w:p>
        </w:tc>
      </w:tr>
    </w:tbl>
    <w:p>
      <w:pPr>
        <w:pStyle w:val="BeschriftungSSI"/>
      </w:pPr>
      <w:r>
        <w:t>Tab. 16: Bausteine der Versandübergabe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Dokumentationsfehler `destStoLoc`</w:t>
            </w:r>
          </w:p>
          <w:p>
            <w:pPr>
              <w:spacing w:after="40"/>
            </w:pPr>
            <w:r>
              <w:rPr>
                <w:sz w:val="19"/>
              </w:rPr>
              <w:t xml:space="preserve">Das Interface Manual (2.7 und 2.8) beschreibt </w:t>
            </w:r>
            <w:r>
              <w:rPr>
                <w:rFonts w:ascii="Consolas" w:hAnsi="Consolas" w:cs="Consolas" w:eastAsia="Consolas"/>
                <w:sz w:val="17"/>
              </w:rPr>
              <w:t>destStoLoc</w:t>
            </w:r>
            <w:r>
              <w:rPr>
                <w:sz w:val="19"/>
              </w:rPr>
              <w:t xml:space="preserve"> als „ID of the </w:t>
            </w:r>
            <w:r>
              <w:rPr>
                <w:b/>
                <w:sz w:val="19"/>
              </w:rPr>
              <w:t>source</w:t>
            </w:r>
            <w:r>
              <w:rPr>
                <w:sz w:val="19"/>
              </w:rPr>
              <w:t xml:space="preserve"> storage location“. Tabellenfeld (</w:t>
            </w:r>
            <w:r>
              <w:rPr>
                <w:rFonts w:ascii="Consolas" w:hAnsi="Consolas" w:cs="Consolas" w:eastAsia="Consolas"/>
                <w:sz w:val="17"/>
              </w:rPr>
              <w:t>externalStoLoc.stoLocId</w:t>
            </w:r>
            <w:r>
              <w:rPr>
                <w:sz w:val="19"/>
              </w:rPr>
              <w:t>) und Telegrammbeispiel zeigen, dass der Lagerplatz der Ziel-LE gemeint ist.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Versandübergabe als Prozess</w:t>
            </w:r>
          </w:p>
          <w:p>
            <w:pPr>
              <w:spacing w:after="40"/>
            </w:pPr>
            <w:r>
              <w:rPr>
                <w:sz w:val="19"/>
              </w:rPr>
              <w:t xml:space="preserve">Ob ein Zielplatz nach Abschluss automatisch frei wird oder die Ziel-LE manuell entfernt werden muss, und wie die Ziel-LE auf einen Versandplatz wie </w:t>
            </w:r>
            <w:r>
              <w:rPr>
                <w:rFonts w:ascii="Consolas" w:hAnsi="Consolas" w:cs="Consolas" w:eastAsia="Consolas"/>
                <w:sz w:val="17"/>
              </w:rPr>
              <w:t>LogiShpLoc</w:t>
            </w:r>
            <w:r>
              <w:rPr>
                <w:sz w:val="19"/>
              </w:rPr>
              <w:t xml:space="preserve"> kommt, ist in 2.7 nicht als Ablauf beschrieben.</w:t>
            </w:r>
          </w:p>
        </w:tc>
      </w:tr>
    </w:tbl>
    <w:p>
      <w:pPr>
        <w:spacing w:after="40"/>
      </w:pPr>
    </w:p>
    <w:p>
      <w:pPr>
        <w:pStyle w:val="Quelle"/>
      </w:pPr>
      <w:r>
        <w:rPr>
          <w:b/>
        </w:rPr>
        <w:t xml:space="preserve">Quelle: </w:t>
      </w:r>
      <w:r>
        <w:rPr>
          <w:sz w:val="17"/>
        </w:rPr>
        <w:t>SH ERP 2.7, Kap. 7.2.1.4, 7.2.2.4; AH 2.7, Kap. 3.1.10.2, 3.5.2.8, 3.6.1.10; BH 2.7, Kap. 6.7.1.3–6.7.1.4, 6.8; TB 2.7</w:t>
      </w:r>
    </w:p>
    <w:p>
      <w:pPr>
        <w:pStyle w:val="Heading1"/>
      </w:pPr>
      <w:r>
        <w:t>11 Etiketten und Barcodes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44"/>
        <w:gridCol w:w="3640"/>
        <w:gridCol w:w="3640"/>
      </w:tblGrid>
      <w:tr>
        <w:trPr>
          <w:tblHeader w:val="true"/>
        </w:trPr>
        <w:tc>
          <w:tcPr>
            <w:tcW w:type="dxa" w:w="2245"/>
            <w:shd w:val="clear" w:color="auto" w:fill="FEEE19"/>
          </w:tcPr>
          <w:p>
            <w:pPr>
              <w:spacing w:after="0"/>
            </w:pPr>
            <w:r>
              <w:rPr>
                <w:b/>
                <w:sz w:val="17"/>
              </w:rPr>
              <w:t>Etikett</w:t>
            </w:r>
          </w:p>
        </w:tc>
        <w:tc>
          <w:tcPr>
            <w:tcW w:type="dxa" w:w="3640"/>
            <w:shd w:val="clear" w:color="auto" w:fill="FEEE19"/>
          </w:tcPr>
          <w:p>
            <w:pPr>
              <w:spacing w:after="0"/>
            </w:pPr>
            <w:r>
              <w:rPr>
                <w:b/>
                <w:sz w:val="17"/>
              </w:rPr>
              <w:t>Wo drucken</w:t>
            </w:r>
          </w:p>
        </w:tc>
        <w:tc>
          <w:tcPr>
            <w:tcW w:type="dxa" w:w="3640"/>
            <w:shd w:val="clear" w:color="auto" w:fill="FEEE19"/>
          </w:tcPr>
          <w:p>
            <w:pPr>
              <w:spacing w:after="0"/>
            </w:pPr>
            <w:r>
              <w:rPr>
                <w:b/>
                <w:sz w:val="17"/>
              </w:rPr>
              <w:t>Hinweis</w:t>
            </w:r>
          </w:p>
        </w:tc>
      </w:tr>
      <w:tr>
        <w:tc>
          <w:tcPr>
            <w:tcW w:type="dxa" w:w="2245"/>
          </w:tcPr>
          <w:p>
            <w:pPr>
              <w:spacing w:after="0" w:line="252" w:lineRule="auto"/>
            </w:pPr>
            <w:r>
              <w:rPr>
                <w:b/>
                <w:sz w:val="17"/>
              </w:rPr>
              <w:t>Lagerplatzetikett</w:t>
            </w:r>
            <w:r>
              <w:rPr>
                <w:sz w:val="17"/>
              </w:rPr>
              <w:t xml:space="preserve"> des Zielplatzes</w:t>
            </w:r>
          </w:p>
        </w:tc>
        <w:tc>
          <w:tcPr>
            <w:tcW w:type="dxa" w:w="3640"/>
          </w:tcPr>
          <w:p>
            <w:pPr>
              <w:spacing w:after="0" w:line="252" w:lineRule="auto"/>
            </w:pPr>
            <w:r>
              <w:rPr>
                <w:sz w:val="17"/>
              </w:rPr>
              <w:t xml:space="preserve">Touch: </w:t>
            </w:r>
            <w:r>
              <w:rPr>
                <w:b/>
                <w:sz w:val="17"/>
              </w:rPr>
              <w:t>LM044</w:t>
            </w:r>
            <w:r>
              <w:rPr>
                <w:sz w:val="17"/>
              </w:rPr>
              <w:t xml:space="preserve"> → Platz → </w:t>
            </w:r>
            <w:r>
              <w:rPr>
                <w:b/>
                <w:sz w:val="17"/>
              </w:rPr>
              <w:t>Drucken</w:t>
            </w:r>
            <w:r>
              <w:rPr>
                <w:sz w:val="17"/>
              </w:rPr>
              <w:t xml:space="preserve"> (Benachrichtigung bestätigt den Druck)</w:t>
            </w:r>
          </w:p>
        </w:tc>
        <w:tc>
          <w:tcPr>
            <w:tcW w:type="dxa" w:w="3640"/>
          </w:tcPr>
          <w:p>
            <w:pPr>
              <w:spacing w:after="0" w:line="252" w:lineRule="auto"/>
            </w:pPr>
            <w:r>
              <w:rPr>
                <w:sz w:val="17"/>
              </w:rPr>
              <w:t>Lagerplatzkennungen enthalten i. d. R. einen scanbaren Barcode mit Informationen zum Lagerplatz</w:t>
            </w:r>
          </w:p>
        </w:tc>
      </w:tr>
      <w:tr>
        <w:tc>
          <w:tcPr>
            <w:tcW w:type="dxa" w:w="2245"/>
          </w:tcPr>
          <w:p>
            <w:pPr>
              <w:spacing w:after="0" w:line="252" w:lineRule="auto"/>
            </w:pPr>
            <w:r>
              <w:rPr>
                <w:sz w:val="17"/>
              </w:rPr>
              <w:t>Lagerplatzetikett allgemein</w:t>
            </w:r>
          </w:p>
        </w:tc>
        <w:tc>
          <w:tcPr>
            <w:tcW w:type="dxa" w:w="3640"/>
          </w:tcPr>
          <w:p>
            <w:pPr>
              <w:spacing w:after="0" w:line="252" w:lineRule="auto"/>
            </w:pPr>
            <w:r>
              <w:rPr>
                <w:sz w:val="17"/>
              </w:rPr>
              <w:t xml:space="preserve">Desktop: </w:t>
            </w:r>
            <w:r>
              <w:rPr>
                <w:b/>
                <w:sz w:val="17"/>
              </w:rPr>
              <w:t>WH004 Übersicht Lagerplätze</w:t>
            </w:r>
            <w:r>
              <w:rPr>
                <w:sz w:val="17"/>
              </w:rPr>
              <w:t xml:space="preserve"> → Rechtsklick </w:t>
            </w:r>
            <w:r>
              <w:rPr>
                <w:b/>
                <w:sz w:val="17"/>
              </w:rPr>
              <w:t>Lagerplatzetiketten drucken</w:t>
            </w:r>
            <w:r>
              <w:rPr>
                <w:sz w:val="17"/>
              </w:rPr>
              <w:t xml:space="preserve"> → </w:t>
            </w:r>
            <w:r>
              <w:rPr>
                <w:b/>
                <w:sz w:val="17"/>
              </w:rPr>
              <w:t>RM001</w:t>
            </w:r>
          </w:p>
        </w:tc>
        <w:tc>
          <w:tcPr>
            <w:tcW w:type="dxa" w:w="3640"/>
          </w:tcPr>
          <w:p>
            <w:pPr>
              <w:spacing w:after="0" w:line="252" w:lineRule="auto"/>
            </w:pPr>
            <w:r>
              <w:rPr>
                <w:sz w:val="17"/>
              </w:rPr>
              <w:t>Ob Zielplätze in WH004 erscheinen, im System prüfen</w:t>
            </w:r>
          </w:p>
        </w:tc>
      </w:tr>
      <w:tr>
        <w:tc>
          <w:tcPr>
            <w:tcW w:type="dxa" w:w="2245"/>
          </w:tcPr>
          <w:p>
            <w:pPr>
              <w:spacing w:after="0" w:line="252" w:lineRule="auto"/>
            </w:pPr>
            <w:r>
              <w:rPr>
                <w:b/>
                <w:sz w:val="17"/>
              </w:rPr>
              <w:t>LE-Etikett</w:t>
            </w:r>
            <w:r>
              <w:rPr>
                <w:sz w:val="17"/>
              </w:rPr>
              <w:t xml:space="preserve"> der Ziel-LE</w:t>
            </w:r>
          </w:p>
        </w:tc>
        <w:tc>
          <w:tcPr>
            <w:tcW w:type="dxa" w:w="3640"/>
          </w:tcPr>
          <w:p>
            <w:pPr>
              <w:spacing w:after="0" w:line="252" w:lineRule="auto"/>
            </w:pPr>
            <w:r>
              <w:rPr>
                <w:sz w:val="17"/>
              </w:rPr>
              <w:t xml:space="preserve">Touch: </w:t>
            </w:r>
            <w:r>
              <w:rPr>
                <w:b/>
                <w:sz w:val="17"/>
              </w:rPr>
              <w:t>LM045</w:t>
            </w:r>
            <w:r>
              <w:rPr>
                <w:sz w:val="17"/>
              </w:rPr>
              <w:t xml:space="preserve"> → LE → </w:t>
            </w:r>
            <w:r>
              <w:rPr>
                <w:b/>
                <w:sz w:val="17"/>
              </w:rPr>
              <w:t>Drucken</w:t>
            </w:r>
            <w:r>
              <w:rPr>
                <w:sz w:val="17"/>
              </w:rPr>
              <w:t xml:space="preserve">; automatisch mit </w:t>
            </w:r>
            <w:r>
              <w:rPr>
                <w:rFonts w:ascii="Consolas" w:hAnsi="Consolas" w:cs="Consolas" w:eastAsia="Consolas"/>
                <w:sz w:val="15"/>
              </w:rPr>
              <w:t>externalluid.print</w:t>
            </w:r>
            <w:r>
              <w:rPr>
                <w:sz w:val="17"/>
              </w:rPr>
              <w:t xml:space="preserve"> = </w:t>
            </w:r>
            <w:r>
              <w:rPr>
                <w:rFonts w:ascii="Consolas" w:hAnsi="Consolas" w:cs="Consolas" w:eastAsia="Consolas"/>
                <w:sz w:val="15"/>
              </w:rPr>
              <w:t>AUTOMATIC</w:t>
            </w:r>
          </w:p>
        </w:tc>
        <w:tc>
          <w:tcPr>
            <w:tcW w:type="dxa" w:w="3640"/>
          </w:tcPr>
          <w:p>
            <w:pPr>
              <w:spacing w:after="0" w:line="252" w:lineRule="auto"/>
            </w:pPr>
            <w:r>
              <w:rPr>
                <w:rFonts w:ascii="Consolas" w:hAnsi="Consolas" w:cs="Consolas" w:eastAsia="Consolas"/>
                <w:sz w:val="15"/>
              </w:rPr>
              <w:t>anyluid.print</w:t>
            </w:r>
            <w:r>
              <w:rPr>
                <w:sz w:val="17"/>
              </w:rPr>
              <w:t xml:space="preserve"> erlaubt auch temporäre LE-IDs</w:t>
            </w:r>
          </w:p>
        </w:tc>
      </w:tr>
      <w:tr>
        <w:tc>
          <w:tcPr>
            <w:tcW w:type="dxa" w:w="2245"/>
          </w:tcPr>
          <w:p>
            <w:pPr>
              <w:spacing w:after="0" w:line="252" w:lineRule="auto"/>
            </w:pPr>
            <w:r>
              <w:rPr>
                <w:b/>
                <w:sz w:val="17"/>
              </w:rPr>
              <w:t>Kommissionieretikett</w:t>
            </w:r>
          </w:p>
        </w:tc>
        <w:tc>
          <w:tcPr>
            <w:tcW w:type="dxa" w:w="3640"/>
          </w:tcPr>
          <w:p>
            <w:pPr>
              <w:spacing w:after="0" w:line="252" w:lineRule="auto"/>
            </w:pPr>
            <w:r>
              <w:rPr>
                <w:sz w:val="17"/>
              </w:rPr>
              <w:t xml:space="preserve">Bedarfstyp: </w:t>
            </w:r>
            <w:r>
              <w:rPr>
                <w:b/>
                <w:sz w:val="17"/>
              </w:rPr>
              <w:t>Keine</w:t>
            </w:r>
            <w:r>
              <w:rPr>
                <w:sz w:val="17"/>
              </w:rPr>
              <w:t xml:space="preserve">, </w:t>
            </w:r>
            <w:r>
              <w:rPr>
                <w:b/>
                <w:sz w:val="17"/>
              </w:rPr>
              <w:t>Nach Kommissionierung</w:t>
            </w:r>
            <w:r>
              <w:rPr>
                <w:sz w:val="17"/>
              </w:rPr>
              <w:t xml:space="preserve">, </w:t>
            </w:r>
            <w:r>
              <w:rPr>
                <w:b/>
                <w:sz w:val="17"/>
              </w:rPr>
              <w:t>Vor Kommissionierung</w:t>
            </w:r>
            <w:r>
              <w:rPr>
                <w:sz w:val="17"/>
              </w:rPr>
              <w:t xml:space="preserve">, </w:t>
            </w:r>
            <w:r>
              <w:rPr>
                <w:b/>
                <w:sz w:val="17"/>
              </w:rPr>
              <w:t>Vor Kommissionierung mit erneutem Drucken</w:t>
            </w:r>
          </w:p>
        </w:tc>
        <w:tc>
          <w:tcPr>
            <w:tcW w:type="dxa" w:w="3640"/>
          </w:tcPr>
          <w:p>
            <w:pPr>
              <w:spacing w:after="0" w:line="252" w:lineRule="auto"/>
            </w:pPr>
            <w:r>
              <w:rPr>
                <w:sz w:val="17"/>
              </w:rPr>
              <w:t>Details im How-to „Dokumente drucken“</w:t>
            </w:r>
          </w:p>
        </w:tc>
      </w:tr>
      <w:tr>
        <w:tc>
          <w:tcPr>
            <w:tcW w:type="dxa" w:w="2245"/>
          </w:tcPr>
          <w:p>
            <w:pPr>
              <w:spacing w:after="0" w:line="252" w:lineRule="auto"/>
            </w:pPr>
            <w:r>
              <w:rPr>
                <w:sz w:val="17"/>
              </w:rPr>
              <w:t>Barcode zur LE-Zuordnung (WCS)</w:t>
            </w:r>
          </w:p>
        </w:tc>
        <w:tc>
          <w:tcPr>
            <w:tcW w:type="dxa" w:w="3640"/>
          </w:tcPr>
          <w:p>
            <w:pPr>
              <w:spacing w:after="0" w:line="252" w:lineRule="auto"/>
            </w:pPr>
            <w:r>
              <w:rPr>
                <w:rFonts w:ascii="Consolas" w:hAnsi="Consolas" w:cs="Consolas" w:eastAsia="Consolas"/>
                <w:sz w:val="15"/>
              </w:rPr>
              <w:t>automaticallyAssignBarcodeToExternalLU</w:t>
            </w:r>
            <w:r>
              <w:rPr>
                <w:sz w:val="17"/>
              </w:rPr>
              <w:t xml:space="preserve"> sucht anhand des „für die Kubatur definierten Barcodes“</w:t>
            </w:r>
          </w:p>
        </w:tc>
        <w:tc>
          <w:tcPr>
            <w:tcW w:type="dxa" w:w="3640"/>
          </w:tcPr>
          <w:p>
            <w:pPr>
              <w:spacing w:after="0" w:line="252" w:lineRule="auto"/>
            </w:pPr>
            <w:r>
              <w:rPr>
                <w:sz w:val="17"/>
              </w:rPr>
              <w:t>Pflegeort des Kubatur-Barcodes nicht dokumentiert</w:t>
            </w:r>
          </w:p>
        </w:tc>
      </w:tr>
    </w:tbl>
    <w:p>
      <w:pPr>
        <w:pStyle w:val="BeschriftungSSI"/>
      </w:pPr>
      <w:r>
        <w:t>Tab. 17: Etiketten rund um Zielplätze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[Screenshot oder Foto: gedrucktes Zielplatz-Etikett am Regalfach]</w:t>
            </w:r>
          </w:p>
          <w:p>
            <w:pPr>
              <w:spacing w:after="40"/>
            </w:pPr>
            <w:r>
              <w:rPr>
                <w:sz w:val="19"/>
              </w:rPr>
              <w:t>Zeigt Inhalt (Kennung, Barcode) und Anbringung.</w:t>
            </w:r>
          </w:p>
        </w:tc>
      </w:tr>
    </w:tbl>
    <w:p>
      <w:pPr>
        <w:spacing w:after="40"/>
      </w:pPr>
    </w:p>
    <w:p>
      <w:pPr>
        <w:pStyle w:val="Quelle"/>
      </w:pPr>
      <w:r>
        <w:rPr>
          <w:b/>
        </w:rPr>
        <w:t xml:space="preserve">Quelle: </w:t>
      </w:r>
      <w:r>
        <w:rPr>
          <w:sz w:val="17"/>
        </w:rPr>
        <w:t>BH 2.7, Kap. 6.7.1.2, 6.8.1.3, 6.8.2.2; AH 2.7, Kap. 3.6.1.10, 3.11.2; How-to „Dokumente drucken“ v1.0</w:t>
      </w:r>
    </w:p>
    <w:p>
      <w:pPr>
        <w:pStyle w:val="Heading1"/>
      </w:pPr>
      <w:r>
        <w:t>12 Abgleich mit Version 2.8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78"/>
        <w:gridCol w:w="3150"/>
        <w:gridCol w:w="4396"/>
      </w:tblGrid>
      <w:tr>
        <w:trPr>
          <w:tblHeader w:val="true"/>
        </w:trPr>
        <w:tc>
          <w:tcPr>
            <w:tcW w:type="dxa" w:w="1978"/>
            <w:shd w:val="clear" w:color="auto" w:fill="FEEE19"/>
          </w:tcPr>
          <w:p>
            <w:pPr>
              <w:spacing w:after="0"/>
            </w:pPr>
            <w:r>
              <w:rPr>
                <w:b/>
                <w:sz w:val="17"/>
              </w:rPr>
              <w:t>Thema</w:t>
            </w:r>
          </w:p>
        </w:tc>
        <w:tc>
          <w:tcPr>
            <w:tcW w:type="dxa" w:w="3150"/>
            <w:shd w:val="clear" w:color="auto" w:fill="FEEE19"/>
          </w:tcPr>
          <w:p>
            <w:pPr>
              <w:spacing w:after="0"/>
            </w:pPr>
            <w:r>
              <w:rPr>
                <w:b/>
                <w:sz w:val="17"/>
              </w:rPr>
              <w:t>2.7</w:t>
            </w:r>
          </w:p>
        </w:tc>
        <w:tc>
          <w:tcPr>
            <w:tcW w:type="dxa" w:w="4396"/>
            <w:shd w:val="clear" w:color="auto" w:fill="FEEE19"/>
          </w:tcPr>
          <w:p>
            <w:pPr>
              <w:spacing w:after="0"/>
            </w:pPr>
            <w:r>
              <w:rPr>
                <w:b/>
                <w:sz w:val="17"/>
              </w:rPr>
              <w:t>2.8</w:t>
            </w:r>
          </w:p>
        </w:tc>
      </w:tr>
      <w:tr>
        <w:tc>
          <w:tcPr>
            <w:tcW w:type="dxa" w:w="1978"/>
          </w:tcPr>
          <w:p>
            <w:pPr>
              <w:spacing w:after="0" w:line="252" w:lineRule="auto"/>
            </w:pPr>
            <w:r>
              <w:rPr>
                <w:sz w:val="17"/>
              </w:rPr>
              <w:t>Kapitel Zielplätze/-gruppen</w:t>
            </w:r>
          </w:p>
        </w:tc>
        <w:tc>
          <w:tcPr>
            <w:tcW w:type="dxa" w:w="3150"/>
          </w:tcPr>
          <w:p>
            <w:pPr>
              <w:spacing w:after="0" w:line="252" w:lineRule="auto"/>
            </w:pPr>
            <w:r>
              <w:rPr>
                <w:sz w:val="17"/>
              </w:rPr>
              <w:t>AH 3.1.11–3.1.12, BH 5.4</w:t>
            </w:r>
          </w:p>
        </w:tc>
        <w:tc>
          <w:tcPr>
            <w:tcW w:type="dxa" w:w="4396"/>
          </w:tcPr>
          <w:p>
            <w:pPr>
              <w:spacing w:after="0" w:line="252" w:lineRule="auto"/>
            </w:pPr>
            <w:r>
              <w:rPr>
                <w:sz w:val="17"/>
              </w:rPr>
              <w:t>AH 3.1.12–3.1.13, BH 5.4; inhaltsgleich (Nummer um eins verschoben)</w:t>
            </w:r>
          </w:p>
        </w:tc>
      </w:tr>
      <w:tr>
        <w:tc>
          <w:tcPr>
            <w:tcW w:type="dxa" w:w="1978"/>
          </w:tcPr>
          <w:p>
            <w:pPr>
              <w:spacing w:after="0" w:line="252" w:lineRule="auto"/>
            </w:pPr>
            <w:r>
              <w:rPr>
                <w:sz w:val="17"/>
              </w:rPr>
              <w:t>Externe LE-ID bei Freigabe</w:t>
            </w:r>
          </w:p>
        </w:tc>
        <w:tc>
          <w:tcPr>
            <w:tcW w:type="dxa" w:w="3150"/>
          </w:tcPr>
          <w:p>
            <w:pPr>
              <w:spacing w:after="0" w:line="252" w:lineRule="auto"/>
            </w:pPr>
            <w:r>
              <w:rPr>
                <w:sz w:val="17"/>
              </w:rPr>
              <w:t>Zuordnung in LM045</w:t>
            </w:r>
          </w:p>
        </w:tc>
        <w:tc>
          <w:tcPr>
            <w:tcW w:type="dxa" w:w="4396"/>
          </w:tcPr>
          <w:p>
            <w:pPr>
              <w:spacing w:after="0" w:line="252" w:lineRule="auto"/>
            </w:pPr>
            <w:r>
              <w:rPr>
                <w:b/>
                <w:sz w:val="17"/>
              </w:rPr>
              <w:t>LM164</w:t>
            </w:r>
            <w:r>
              <w:rPr>
                <w:sz w:val="17"/>
              </w:rPr>
              <w:t xml:space="preserve"> fragt externe LE-ID und Zielplatz bei PTL/Mehrauftrag ab</w:t>
            </w:r>
          </w:p>
        </w:tc>
      </w:tr>
      <w:tr>
        <w:tc>
          <w:tcPr>
            <w:tcW w:type="dxa" w:w="1978"/>
          </w:tcPr>
          <w:p>
            <w:pPr>
              <w:spacing w:after="0" w:line="252" w:lineRule="auto"/>
            </w:pPr>
            <w:r>
              <w:rPr>
                <w:sz w:val="17"/>
              </w:rPr>
              <w:t>Externe LE-ID ändern</w:t>
            </w:r>
          </w:p>
        </w:tc>
        <w:tc>
          <w:tcPr>
            <w:tcW w:type="dxa" w:w="3150"/>
          </w:tcPr>
          <w:p>
            <w:pPr>
              <w:spacing w:after="0" w:line="252" w:lineRule="auto"/>
            </w:pPr>
            <w:r>
              <w:rPr>
                <w:sz w:val="17"/>
              </w:rPr>
              <w:t xml:space="preserve">LM045 </w:t>
            </w:r>
            <w:r>
              <w:rPr>
                <w:b/>
                <w:sz w:val="17"/>
              </w:rPr>
              <w:t>Scannen</w:t>
            </w:r>
          </w:p>
        </w:tc>
        <w:tc>
          <w:tcPr>
            <w:tcW w:type="dxa" w:w="4396"/>
          </w:tcPr>
          <w:p>
            <w:pPr>
              <w:spacing w:after="0" w:line="252" w:lineRule="auto"/>
            </w:pPr>
            <w:r>
              <w:rPr>
                <w:b/>
                <w:sz w:val="17"/>
              </w:rPr>
              <w:t>LM108</w:t>
            </w:r>
            <w:r>
              <w:rPr>
                <w:sz w:val="17"/>
              </w:rPr>
              <w:t xml:space="preserve"> (Touch), </w:t>
            </w:r>
            <w:r>
              <w:rPr>
                <w:b/>
                <w:sz w:val="17"/>
              </w:rPr>
              <w:t>LM165</w:t>
            </w:r>
            <w:r>
              <w:rPr>
                <w:sz w:val="17"/>
              </w:rPr>
              <w:t xml:space="preserve"> (Desktop)</w:t>
            </w:r>
          </w:p>
        </w:tc>
      </w:tr>
      <w:tr>
        <w:tc>
          <w:tcPr>
            <w:tcW w:type="dxa" w:w="1978"/>
          </w:tcPr>
          <w:p>
            <w:pPr>
              <w:spacing w:after="0" w:line="252" w:lineRule="auto"/>
            </w:pPr>
            <w:r>
              <w:rPr>
                <w:sz w:val="17"/>
              </w:rPr>
              <w:t>ERP-Vorgabe der LE-ID</w:t>
            </w:r>
          </w:p>
        </w:tc>
        <w:tc>
          <w:tcPr>
            <w:tcW w:type="dxa" w:w="3150"/>
          </w:tcPr>
          <w:p>
            <w:pPr>
              <w:spacing w:after="0" w:line="252" w:lineRule="auto"/>
            </w:pPr>
            <w:r>
              <w:rPr>
                <w:sz w:val="17"/>
              </w:rPr>
              <w:t>nicht vorgesehen (</w:t>
            </w:r>
            <w:r>
              <w:rPr>
                <w:rFonts w:ascii="Consolas" w:hAnsi="Consolas" w:cs="Consolas" w:eastAsia="Consolas"/>
                <w:sz w:val="15"/>
              </w:rPr>
              <w:t>WLSPD002</w:t>
            </w:r>
            <w:r>
              <w:rPr>
                <w:sz w:val="17"/>
              </w:rPr>
              <w:t xml:space="preserve"> ohne LE-Feld)</w:t>
            </w:r>
          </w:p>
        </w:tc>
        <w:tc>
          <w:tcPr>
            <w:tcW w:type="dxa" w:w="4396"/>
          </w:tcPr>
          <w:p>
            <w:pPr>
              <w:spacing w:after="0" w:line="252" w:lineRule="auto"/>
            </w:pPr>
            <w:r>
              <w:rPr>
                <w:rFonts w:ascii="Consolas" w:hAnsi="Consolas" w:cs="Consolas" w:eastAsia="Consolas"/>
                <w:sz w:val="15"/>
              </w:rPr>
              <w:t>extLuId</w:t>
            </w:r>
            <w:r>
              <w:rPr>
                <w:sz w:val="17"/>
              </w:rPr>
              <w:t xml:space="preserve"> in </w:t>
            </w:r>
            <w:r>
              <w:rPr>
                <w:rFonts w:ascii="Consolas" w:hAnsi="Consolas" w:cs="Consolas" w:eastAsia="Consolas"/>
                <w:sz w:val="15"/>
              </w:rPr>
              <w:t>WLSPD003</w:t>
            </w:r>
          </w:p>
        </w:tc>
      </w:tr>
      <w:tr>
        <w:tc>
          <w:tcPr>
            <w:tcW w:type="dxa" w:w="1978"/>
          </w:tcPr>
          <w:p>
            <w:pPr>
              <w:spacing w:after="0" w:line="252" w:lineRule="auto"/>
            </w:pPr>
            <w:r>
              <w:rPr>
                <w:sz w:val="17"/>
              </w:rPr>
              <w:t>PTL-Quittierung</w:t>
            </w:r>
          </w:p>
        </w:tc>
        <w:tc>
          <w:tcPr>
            <w:tcW w:type="dxa" w:w="3150"/>
          </w:tcPr>
          <w:p>
            <w:pPr>
              <w:spacing w:after="0" w:line="252" w:lineRule="auto"/>
            </w:pPr>
            <w:r>
              <w:rPr>
                <w:rFonts w:ascii="Consolas" w:hAnsi="Consolas" w:cs="Consolas" w:eastAsia="Consolas"/>
                <w:sz w:val="15"/>
              </w:rPr>
              <w:t>WLSP2LACK001</w:t>
            </w:r>
            <w:r>
              <w:rPr>
                <w:sz w:val="17"/>
              </w:rPr>
              <w:t xml:space="preserve"> dokumentiert</w:t>
            </w:r>
          </w:p>
        </w:tc>
        <w:tc>
          <w:tcPr>
            <w:tcW w:type="dxa" w:w="4396"/>
          </w:tcPr>
          <w:p>
            <w:pPr>
              <w:spacing w:after="0" w:line="252" w:lineRule="auto"/>
            </w:pPr>
            <w:r>
              <w:rPr>
                <w:rFonts w:ascii="Consolas" w:hAnsi="Consolas" w:cs="Consolas" w:eastAsia="Consolas"/>
                <w:sz w:val="15"/>
              </w:rPr>
              <w:t>WLSP2LACK002</w:t>
            </w:r>
            <w:r>
              <w:rPr>
                <w:sz w:val="17"/>
              </w:rPr>
              <w:t xml:space="preserve"> dokumentiert</w:t>
            </w:r>
          </w:p>
        </w:tc>
      </w:tr>
      <w:tr>
        <w:tc>
          <w:tcPr>
            <w:tcW w:type="dxa" w:w="1978"/>
          </w:tcPr>
          <w:p>
            <w:pPr>
              <w:spacing w:after="0" w:line="252" w:lineRule="auto"/>
            </w:pPr>
            <w:r>
              <w:rPr>
                <w:sz w:val="17"/>
              </w:rPr>
              <w:t>PTL-Hardware</w:t>
            </w:r>
          </w:p>
        </w:tc>
        <w:tc>
          <w:tcPr>
            <w:tcW w:type="dxa" w:w="3150"/>
          </w:tcPr>
          <w:p>
            <w:pPr>
              <w:spacing w:after="0" w:line="252" w:lineRule="auto"/>
            </w:pPr>
            <w:r>
              <w:rPr>
                <w:sz w:val="17"/>
              </w:rPr>
              <w:t>Installation Guide 6.6 (MF007–MF105, SE015)</w:t>
            </w:r>
          </w:p>
        </w:tc>
        <w:tc>
          <w:tcPr>
            <w:tcW w:type="dxa" w:w="4396"/>
          </w:tcPr>
          <w:p>
            <w:pPr>
              <w:spacing w:after="0" w:line="252" w:lineRule="auto"/>
            </w:pPr>
            <w:r>
              <w:rPr>
                <w:sz w:val="17"/>
              </w:rPr>
              <w:t xml:space="preserve">zusätzlich </w:t>
            </w:r>
            <w:r>
              <w:rPr>
                <w:b/>
                <w:sz w:val="17"/>
              </w:rPr>
              <w:t>LM301</w:t>
            </w:r>
            <w:r>
              <w:rPr>
                <w:sz w:val="17"/>
              </w:rPr>
              <w:t xml:space="preserve"> KBS DC-LC mit Pick Faces</w:t>
            </w:r>
          </w:p>
        </w:tc>
      </w:tr>
      <w:tr>
        <w:tc>
          <w:tcPr>
            <w:tcW w:type="dxa" w:w="1978"/>
          </w:tcPr>
          <w:p>
            <w:pPr>
              <w:spacing w:after="0" w:line="252" w:lineRule="auto"/>
            </w:pPr>
            <w:r>
              <w:rPr>
                <w:sz w:val="17"/>
              </w:rPr>
              <w:t>Nachschub</w:t>
            </w:r>
          </w:p>
        </w:tc>
        <w:tc>
          <w:tcPr>
            <w:tcW w:type="dxa" w:w="3150"/>
          </w:tcPr>
          <w:p>
            <w:pPr>
              <w:spacing w:after="0" w:line="252" w:lineRule="auto"/>
            </w:pPr>
            <w:r>
              <w:rPr>
                <w:sz w:val="17"/>
              </w:rPr>
              <w:t>–</w:t>
            </w:r>
          </w:p>
        </w:tc>
        <w:tc>
          <w:tcPr>
            <w:tcW w:type="dxa" w:w="4396"/>
          </w:tcPr>
          <w:p>
            <w:pPr>
              <w:spacing w:after="0" w:line="252" w:lineRule="auto"/>
            </w:pPr>
            <w:r>
              <w:rPr>
                <w:b/>
                <w:sz w:val="17"/>
              </w:rPr>
              <w:t>LM175</w:t>
            </w:r>
            <w:r>
              <w:rPr>
                <w:sz w:val="17"/>
              </w:rPr>
              <w:t xml:space="preserve"> Nachschubkonfiguration mit Ziel-Einschränkung (u. a. „destination location group“)</w:t>
            </w:r>
          </w:p>
        </w:tc>
      </w:tr>
      <w:tr>
        <w:tc>
          <w:tcPr>
            <w:tcW w:type="dxa" w:w="1978"/>
          </w:tcPr>
          <w:p>
            <w:pPr>
              <w:spacing w:after="0" w:line="252" w:lineRule="auto"/>
            </w:pPr>
            <w:r>
              <w:rPr>
                <w:sz w:val="17"/>
              </w:rPr>
              <w:t>LM045</w:t>
            </w:r>
          </w:p>
        </w:tc>
        <w:tc>
          <w:tcPr>
            <w:tcW w:type="dxa" w:w="3150"/>
          </w:tcPr>
          <w:p>
            <w:pPr>
              <w:spacing w:after="0" w:line="252" w:lineRule="auto"/>
            </w:pPr>
            <w:r>
              <w:rPr>
                <w:sz w:val="17"/>
              </w:rPr>
              <w:t>Ziel-/Externe Ladeeinheiten</w:t>
            </w:r>
          </w:p>
        </w:tc>
        <w:tc>
          <w:tcPr>
            <w:tcW w:type="dxa" w:w="4396"/>
          </w:tcPr>
          <w:p>
            <w:pPr>
              <w:spacing w:after="0" w:line="252" w:lineRule="auto"/>
            </w:pPr>
            <w:r>
              <w:rPr>
                <w:sz w:val="17"/>
              </w:rPr>
              <w:t>Picking Plan Loading Units Overview</w:t>
            </w:r>
          </w:p>
        </w:tc>
      </w:tr>
    </w:tbl>
    <w:p>
      <w:pPr>
        <w:pStyle w:val="BeschriftungSSI"/>
      </w:pPr>
      <w:r>
        <w:t>Tab. 18: Unterschiede 2.7 → 2.8</w:t>
      </w:r>
    </w:p>
    <w:p>
      <w:pPr>
        <w:pStyle w:val="Quelle"/>
      </w:pPr>
      <w:r>
        <w:rPr>
          <w:b/>
        </w:rPr>
        <w:t xml:space="preserve">Quelle: </w:t>
      </w:r>
      <w:r>
        <w:rPr>
          <w:sz w:val="17"/>
        </w:rPr>
        <w:t>AH/BH 2.7 und 2.8 wie angegeben; SH ERP 2.7/2.8, Kap. 7.1–7.2; AH 2.8, Kap. 3.1.11, 3.9.2.3.3</w:t>
      </w:r>
    </w:p>
    <w:p>
      <w:pPr>
        <w:pStyle w:val="Heading1"/>
      </w:pPr>
      <w:r>
        <w:t>13 Stolperfallen</w:t>
      </w:r>
    </w:p>
    <w:p>
      <w:pPr>
        <w:pStyle w:val="ListBullet"/>
      </w:pPr>
      <w:r>
        <w:rPr>
          <w:b/>
        </w:rPr>
        <w:t>„Alle entfernen“ in LM044</w:t>
      </w:r>
      <w:r>
        <w:t xml:space="preserve"> löscht laut Handbuch alle Zielplätze; Umfang (Öffnung oder System) unklar. Gezielt über LM065 je Gruppe löschen.</w:t>
      </w:r>
    </w:p>
    <w:p>
      <w:pPr>
        <w:pStyle w:val="ListBullet"/>
      </w:pPr>
      <w:r>
        <w:rPr>
          <w:b/>
        </w:rPr>
        <w:t>Touch-Generierung bindet an die aktive Zugriffsöffnung.</w:t>
      </w:r>
      <w:r>
        <w:t xml:space="preserve"> Wer am falschen Arbeitsplatz generiert, hängt die Plätze an die falsche Öffnung.</w:t>
      </w:r>
    </w:p>
    <w:p>
      <w:pPr>
        <w:pStyle w:val="ListBullet"/>
      </w:pPr>
      <w:r>
        <w:rPr>
          <w:b/>
        </w:rPr>
        <w:t>Kein Deaktivieren:</w:t>
      </w:r>
      <w:r>
        <w:t xml:space="preserve"> Es gibt keinen dokumentierten Status oder Sperre für Zielplätze; nur Löschen oder Steuerung über Bedarfstyp/Reihenfolge.</w:t>
      </w:r>
    </w:p>
    <w:p>
      <w:pPr>
        <w:pStyle w:val="ListBullet"/>
      </w:pPr>
      <w:r>
        <w:rPr>
          <w:b/>
        </w:rPr>
        <w:t>Aktivierung begrenzen + zu wenige Plätze:</w:t>
      </w:r>
      <w:r>
        <w:t xml:space="preserve"> Mit </w:t>
      </w:r>
      <w:r>
        <w:rPr>
          <w:b/>
        </w:rPr>
        <w:t>Bedarfsaktivierung durch freien, externen Lagerplatz begrenzen</w:t>
      </w:r>
      <w:r>
        <w:t xml:space="preserve"> bremsen belegte oder reservierte Plätze die Aktivierung.</w:t>
      </w:r>
    </w:p>
    <w:p>
      <w:pPr>
        <w:pStyle w:val="ListBullet"/>
      </w:pPr>
      <w:r>
        <w:rPr>
          <w:b/>
        </w:rPr>
        <w:t>`externalloc.reserve`:</w:t>
      </w:r>
      <w:r>
        <w:t xml:space="preserve"> Handbuch „kleine Aufträge“, Schulung „Express demands“; die reservierten Plätze fehlen allen anderen Aufträgen.</w:t>
      </w:r>
    </w:p>
    <w:p>
      <w:pPr>
        <w:pStyle w:val="ListBullet"/>
      </w:pPr>
      <w:r>
        <w:rPr>
          <w:b/>
        </w:rPr>
        <w:t>Begriffe:</w:t>
      </w:r>
      <w:r>
        <w:t xml:space="preserve"> LM107 heißt „LE auf externem Lagerplatz verwalten“, wird aber auch zum Zuordnen der Lagerplatzkennung genutzt; der Bestätigungsbutton heißt in beiden Fällen </w:t>
      </w:r>
      <w:r>
        <w:rPr>
          <w:b/>
        </w:rPr>
        <w:t>LE buchen</w:t>
      </w:r>
      <w:r>
        <w:t>.</w:t>
      </w:r>
    </w:p>
    <w:p>
      <w:pPr>
        <w:pStyle w:val="ListBullet"/>
      </w:pPr>
      <w:r>
        <w:rPr>
          <w:b/>
        </w:rPr>
        <w:t>Reihenfolge ohne Nummer</w:t>
      </w:r>
      <w:r>
        <w:t xml:space="preserve"> heißt „zuletzt“, nicht „nie“.</w:t>
      </w:r>
    </w:p>
    <w:p>
      <w:pPr>
        <w:pStyle w:val="ListBullet"/>
      </w:pPr>
      <w:r>
        <w:rPr>
          <w:b/>
        </w:rPr>
        <w:t>`externalluid.generate` = `true`</w:t>
      </w:r>
      <w:r>
        <w:t xml:space="preserve"> verhindert die Nutzung extern vergebener LE-IDs.</w:t>
      </w:r>
    </w:p>
    <w:p>
      <w:pPr>
        <w:pStyle w:val="ListBullet"/>
      </w:pPr>
      <w:r>
        <w:rPr>
          <w:b/>
        </w:rPr>
        <w:t>Satzart-Version der PTL-Quittierung</w:t>
      </w:r>
      <w:r>
        <w:t xml:space="preserve"> (</w:t>
      </w:r>
      <w:r>
        <w:rPr>
          <w:rFonts w:ascii="Consolas" w:hAnsi="Consolas" w:cs="Consolas" w:eastAsia="Consolas"/>
          <w:sz w:val="18"/>
        </w:rPr>
        <w:t>WLSP2LACK001</w:t>
      </w:r>
      <w:r>
        <w:t xml:space="preserve"> laut Handbuch 2.7, </w:t>
      </w:r>
      <w:r>
        <w:rPr>
          <w:rFonts w:ascii="Consolas" w:hAnsi="Consolas" w:cs="Consolas" w:eastAsia="Consolas"/>
          <w:sz w:val="18"/>
        </w:rPr>
        <w:t>…002</w:t>
      </w:r>
      <w:r>
        <w:t xml:space="preserve"> in den Beispielen).</w:t>
      </w:r>
    </w:p>
    <w:p>
      <w:pPr>
        <w:pStyle w:val="ListBullet"/>
      </w:pPr>
      <w:r>
        <w:rPr>
          <w:b/>
        </w:rPr>
        <w:t>`destStoLoc`</w:t>
      </w:r>
      <w:r>
        <w:t xml:space="preserve"> ist im Interface Manual falsch als „source“ beschrieben.</w:t>
      </w:r>
    </w:p>
    <w:p>
      <w:pPr>
        <w:pStyle w:val="ListBullet"/>
      </w:pPr>
      <w:r>
        <w:rPr>
          <w:b/>
        </w:rPr>
        <w:t>Rücklagerung blockiert den Abschluss:</w:t>
      </w:r>
      <w:r>
        <w:t xml:space="preserve"> Solange eine externe LE im SSI LOGIMAT liegt, kann der ursprüngliche Bedarf nicht fertiggestellt werden; mit Kommissionierreservierungen ist keine Rücklagerung möglich.</w:t>
      </w:r>
    </w:p>
    <w:p>
      <w:pPr>
        <w:pStyle w:val="ListBullet"/>
      </w:pPr>
      <w:r>
        <w:rPr>
          <w:b/>
        </w:rPr>
        <w:t>PTL-Gadgets:</w:t>
      </w:r>
      <w:r>
        <w:t xml:space="preserve"> Im 2.7-Setup braucht jeder Zielplatz ein eigenes DC-LC-Gadget; neue oder gelöschte Plätze ziehen Änderungen in MF105 nach sich.</w:t>
      </w:r>
    </w:p>
    <w:p>
      <w:pPr>
        <w:pStyle w:val="ListBullet"/>
      </w:pPr>
      <w:r>
        <w:rPr>
          <w:b/>
        </w:rPr>
        <w:t>Kommissionierwagen-Rechte:</w:t>
      </w:r>
      <w:r>
        <w:t xml:space="preserve"> Der Benutzer braucht Rechte für alle Bedarfe des Wagens.</w:t>
      </w:r>
    </w:p>
    <w:p>
      <w:pPr>
        <w:pStyle w:val="Quelle"/>
      </w:pPr>
      <w:r>
        <w:rPr>
          <w:b/>
        </w:rPr>
        <w:t xml:space="preserve">Quelle: </w:t>
      </w:r>
      <w:r>
        <w:rPr>
          <w:sz w:val="17"/>
        </w:rPr>
        <w:t>Zusammenstellung aus Kapitel 3–12</w:t>
      </w:r>
    </w:p>
    <w:p>
      <w:pPr>
        <w:pStyle w:val="Heading1"/>
      </w:pPr>
      <w:r>
        <w:t>14 Praxisbeispiele</w:t>
      </w:r>
    </w:p>
    <w:p>
      <w:pPr>
        <w:pStyle w:val="Heading2"/>
      </w:pPr>
      <w:r>
        <w:t>14.1 Put-to-Light-Regal mit 8 Plätzen in Betrieb nehmen</w:t>
      </w:r>
    </w:p>
    <w:p>
      <w:r>
        <w:t xml:space="preserve">Beispiel (konstruiert, bitte prüfen): An Zugriffsöffnung 1 des SSI LOGIMAT </w:t>
      </w:r>
      <w:r>
        <w:rPr>
          <w:rFonts w:ascii="Consolas" w:hAnsi="Consolas" w:cs="Consolas" w:eastAsia="Consolas"/>
          <w:sz w:val="18"/>
        </w:rPr>
        <w:t>A1</w:t>
      </w:r>
      <w:r>
        <w:t xml:space="preserve"> (Zone </w:t>
      </w:r>
      <w:r>
        <w:rPr>
          <w:rFonts w:ascii="Consolas" w:hAnsi="Consolas" w:cs="Consolas" w:eastAsia="Consolas"/>
          <w:sz w:val="18"/>
        </w:rPr>
        <w:t>ZONE1</w:t>
      </w:r>
      <w:r>
        <w:t>) steht ein Regal mit 4 Spalten × 2 Reihen für Versandkartons 40 × 30 × 30 cm. Bis zu sieben Aufträge laufen parallel, ein Platz bleibt für Expressaufträge frei.</w:t>
      </w:r>
    </w:p>
    <w:p>
      <w:pPr>
        <w:tabs>
          <w:tab w:pos="425" w:val="left"/>
        </w:tabs>
        <w:spacing w:after="60"/>
        <w:ind w:left="425" w:hanging="425"/>
      </w:pPr>
      <w:r>
        <w:rPr>
          <w:b/>
        </w:rPr>
        <w:t>1.</w:t>
        <w:tab/>
      </w:r>
      <w:r>
        <w:rPr>
          <w:b/>
        </w:rPr>
        <w:t>LM065</w:t>
      </w:r>
      <w:r>
        <w:t xml:space="preserve"> → </w:t>
      </w:r>
      <w:r>
        <w:rPr>
          <w:b/>
        </w:rPr>
        <w:t>Gruppe generieren</w:t>
      </w:r>
      <w:r>
        <w:t xml:space="preserve"> → </w:t>
      </w:r>
      <w:r>
        <w:rPr>
          <w:b/>
        </w:rPr>
        <w:t>LM064</w:t>
      </w:r>
      <w:r>
        <w:t xml:space="preserve">: Zone </w:t>
      </w:r>
      <w:r>
        <w:rPr>
          <w:rFonts w:ascii="Consolas" w:hAnsi="Consolas" w:cs="Consolas" w:eastAsia="Consolas"/>
          <w:sz w:val="18"/>
        </w:rPr>
        <w:t>ZONE1</w:t>
      </w:r>
      <w:r>
        <w:t xml:space="preserve">, </w:t>
      </w:r>
      <w:r>
        <w:rPr>
          <w:rFonts w:ascii="Consolas" w:hAnsi="Consolas" w:cs="Consolas" w:eastAsia="Consolas"/>
          <w:sz w:val="18"/>
        </w:rPr>
        <w:t>Gruppenname</w:t>
      </w:r>
      <w:r>
        <w:t xml:space="preserve"> </w:t>
      </w:r>
      <w:r>
        <w:rPr>
          <w:rFonts w:ascii="Consolas" w:hAnsi="Consolas" w:cs="Consolas" w:eastAsia="Consolas"/>
          <w:sz w:val="18"/>
        </w:rPr>
        <w:t>PTL-A1-1</w:t>
      </w:r>
      <w:r>
        <w:t xml:space="preserve">, </w:t>
      </w:r>
      <w:r>
        <w:rPr>
          <w:rFonts w:ascii="Consolas" w:hAnsi="Consolas" w:cs="Consolas" w:eastAsia="Consolas"/>
          <w:sz w:val="18"/>
        </w:rPr>
        <w:t>Spalten</w:t>
      </w:r>
      <w:r>
        <w:t xml:space="preserve"> 4, </w:t>
      </w:r>
      <w:r>
        <w:rPr>
          <w:rFonts w:ascii="Consolas" w:hAnsi="Consolas" w:cs="Consolas" w:eastAsia="Consolas"/>
          <w:sz w:val="18"/>
        </w:rPr>
        <w:t>Reihen</w:t>
      </w:r>
      <w:r>
        <w:t xml:space="preserve"> 2, Maße 40/30/30 cm → </w:t>
      </w:r>
      <w:r>
        <w:rPr>
          <w:b/>
        </w:rPr>
        <w:t>Zielplätze generieren</w:t>
      </w:r>
      <w:r>
        <w:t>.</w:t>
      </w:r>
    </w:p>
    <w:p>
      <w:pPr>
        <w:tabs>
          <w:tab w:pos="425" w:val="left"/>
        </w:tabs>
        <w:spacing w:after="60"/>
        <w:ind w:left="425" w:hanging="425"/>
      </w:pPr>
      <w:r>
        <w:rPr>
          <w:b/>
        </w:rPr>
        <w:t>2.</w:t>
        <w:tab/>
      </w:r>
      <w:r>
        <w:rPr>
          <w:b/>
        </w:rPr>
        <w:t>LM065</w:t>
      </w:r>
      <w:r>
        <w:t xml:space="preserve"> → </w:t>
      </w:r>
      <w:r>
        <w:rPr>
          <w:b/>
        </w:rPr>
        <w:t>Zugriffsöffnung zuordnen</w:t>
      </w:r>
      <w:r>
        <w:t xml:space="preserve"> → FW005: Öffnung 1 von </w:t>
      </w:r>
      <w:r>
        <w:rPr>
          <w:rFonts w:ascii="Consolas" w:hAnsi="Consolas" w:cs="Consolas" w:eastAsia="Consolas"/>
          <w:sz w:val="18"/>
        </w:rPr>
        <w:t>A1</w:t>
      </w:r>
      <w:r>
        <w:t>.</w:t>
      </w:r>
    </w:p>
    <w:p>
      <w:pPr>
        <w:tabs>
          <w:tab w:pos="425" w:val="left"/>
        </w:tabs>
        <w:spacing w:after="60"/>
        <w:ind w:left="425" w:hanging="425"/>
      </w:pPr>
      <w:r>
        <w:rPr>
          <w:b/>
        </w:rPr>
        <w:t>3.</w:t>
        <w:tab/>
      </w:r>
      <w:r>
        <w:rPr>
          <w:b/>
        </w:rPr>
        <w:t>LM088</w:t>
      </w:r>
      <w:r>
        <w:t xml:space="preserve">: </w:t>
      </w:r>
      <w:r>
        <w:rPr>
          <w:rFonts w:ascii="Consolas" w:hAnsi="Consolas" w:cs="Consolas" w:eastAsia="Consolas"/>
          <w:sz w:val="18"/>
        </w:rPr>
        <w:t>Einlagerungsreihenfolge von Zielplatz</w:t>
      </w:r>
      <w:r>
        <w:t xml:space="preserve"> 1–8 von oben links nach unten rechts; </w:t>
      </w:r>
      <w:r>
        <w:rPr>
          <w:rFonts w:ascii="Consolas" w:hAnsi="Consolas" w:cs="Consolas" w:eastAsia="Consolas"/>
          <w:sz w:val="18"/>
        </w:rPr>
        <w:t>Zielplatzkennung</w:t>
      </w:r>
      <w:r>
        <w:t xml:space="preserve"> z. B. </w:t>
      </w:r>
      <w:r>
        <w:rPr>
          <w:rFonts w:ascii="Consolas" w:hAnsi="Consolas" w:cs="Consolas" w:eastAsia="Consolas"/>
          <w:sz w:val="18"/>
        </w:rPr>
        <w:t>P1</w:t>
      </w:r>
      <w:r>
        <w:t xml:space="preserve"> … </w:t>
      </w:r>
      <w:r>
        <w:rPr>
          <w:rFonts w:ascii="Consolas" w:hAnsi="Consolas" w:cs="Consolas" w:eastAsia="Consolas"/>
          <w:sz w:val="18"/>
        </w:rPr>
        <w:t>P8</w:t>
      </w:r>
      <w:r>
        <w:t>.</w:t>
      </w:r>
    </w:p>
    <w:p>
      <w:pPr>
        <w:tabs>
          <w:tab w:pos="425" w:val="left"/>
        </w:tabs>
        <w:spacing w:after="60"/>
        <w:ind w:left="425" w:hanging="425"/>
      </w:pPr>
      <w:r>
        <w:rPr>
          <w:b/>
        </w:rPr>
        <w:t>4.</w:t>
        <w:tab/>
      </w:r>
      <w:r>
        <w:rPr>
          <w:b/>
        </w:rPr>
        <w:t>LM044</w:t>
      </w:r>
      <w:r>
        <w:t xml:space="preserve"> am Touch-Client von Öffnung 1: je Platz </w:t>
      </w:r>
      <w:r>
        <w:rPr>
          <w:b/>
        </w:rPr>
        <w:t>Drucken</w:t>
      </w:r>
      <w:r>
        <w:t>, Etiketten anbringen.</w:t>
      </w:r>
    </w:p>
    <w:p>
      <w:pPr>
        <w:tabs>
          <w:tab w:pos="425" w:val="left"/>
        </w:tabs>
        <w:spacing w:after="60"/>
        <w:ind w:left="425" w:hanging="425"/>
      </w:pPr>
      <w:r>
        <w:rPr>
          <w:b/>
        </w:rPr>
        <w:t>5.</w:t>
        <w:tab/>
      </w:r>
      <w:r>
        <w:rPr>
          <w:b/>
        </w:rPr>
        <w:t>MD017</w:t>
      </w:r>
      <w:r>
        <w:t xml:space="preserve">, Kommissionierbedarfstyp </w:t>
      </w:r>
      <w:r>
        <w:rPr>
          <w:rFonts w:ascii="Consolas" w:hAnsi="Consolas" w:cs="Consolas" w:eastAsia="Consolas"/>
          <w:sz w:val="18"/>
        </w:rPr>
        <w:t>SHPG</w:t>
      </w:r>
      <w:r>
        <w:t xml:space="preserve">: </w:t>
      </w:r>
      <w:r>
        <w:rPr>
          <w:b/>
        </w:rPr>
        <w:t>Batchkommissionierung Put to Light</w:t>
      </w:r>
      <w:r>
        <w:t xml:space="preserve">, </w:t>
      </w:r>
      <w:r>
        <w:rPr>
          <w:b/>
        </w:rPr>
        <w:t>Zielplatz automatisch auswählen</w:t>
      </w:r>
      <w:r>
        <w:t xml:space="preserve">, </w:t>
      </w:r>
      <w:r>
        <w:rPr>
          <w:b/>
        </w:rPr>
        <w:t>Bedarfsaktivierung durch freien, externen Lagerplatz begrenzen</w:t>
      </w:r>
      <w:r>
        <w:t xml:space="preserve">; </w:t>
      </w:r>
      <w:r>
        <w:rPr>
          <w:rFonts w:ascii="Consolas" w:hAnsi="Consolas" w:cs="Consolas" w:eastAsia="Consolas"/>
          <w:sz w:val="18"/>
        </w:rPr>
        <w:t>Bevorzugtes Ladehilfsmittel</w:t>
      </w:r>
      <w:r>
        <w:t xml:space="preserve"> = Versandkarton.</w:t>
      </w:r>
    </w:p>
    <w:p>
      <w:pPr>
        <w:tabs>
          <w:tab w:pos="425" w:val="left"/>
        </w:tabs>
        <w:spacing w:after="60"/>
        <w:ind w:left="425" w:hanging="425"/>
      </w:pPr>
      <w:r>
        <w:rPr>
          <w:b/>
        </w:rPr>
        <w:t>6.</w:t>
        <w:tab/>
      </w:r>
      <w:r>
        <w:rPr>
          <w:b/>
        </w:rPr>
        <w:t>FW028</w:t>
      </w:r>
      <w:r>
        <w:t xml:space="preserve">: </w:t>
      </w:r>
      <w:r>
        <w:rPr>
          <w:rFonts w:ascii="Consolas" w:hAnsi="Consolas" w:cs="Consolas" w:eastAsia="Consolas"/>
          <w:sz w:val="18"/>
        </w:rPr>
        <w:t>externalloc.reserve</w:t>
      </w:r>
      <w:r>
        <w:t xml:space="preserve"> = 1, </w:t>
      </w:r>
      <w:r>
        <w:rPr>
          <w:rFonts w:ascii="Consolas" w:hAnsi="Consolas" w:cs="Consolas" w:eastAsia="Consolas"/>
          <w:sz w:val="18"/>
        </w:rPr>
        <w:t>externalluid.generate</w:t>
      </w:r>
      <w:r>
        <w:t xml:space="preserve"> = </w:t>
      </w:r>
      <w:r>
        <w:rPr>
          <w:rFonts w:ascii="Consolas" w:hAnsi="Consolas" w:cs="Consolas" w:eastAsia="Consolas"/>
          <w:sz w:val="18"/>
        </w:rPr>
        <w:t>true</w:t>
      </w:r>
      <w:r>
        <w:t xml:space="preserve">, </w:t>
      </w:r>
      <w:r>
        <w:rPr>
          <w:rFonts w:ascii="Consolas" w:hAnsi="Consolas" w:cs="Consolas" w:eastAsia="Consolas"/>
          <w:sz w:val="18"/>
        </w:rPr>
        <w:t>externalluid.print</w:t>
      </w:r>
      <w:r>
        <w:t xml:space="preserve"> = </w:t>
      </w:r>
      <w:r>
        <w:rPr>
          <w:rFonts w:ascii="Consolas" w:hAnsi="Consolas" w:cs="Consolas" w:eastAsia="Consolas"/>
          <w:sz w:val="18"/>
        </w:rPr>
        <w:t>AUTOMATIC</w:t>
      </w:r>
      <w:r>
        <w:t xml:space="preserve">, </w:t>
      </w:r>
      <w:r>
        <w:rPr>
          <w:rFonts w:ascii="Consolas" w:hAnsi="Consolas" w:cs="Consolas" w:eastAsia="Consolas"/>
          <w:sz w:val="18"/>
        </w:rPr>
        <w:t>askBookLuOnExternalLocation</w:t>
      </w:r>
      <w:r>
        <w:t xml:space="preserve"> = </w:t>
      </w:r>
      <w:r>
        <w:rPr>
          <w:rFonts w:ascii="Consolas" w:hAnsi="Consolas" w:cs="Consolas" w:eastAsia="Consolas"/>
          <w:sz w:val="18"/>
        </w:rPr>
        <w:t>true</w:t>
      </w:r>
      <w:r>
        <w:t>.</w:t>
      </w:r>
    </w:p>
    <w:p>
      <w:pPr>
        <w:tabs>
          <w:tab w:pos="425" w:val="left"/>
        </w:tabs>
        <w:spacing w:after="60"/>
        <w:ind w:left="425" w:hanging="425"/>
      </w:pPr>
      <w:r>
        <w:rPr>
          <w:b/>
        </w:rPr>
        <w:t>7.</w:t>
        <w:tab/>
      </w:r>
      <w:r>
        <w:t>PTL-Hardware nach Installation Guide 6.6 (MF007, MF002, MF103, MF104, MF105 mit 8 Gadgets, SE015-Worker).</w:t>
      </w:r>
    </w:p>
    <w:p>
      <w:pPr>
        <w:tabs>
          <w:tab w:pos="425" w:val="left"/>
        </w:tabs>
        <w:spacing w:after="60"/>
        <w:ind w:left="425" w:hanging="425"/>
      </w:pPr>
      <w:r>
        <w:rPr>
          <w:b/>
        </w:rPr>
        <w:t>8.</w:t>
        <w:tab/>
      </w:r>
      <w:r>
        <w:t xml:space="preserve">Systempartner: </w:t>
      </w:r>
      <w:r>
        <w:rPr>
          <w:rFonts w:ascii="Consolas" w:hAnsi="Consolas" w:cs="Consolas" w:eastAsia="Consolas"/>
          <w:sz w:val="18"/>
        </w:rPr>
        <w:t>Kommissionierquittierungsmodus</w:t>
      </w:r>
      <w:r>
        <w:t xml:space="preserve"> = </w:t>
      </w:r>
      <w:r>
        <w:rPr>
          <w:b/>
        </w:rPr>
        <w:t>Wenn Ziel voll</w:t>
      </w:r>
      <w:r>
        <w:t>.</w:t>
      </w:r>
    </w:p>
    <w:p>
      <w:pPr>
        <w:tabs>
          <w:tab w:pos="425" w:val="left"/>
        </w:tabs>
        <w:spacing w:after="60"/>
        <w:ind w:left="425" w:hanging="425"/>
      </w:pPr>
      <w:r>
        <w:rPr>
          <w:b/>
        </w:rPr>
        <w:t>9.</w:t>
        <w:tab/>
      </w:r>
      <w:r>
        <w:t xml:space="preserve">Test: acht Bedarfe senden. Erwartung: höchstens sieben aktiv; Etiketten werden gedruckt; Quittierung mit </w:t>
      </w:r>
      <w:r>
        <w:rPr>
          <w:rFonts w:ascii="Consolas" w:hAnsi="Consolas" w:cs="Consolas" w:eastAsia="Consolas"/>
          <w:sz w:val="18"/>
        </w:rPr>
        <w:t>destLuId</w:t>
      </w:r>
      <w:r>
        <w:t xml:space="preserve"> beim Vollmelden. Den Bedienschritt „voll“ dokumentieren (Lücke 10.1).</w:t>
      </w:r>
    </w:p>
    <w:p>
      <w:pPr>
        <w:pStyle w:val="Quelle"/>
      </w:pPr>
      <w:r>
        <w:rPr>
          <w:b/>
        </w:rPr>
        <w:t xml:space="preserve">Quelle: </w:t>
      </w:r>
      <w:r>
        <w:rPr>
          <w:sz w:val="17"/>
        </w:rPr>
        <w:t>Vorgehen nach AH 2.7, Kap. 3.1.11–3.1.12, 3.5.1.6.1, 3.6.1.10, 3.11.2; BH 2.7, Kap. 6.8.2.2; IH 2.7, Kap. 6.6; Werte konstruiert</w:t>
      </w:r>
    </w:p>
    <w:p>
      <w:pPr>
        <w:pStyle w:val="Heading2"/>
      </w:pPr>
      <w:r>
        <w:t>14.2 Zielplatzgruppe umbauen (Regal wird erweitert)</w:t>
      </w:r>
    </w:p>
    <w:p>
      <w:r>
        <w:t xml:space="preserve">Beispiel (konstruiert, bitte prüfen): Das Regal </w:t>
      </w:r>
      <w:r>
        <w:rPr>
          <w:rFonts w:ascii="Consolas" w:hAnsi="Consolas" w:cs="Consolas" w:eastAsia="Consolas"/>
          <w:sz w:val="18"/>
        </w:rPr>
        <w:t>PTL-A1-1</w:t>
      </w:r>
      <w:r>
        <w:t xml:space="preserve"> (8 Plätze) wird durch ein Regal mit 6 Spalten × 2 Reihen ersetzt. Weil der Generator immer eine neue Gruppe erzeugt und kein „Platz hinzufügen“ dokumentiert ist, wird neu generiert und die alte Gruppe abgebaut.</w:t>
      </w:r>
    </w:p>
    <w:p>
      <w:pPr>
        <w:tabs>
          <w:tab w:pos="425" w:val="left"/>
        </w:tabs>
        <w:spacing w:after="60"/>
        <w:ind w:left="425" w:hanging="425"/>
      </w:pPr>
      <w:r>
        <w:rPr>
          <w:b/>
        </w:rPr>
        <w:t>1.</w:t>
        <w:tab/>
      </w:r>
      <w:r>
        <w:t xml:space="preserve">Neue Gruppe </w:t>
      </w:r>
      <w:r>
        <w:rPr>
          <w:rFonts w:ascii="Consolas" w:hAnsi="Consolas" w:cs="Consolas" w:eastAsia="Consolas"/>
          <w:sz w:val="18"/>
        </w:rPr>
        <w:t>PTL-A1-2</w:t>
      </w:r>
      <w:r>
        <w:t xml:space="preserve"> in </w:t>
      </w:r>
      <w:r>
        <w:rPr>
          <w:b/>
        </w:rPr>
        <w:t>LM064</w:t>
      </w:r>
      <w:r>
        <w:t xml:space="preserve"> mit 6 × 2 generieren, Öffnung 1 zuordnen, Reihenfolge in </w:t>
      </w:r>
      <w:r>
        <w:rPr>
          <w:b/>
        </w:rPr>
        <w:t>LM088</w:t>
      </w:r>
      <w:r>
        <w:t xml:space="preserve"> vergeben.</w:t>
      </w:r>
    </w:p>
    <w:p>
      <w:pPr>
        <w:tabs>
          <w:tab w:pos="425" w:val="left"/>
        </w:tabs>
        <w:spacing w:after="60"/>
        <w:ind w:left="425" w:hanging="425"/>
      </w:pPr>
      <w:r>
        <w:rPr>
          <w:b/>
        </w:rPr>
        <w:t>2.</w:t>
        <w:tab/>
      </w:r>
      <w:r>
        <w:t>Während der Umstellung in MD017 vorübergehend nur so viele Bedarfe zulassen, wie Plätze frei sind (Begrenzung bleibt aktiv).</w:t>
      </w:r>
    </w:p>
    <w:p>
      <w:pPr>
        <w:tabs>
          <w:tab w:pos="425" w:val="left"/>
        </w:tabs>
        <w:spacing w:after="60"/>
        <w:ind w:left="425" w:hanging="425"/>
      </w:pPr>
      <w:r>
        <w:rPr>
          <w:b/>
        </w:rPr>
        <w:t>3.</w:t>
        <w:tab/>
      </w:r>
      <w:r>
        <w:t xml:space="preserve">Alte Gruppe leerlaufen lassen: in </w:t>
      </w:r>
      <w:r>
        <w:rPr>
          <w:b/>
        </w:rPr>
        <w:t>LM044 → Suche</w:t>
      </w:r>
      <w:r>
        <w:t xml:space="preserve"> und </w:t>
      </w:r>
      <w:r>
        <w:rPr>
          <w:b/>
        </w:rPr>
        <w:t>LM088</w:t>
      </w:r>
      <w:r>
        <w:t xml:space="preserve"> prüfen, dass keine LE mehr gebucht ist; offene Plan-LE in </w:t>
      </w:r>
      <w:r>
        <w:rPr>
          <w:b/>
        </w:rPr>
        <w:t>LM074</w:t>
      </w:r>
      <w:r>
        <w:t xml:space="preserve"> abschließen oder Ziel-LE zurücklagern (</w:t>
      </w:r>
      <w:r>
        <w:rPr>
          <w:b/>
        </w:rPr>
        <w:t>LM045 → LE für Rücklagerung kennzeichnen</w:t>
      </w:r>
      <w:r>
        <w:t>).</w:t>
      </w:r>
    </w:p>
    <w:p>
      <w:pPr>
        <w:tabs>
          <w:tab w:pos="425" w:val="left"/>
        </w:tabs>
        <w:spacing w:after="60"/>
        <w:ind w:left="425" w:hanging="425"/>
      </w:pPr>
      <w:r>
        <w:rPr>
          <w:b/>
        </w:rPr>
        <w:t>4.</w:t>
        <w:tab/>
      </w:r>
      <w:r>
        <w:rPr>
          <w:b/>
        </w:rPr>
        <w:t>LM065</w:t>
      </w:r>
      <w:r>
        <w:t xml:space="preserve"> → alte Gruppe → </w:t>
      </w:r>
      <w:r>
        <w:rPr>
          <w:b/>
        </w:rPr>
        <w:t>Zielplatzgruppe löschen</w:t>
      </w:r>
      <w:r>
        <w:t xml:space="preserve"> (nicht </w:t>
      </w:r>
      <w:r>
        <w:rPr>
          <w:b/>
        </w:rPr>
        <w:t>Alle entfernen</w:t>
      </w:r>
      <w:r>
        <w:t xml:space="preserve"> in LM044, weil dabei ggf. auch die neue Gruppe betroffen wäre).</w:t>
      </w:r>
    </w:p>
    <w:p>
      <w:pPr>
        <w:tabs>
          <w:tab w:pos="425" w:val="left"/>
        </w:tabs>
        <w:spacing w:after="60"/>
        <w:ind w:left="425" w:hanging="425"/>
      </w:pPr>
      <w:r>
        <w:rPr>
          <w:b/>
        </w:rPr>
        <w:t>5.</w:t>
        <w:tab/>
      </w:r>
      <w:r>
        <w:t>PTL: Gadgets in MF105 auf die neuen Plätze umstellen bzw. ergänzen; neue Etiketten drucken.</w:t>
      </w:r>
    </w:p>
    <w:p>
      <w:pPr>
        <w:tabs>
          <w:tab w:pos="425" w:val="left"/>
        </w:tabs>
        <w:spacing w:after="60"/>
        <w:ind w:left="425" w:hanging="425"/>
      </w:pPr>
      <w:r>
        <w:rPr>
          <w:b/>
        </w:rPr>
        <w:t>6.</w:t>
        <w:tab/>
      </w:r>
      <w:r>
        <w:t>Test mit einem Bedarf: Zielplatzwahl folgt der neuen Reihenfolge.</w:t>
      </w:r>
    </w:p>
    <w:p>
      <w:pPr>
        <w:pStyle w:val="Quelle"/>
      </w:pPr>
      <w:r>
        <w:rPr>
          <w:b/>
        </w:rPr>
        <w:t xml:space="preserve">Quelle: </w:t>
      </w:r>
      <w:r>
        <w:rPr>
          <w:sz w:val="17"/>
        </w:rPr>
        <w:t>Vorgehen nach AH 2.7, Kap. 3.1.11–3.1.12; BH 2.7, Kap. 5.4.2, 6.7.1.3; IH 2.7, Kap. 6.6; Kapitel 8.3 dieses Dokuments; Werte konstruiert</w:t>
      </w:r>
    </w:p>
    <w:p>
      <w:pPr>
        <w:pStyle w:val="Heading1"/>
      </w:pPr>
      <w:r>
        <w:t>15 Screenshot-Liste für das Live-System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68"/>
        <w:gridCol w:w="3903"/>
        <w:gridCol w:w="4684"/>
        <w:gridCol w:w="468"/>
      </w:tblGrid>
      <w:tr>
        <w:trPr>
          <w:tblHeader w:val="true"/>
        </w:trPr>
        <w:tc>
          <w:tcPr>
            <w:tcW w:type="dxa" w:w="468"/>
            <w:shd w:val="clear" w:color="auto" w:fill="FEEE19"/>
          </w:tcPr>
          <w:p>
            <w:pPr>
              <w:spacing w:after="0"/>
            </w:pPr>
            <w:r>
              <w:rPr>
                <w:b/>
                <w:sz w:val="17"/>
              </w:rPr>
              <w:t>Nr.</w:t>
            </w:r>
          </w:p>
        </w:tc>
        <w:tc>
          <w:tcPr>
            <w:tcW w:type="dxa" w:w="3903"/>
            <w:shd w:val="clear" w:color="auto" w:fill="FEEE19"/>
          </w:tcPr>
          <w:p>
            <w:pPr>
              <w:spacing w:after="0"/>
            </w:pPr>
            <w:r>
              <w:rPr>
                <w:b/>
                <w:sz w:val="17"/>
              </w:rPr>
              <w:t>Dialog / Motiv</w:t>
            </w:r>
          </w:p>
        </w:tc>
        <w:tc>
          <w:tcPr>
            <w:tcW w:type="dxa" w:w="4684"/>
            <w:shd w:val="clear" w:color="auto" w:fill="FEEE19"/>
          </w:tcPr>
          <w:p>
            <w:pPr>
              <w:spacing w:after="0"/>
            </w:pPr>
            <w:r>
              <w:rPr>
                <w:b/>
                <w:sz w:val="17"/>
              </w:rPr>
              <w:t>Was sichtbar sein soll</w:t>
            </w:r>
          </w:p>
        </w:tc>
        <w:tc>
          <w:tcPr>
            <w:tcW w:type="dxa" w:w="468"/>
            <w:shd w:val="clear" w:color="auto" w:fill="FEEE19"/>
          </w:tcPr>
          <w:p>
            <w:pPr>
              <w:spacing w:after="0"/>
            </w:pPr>
            <w:r>
              <w:rPr>
                <w:b/>
                <w:sz w:val="17"/>
              </w:rPr>
              <w:t>Kap.</w:t>
            </w:r>
          </w:p>
        </w:tc>
      </w:tr>
      <w:tr>
        <w:tc>
          <w:tcPr>
            <w:tcW w:type="dxa" w:w="468"/>
          </w:tcPr>
          <w:p>
            <w:pPr>
              <w:spacing w:after="0" w:line="252" w:lineRule="auto"/>
            </w:pPr>
            <w:r>
              <w:rPr>
                <w:sz w:val="17"/>
              </w:rPr>
              <w:t>S1</w:t>
            </w:r>
          </w:p>
        </w:tc>
        <w:tc>
          <w:tcPr>
            <w:tcW w:type="dxa" w:w="3903"/>
          </w:tcPr>
          <w:p>
            <w:pPr>
              <w:spacing w:after="0" w:line="252" w:lineRule="auto"/>
            </w:pPr>
            <w:r>
              <w:rPr>
                <w:b/>
                <w:sz w:val="17"/>
              </w:rPr>
              <w:t>LM065</w:t>
            </w:r>
            <w:r>
              <w:rPr>
                <w:sz w:val="17"/>
              </w:rPr>
              <w:t xml:space="preserve"> mit Kontextmenü</w:t>
            </w:r>
          </w:p>
        </w:tc>
        <w:tc>
          <w:tcPr>
            <w:tcW w:type="dxa" w:w="4684"/>
          </w:tcPr>
          <w:p>
            <w:pPr>
              <w:spacing w:after="0" w:line="252" w:lineRule="auto"/>
            </w:pPr>
            <w:r>
              <w:rPr>
                <w:sz w:val="17"/>
              </w:rPr>
              <w:t>Gruppe generieren, Zugriffsöffnung zuordnen, Kommissionierwagen anlegen, Zielplatzgruppe löschen</w:t>
            </w:r>
          </w:p>
        </w:tc>
        <w:tc>
          <w:tcPr>
            <w:tcW w:type="dxa" w:w="468"/>
          </w:tcPr>
          <w:p>
            <w:pPr>
              <w:spacing w:after="0" w:line="252" w:lineRule="auto"/>
            </w:pPr>
            <w:r>
              <w:rPr>
                <w:sz w:val="17"/>
              </w:rPr>
              <w:t>3.1</w:t>
            </w:r>
          </w:p>
        </w:tc>
      </w:tr>
      <w:tr>
        <w:tc>
          <w:tcPr>
            <w:tcW w:type="dxa" w:w="468"/>
          </w:tcPr>
          <w:p>
            <w:pPr>
              <w:spacing w:after="0" w:line="252" w:lineRule="auto"/>
            </w:pPr>
            <w:r>
              <w:rPr>
                <w:sz w:val="17"/>
              </w:rPr>
              <w:t>S2</w:t>
            </w:r>
          </w:p>
        </w:tc>
        <w:tc>
          <w:tcPr>
            <w:tcW w:type="dxa" w:w="3903"/>
          </w:tcPr>
          <w:p>
            <w:pPr>
              <w:spacing w:after="0" w:line="252" w:lineRule="auto"/>
            </w:pPr>
            <w:r>
              <w:rPr>
                <w:b/>
                <w:sz w:val="17"/>
              </w:rPr>
              <w:t>LM088</w:t>
            </w:r>
            <w:r>
              <w:rPr>
                <w:sz w:val="17"/>
              </w:rPr>
              <w:t xml:space="preserve"> Registerkarte </w:t>
            </w:r>
            <w:r>
              <w:rPr>
                <w:b/>
                <w:sz w:val="17"/>
              </w:rPr>
              <w:t>Zielplatz</w:t>
            </w:r>
          </w:p>
        </w:tc>
        <w:tc>
          <w:tcPr>
            <w:tcW w:type="dxa" w:w="4684"/>
          </w:tcPr>
          <w:p>
            <w:pPr>
              <w:spacing w:after="0" w:line="252" w:lineRule="auto"/>
            </w:pPr>
            <w:r>
              <w:rPr>
                <w:sz w:val="17"/>
              </w:rPr>
              <w:t>Reihenfolge, Kennung, Kapazität, Abmessung, Bereich Ladeeinheit mit gebuchter LE</w:t>
            </w:r>
          </w:p>
        </w:tc>
        <w:tc>
          <w:tcPr>
            <w:tcW w:type="dxa" w:w="468"/>
          </w:tcPr>
          <w:p>
            <w:pPr>
              <w:spacing w:after="0" w:line="252" w:lineRule="auto"/>
            </w:pPr>
            <w:r>
              <w:rPr>
                <w:sz w:val="17"/>
              </w:rPr>
              <w:t>3.2</w:t>
            </w:r>
          </w:p>
        </w:tc>
      </w:tr>
      <w:tr>
        <w:tc>
          <w:tcPr>
            <w:tcW w:type="dxa" w:w="468"/>
          </w:tcPr>
          <w:p>
            <w:pPr>
              <w:spacing w:after="0" w:line="252" w:lineRule="auto"/>
            </w:pPr>
            <w:r>
              <w:rPr>
                <w:sz w:val="17"/>
              </w:rPr>
              <w:t>S3</w:t>
            </w:r>
          </w:p>
        </w:tc>
        <w:tc>
          <w:tcPr>
            <w:tcW w:type="dxa" w:w="3903"/>
          </w:tcPr>
          <w:p>
            <w:pPr>
              <w:spacing w:after="0" w:line="252" w:lineRule="auto"/>
            </w:pPr>
            <w:r>
              <w:rPr>
                <w:b/>
                <w:sz w:val="17"/>
              </w:rPr>
              <w:t>FW005</w:t>
            </w:r>
            <w:r>
              <w:rPr>
                <w:sz w:val="17"/>
              </w:rPr>
              <w:t xml:space="preserve"> Zugriffsöffnungen</w:t>
            </w:r>
          </w:p>
        </w:tc>
        <w:tc>
          <w:tcPr>
            <w:tcW w:type="dxa" w:w="4684"/>
          </w:tcPr>
          <w:p>
            <w:pPr>
              <w:spacing w:after="0" w:line="252" w:lineRule="auto"/>
            </w:pPr>
            <w:r>
              <w:rPr>
                <w:sz w:val="17"/>
              </w:rPr>
              <w:t>Mehrfachauswahl</w:t>
            </w:r>
          </w:p>
        </w:tc>
        <w:tc>
          <w:tcPr>
            <w:tcW w:type="dxa" w:w="468"/>
          </w:tcPr>
          <w:p>
            <w:pPr>
              <w:spacing w:after="0" w:line="252" w:lineRule="auto"/>
            </w:pPr>
            <w:r>
              <w:rPr>
                <w:sz w:val="17"/>
              </w:rPr>
              <w:t>3.3</w:t>
            </w:r>
          </w:p>
        </w:tc>
      </w:tr>
      <w:tr>
        <w:tc>
          <w:tcPr>
            <w:tcW w:type="dxa" w:w="468"/>
          </w:tcPr>
          <w:p>
            <w:pPr>
              <w:spacing w:after="0" w:line="252" w:lineRule="auto"/>
            </w:pPr>
            <w:r>
              <w:rPr>
                <w:sz w:val="17"/>
              </w:rPr>
              <w:t>S4</w:t>
            </w:r>
          </w:p>
        </w:tc>
        <w:tc>
          <w:tcPr>
            <w:tcW w:type="dxa" w:w="3903"/>
          </w:tcPr>
          <w:p>
            <w:pPr>
              <w:spacing w:after="0" w:line="252" w:lineRule="auto"/>
            </w:pPr>
            <w:r>
              <w:rPr>
                <w:b/>
                <w:sz w:val="17"/>
              </w:rPr>
              <w:t>LM045</w:t>
            </w:r>
            <w:r>
              <w:rPr>
                <w:sz w:val="17"/>
              </w:rPr>
              <w:t xml:space="preserve"> Ziel-Ladeeinheiten</w:t>
            </w:r>
          </w:p>
        </w:tc>
        <w:tc>
          <w:tcPr>
            <w:tcW w:type="dxa" w:w="4684"/>
          </w:tcPr>
          <w:p>
            <w:pPr>
              <w:spacing w:after="0" w:line="252" w:lineRule="auto"/>
            </w:pPr>
            <w:r>
              <w:rPr>
                <w:sz w:val="17"/>
              </w:rPr>
              <w:t>Liste + Icons Scannen, Drucken, Rücklagerung, Auslagerung</w:t>
            </w:r>
          </w:p>
        </w:tc>
        <w:tc>
          <w:tcPr>
            <w:tcW w:type="dxa" w:w="468"/>
          </w:tcPr>
          <w:p>
            <w:pPr>
              <w:spacing w:after="0" w:line="252" w:lineRule="auto"/>
            </w:pPr>
            <w:r>
              <w:rPr>
                <w:sz w:val="17"/>
              </w:rPr>
              <w:t>3.5</w:t>
            </w:r>
          </w:p>
        </w:tc>
      </w:tr>
      <w:tr>
        <w:tc>
          <w:tcPr>
            <w:tcW w:type="dxa" w:w="468"/>
          </w:tcPr>
          <w:p>
            <w:pPr>
              <w:spacing w:after="0" w:line="252" w:lineRule="auto"/>
            </w:pPr>
            <w:r>
              <w:rPr>
                <w:sz w:val="17"/>
              </w:rPr>
              <w:t>S5</w:t>
            </w:r>
          </w:p>
        </w:tc>
        <w:tc>
          <w:tcPr>
            <w:tcW w:type="dxa" w:w="3903"/>
          </w:tcPr>
          <w:p>
            <w:pPr>
              <w:spacing w:after="0" w:line="252" w:lineRule="auto"/>
            </w:pPr>
            <w:r>
              <w:rPr>
                <w:b/>
                <w:sz w:val="17"/>
              </w:rPr>
              <w:t>LM074</w:t>
            </w:r>
            <w:r>
              <w:rPr>
                <w:sz w:val="17"/>
              </w:rPr>
              <w:t xml:space="preserve"> Plan-LE</w:t>
            </w:r>
          </w:p>
        </w:tc>
        <w:tc>
          <w:tcPr>
            <w:tcW w:type="dxa" w:w="4684"/>
          </w:tcPr>
          <w:p>
            <w:pPr>
              <w:spacing w:after="0" w:line="252" w:lineRule="auto"/>
            </w:pPr>
            <w:r>
              <w:rPr>
                <w:sz w:val="17"/>
              </w:rPr>
              <w:t>Plan-LE eines freigegebenen Bedarfs</w:t>
            </w:r>
          </w:p>
        </w:tc>
        <w:tc>
          <w:tcPr>
            <w:tcW w:type="dxa" w:w="468"/>
          </w:tcPr>
          <w:p>
            <w:pPr>
              <w:spacing w:after="0" w:line="252" w:lineRule="auto"/>
            </w:pPr>
            <w:r>
              <w:rPr>
                <w:sz w:val="17"/>
              </w:rPr>
              <w:t>3.5</w:t>
            </w:r>
          </w:p>
        </w:tc>
      </w:tr>
      <w:tr>
        <w:tc>
          <w:tcPr>
            <w:tcW w:type="dxa" w:w="468"/>
          </w:tcPr>
          <w:p>
            <w:pPr>
              <w:spacing w:after="0" w:line="252" w:lineRule="auto"/>
            </w:pPr>
            <w:r>
              <w:rPr>
                <w:sz w:val="17"/>
              </w:rPr>
              <w:t>S6</w:t>
            </w:r>
          </w:p>
        </w:tc>
        <w:tc>
          <w:tcPr>
            <w:tcW w:type="dxa" w:w="3903"/>
          </w:tcPr>
          <w:p>
            <w:pPr>
              <w:spacing w:after="0" w:line="252" w:lineRule="auto"/>
            </w:pPr>
            <w:r>
              <w:rPr>
                <w:b/>
                <w:sz w:val="17"/>
              </w:rPr>
              <w:t>LM002</w:t>
            </w:r>
            <w:r>
              <w:rPr>
                <w:sz w:val="17"/>
              </w:rPr>
              <w:t xml:space="preserve"> beim Pick in eine Ziel-LE</w:t>
            </w:r>
          </w:p>
        </w:tc>
        <w:tc>
          <w:tcPr>
            <w:tcW w:type="dxa" w:w="4684"/>
          </w:tcPr>
          <w:p>
            <w:pPr>
              <w:spacing w:after="0" w:line="252" w:lineRule="auto"/>
            </w:pPr>
            <w:r>
              <w:rPr>
                <w:sz w:val="17"/>
              </w:rPr>
              <w:t>Informationsleiste, ggf. Zielplatz/Ziel-LE</w:t>
            </w:r>
          </w:p>
        </w:tc>
        <w:tc>
          <w:tcPr>
            <w:tcW w:type="dxa" w:w="468"/>
          </w:tcPr>
          <w:p>
            <w:pPr>
              <w:spacing w:after="0" w:line="252" w:lineRule="auto"/>
            </w:pPr>
            <w:r>
              <w:rPr>
                <w:sz w:val="17"/>
              </w:rPr>
              <w:t>4.2</w:t>
            </w:r>
          </w:p>
        </w:tc>
      </w:tr>
      <w:tr>
        <w:tc>
          <w:tcPr>
            <w:tcW w:type="dxa" w:w="468"/>
          </w:tcPr>
          <w:p>
            <w:pPr>
              <w:spacing w:after="0" w:line="252" w:lineRule="auto"/>
            </w:pPr>
            <w:r>
              <w:rPr>
                <w:sz w:val="17"/>
              </w:rPr>
              <w:t>S7</w:t>
            </w:r>
          </w:p>
        </w:tc>
        <w:tc>
          <w:tcPr>
            <w:tcW w:type="dxa" w:w="3903"/>
          </w:tcPr>
          <w:p>
            <w:pPr>
              <w:spacing w:after="0" w:line="252" w:lineRule="auto"/>
            </w:pPr>
            <w:r>
              <w:rPr>
                <w:b/>
                <w:sz w:val="17"/>
              </w:rPr>
              <w:t>MF105</w:t>
            </w:r>
            <w:r>
              <w:rPr>
                <w:sz w:val="17"/>
              </w:rPr>
              <w:t xml:space="preserve"> Registerkarte DC LC gadget</w:t>
            </w:r>
          </w:p>
        </w:tc>
        <w:tc>
          <w:tcPr>
            <w:tcW w:type="dxa" w:w="4684"/>
          </w:tcPr>
          <w:p>
            <w:pPr>
              <w:spacing w:after="0" w:line="252" w:lineRule="auto"/>
            </w:pPr>
            <w:r>
              <w:rPr>
                <w:sz w:val="17"/>
              </w:rPr>
              <w:t>Zuordnung Gadget ↔ Zielplatz</w:t>
            </w:r>
          </w:p>
        </w:tc>
        <w:tc>
          <w:tcPr>
            <w:tcW w:type="dxa" w:w="468"/>
          </w:tcPr>
          <w:p>
            <w:pPr>
              <w:spacing w:after="0" w:line="252" w:lineRule="auto"/>
            </w:pPr>
            <w:r>
              <w:rPr>
                <w:sz w:val="17"/>
              </w:rPr>
              <w:t>4.3</w:t>
            </w:r>
          </w:p>
        </w:tc>
      </w:tr>
      <w:tr>
        <w:tc>
          <w:tcPr>
            <w:tcW w:type="dxa" w:w="468"/>
          </w:tcPr>
          <w:p>
            <w:pPr>
              <w:spacing w:after="0" w:line="252" w:lineRule="auto"/>
            </w:pPr>
            <w:r>
              <w:rPr>
                <w:sz w:val="17"/>
              </w:rPr>
              <w:t>S8</w:t>
            </w:r>
          </w:p>
        </w:tc>
        <w:tc>
          <w:tcPr>
            <w:tcW w:type="dxa" w:w="3903"/>
          </w:tcPr>
          <w:p>
            <w:pPr>
              <w:spacing w:after="0" w:line="252" w:lineRule="auto"/>
            </w:pPr>
            <w:r>
              <w:rPr>
                <w:b/>
                <w:sz w:val="17"/>
              </w:rPr>
              <w:t>LM040</w:t>
            </w:r>
            <w:r>
              <w:rPr>
                <w:sz w:val="17"/>
              </w:rPr>
              <w:t xml:space="preserve"> Übersicht Kommissionierwägen + </w:t>
            </w:r>
            <w:r>
              <w:rPr>
                <w:b/>
                <w:sz w:val="17"/>
              </w:rPr>
              <w:t>LM151</w:t>
            </w:r>
          </w:p>
        </w:tc>
        <w:tc>
          <w:tcPr>
            <w:tcW w:type="dxa" w:w="4684"/>
          </w:tcPr>
          <w:p>
            <w:pPr>
              <w:spacing w:after="0" w:line="252" w:lineRule="auto"/>
            </w:pPr>
            <w:r>
              <w:rPr>
                <w:sz w:val="17"/>
              </w:rPr>
              <w:t>Wagen, aktueller Benutzer, Plätze</w:t>
            </w:r>
          </w:p>
        </w:tc>
        <w:tc>
          <w:tcPr>
            <w:tcW w:type="dxa" w:w="468"/>
          </w:tcPr>
          <w:p>
            <w:pPr>
              <w:spacing w:after="0" w:line="252" w:lineRule="auto"/>
            </w:pPr>
            <w:r>
              <w:rPr>
                <w:sz w:val="17"/>
              </w:rPr>
              <w:t>4.4</w:t>
            </w:r>
          </w:p>
        </w:tc>
      </w:tr>
      <w:tr>
        <w:tc>
          <w:tcPr>
            <w:tcW w:type="dxa" w:w="468"/>
          </w:tcPr>
          <w:p>
            <w:pPr>
              <w:spacing w:after="0" w:line="252" w:lineRule="auto"/>
            </w:pPr>
            <w:r>
              <w:rPr>
                <w:sz w:val="17"/>
              </w:rPr>
              <w:t>S9</w:t>
            </w:r>
          </w:p>
        </w:tc>
        <w:tc>
          <w:tcPr>
            <w:tcW w:type="dxa" w:w="3903"/>
          </w:tcPr>
          <w:p>
            <w:pPr>
              <w:spacing w:after="0" w:line="252" w:lineRule="auto"/>
            </w:pPr>
            <w:r>
              <w:rPr>
                <w:b/>
                <w:sz w:val="17"/>
              </w:rPr>
              <w:t>LM064</w:t>
            </w:r>
            <w:r>
              <w:rPr>
                <w:sz w:val="17"/>
              </w:rPr>
              <w:t xml:space="preserve"> ausgefüllt</w:t>
            </w:r>
          </w:p>
        </w:tc>
        <w:tc>
          <w:tcPr>
            <w:tcW w:type="dxa" w:w="4684"/>
          </w:tcPr>
          <w:p>
            <w:pPr>
              <w:spacing w:after="0" w:line="252" w:lineRule="auto"/>
            </w:pPr>
            <w:r>
              <w:rPr>
                <w:sz w:val="17"/>
              </w:rPr>
              <w:t>alle Felder</w:t>
            </w:r>
          </w:p>
        </w:tc>
        <w:tc>
          <w:tcPr>
            <w:tcW w:type="dxa" w:w="468"/>
          </w:tcPr>
          <w:p>
            <w:pPr>
              <w:spacing w:after="0" w:line="252" w:lineRule="auto"/>
            </w:pPr>
            <w:r>
              <w:rPr>
                <w:sz w:val="17"/>
              </w:rPr>
              <w:t>5.2</w:t>
            </w:r>
          </w:p>
        </w:tc>
      </w:tr>
      <w:tr>
        <w:tc>
          <w:tcPr>
            <w:tcW w:type="dxa" w:w="468"/>
          </w:tcPr>
          <w:p>
            <w:pPr>
              <w:spacing w:after="0" w:line="252" w:lineRule="auto"/>
            </w:pPr>
            <w:r>
              <w:rPr>
                <w:sz w:val="17"/>
              </w:rPr>
              <w:t>S10</w:t>
            </w:r>
          </w:p>
        </w:tc>
        <w:tc>
          <w:tcPr>
            <w:tcW w:type="dxa" w:w="3903"/>
          </w:tcPr>
          <w:p>
            <w:pPr>
              <w:spacing w:after="0" w:line="252" w:lineRule="auto"/>
            </w:pPr>
            <w:r>
              <w:rPr>
                <w:b/>
                <w:sz w:val="17"/>
              </w:rPr>
              <w:t>LM044</w:t>
            </w:r>
            <w:r>
              <w:rPr>
                <w:sz w:val="17"/>
              </w:rPr>
              <w:t xml:space="preserve"> + </w:t>
            </w:r>
            <w:r>
              <w:rPr>
                <w:b/>
                <w:sz w:val="17"/>
              </w:rPr>
              <w:t>LM106</w:t>
            </w:r>
          </w:p>
        </w:tc>
        <w:tc>
          <w:tcPr>
            <w:tcW w:type="dxa" w:w="4684"/>
          </w:tcPr>
          <w:p>
            <w:pPr>
              <w:spacing w:after="0" w:line="252" w:lineRule="auto"/>
            </w:pPr>
            <w:r>
              <w:rPr>
                <w:sz w:val="17"/>
              </w:rPr>
              <w:t>Symbolleiste und Generator-Felder</w:t>
            </w:r>
          </w:p>
        </w:tc>
        <w:tc>
          <w:tcPr>
            <w:tcW w:type="dxa" w:w="468"/>
          </w:tcPr>
          <w:p>
            <w:pPr>
              <w:spacing w:after="0" w:line="252" w:lineRule="auto"/>
            </w:pPr>
            <w:r>
              <w:rPr>
                <w:sz w:val="17"/>
              </w:rPr>
              <w:t>5.3</w:t>
            </w:r>
          </w:p>
        </w:tc>
      </w:tr>
      <w:tr>
        <w:tc>
          <w:tcPr>
            <w:tcW w:type="dxa" w:w="468"/>
          </w:tcPr>
          <w:p>
            <w:pPr>
              <w:spacing w:after="0" w:line="252" w:lineRule="auto"/>
            </w:pPr>
            <w:r>
              <w:rPr>
                <w:sz w:val="17"/>
              </w:rPr>
              <w:t>S11</w:t>
            </w:r>
          </w:p>
        </w:tc>
        <w:tc>
          <w:tcPr>
            <w:tcW w:type="dxa" w:w="3903"/>
          </w:tcPr>
          <w:p>
            <w:pPr>
              <w:spacing w:after="0" w:line="252" w:lineRule="auto"/>
            </w:pPr>
            <w:r>
              <w:rPr>
                <w:b/>
                <w:sz w:val="17"/>
              </w:rPr>
              <w:t>LM107</w:t>
            </w:r>
            <w:r>
              <w:rPr>
                <w:sz w:val="17"/>
              </w:rPr>
              <w:t xml:space="preserve"> Lagerplatzkennung</w:t>
            </w:r>
          </w:p>
        </w:tc>
        <w:tc>
          <w:tcPr>
            <w:tcW w:type="dxa" w:w="4684"/>
          </w:tcPr>
          <w:p>
            <w:pPr>
              <w:spacing w:after="0" w:line="252" w:lineRule="auto"/>
            </w:pPr>
            <w:r>
              <w:rPr>
                <w:rFonts w:ascii="Consolas" w:hAnsi="Consolas" w:cs="Consolas" w:eastAsia="Consolas"/>
                <w:sz w:val="15"/>
              </w:rPr>
              <w:t>Lagerplatzkennung</w:t>
            </w:r>
            <w:r>
              <w:rPr>
                <w:sz w:val="17"/>
              </w:rPr>
              <w:t xml:space="preserve">, </w:t>
            </w:r>
            <w:r>
              <w:rPr>
                <w:rFonts w:ascii="Consolas" w:hAnsi="Consolas" w:cs="Consolas" w:eastAsia="Consolas"/>
                <w:sz w:val="15"/>
              </w:rPr>
              <w:t>Reihenfolge</w:t>
            </w:r>
            <w:r>
              <w:rPr>
                <w:sz w:val="17"/>
              </w:rPr>
              <w:t>, Button LE buchen</w:t>
            </w:r>
          </w:p>
        </w:tc>
        <w:tc>
          <w:tcPr>
            <w:tcW w:type="dxa" w:w="468"/>
          </w:tcPr>
          <w:p>
            <w:pPr>
              <w:spacing w:after="0" w:line="252" w:lineRule="auto"/>
            </w:pPr>
            <w:r>
              <w:rPr>
                <w:sz w:val="17"/>
              </w:rPr>
              <w:t>5.4</w:t>
            </w:r>
          </w:p>
        </w:tc>
      </w:tr>
      <w:tr>
        <w:tc>
          <w:tcPr>
            <w:tcW w:type="dxa" w:w="468"/>
          </w:tcPr>
          <w:p>
            <w:pPr>
              <w:spacing w:after="0" w:line="252" w:lineRule="auto"/>
            </w:pPr>
            <w:r>
              <w:rPr>
                <w:sz w:val="17"/>
              </w:rPr>
              <w:t>S12</w:t>
            </w:r>
          </w:p>
        </w:tc>
        <w:tc>
          <w:tcPr>
            <w:tcW w:type="dxa" w:w="3903"/>
          </w:tcPr>
          <w:p>
            <w:pPr>
              <w:spacing w:after="0" w:line="252" w:lineRule="auto"/>
            </w:pPr>
            <w:r>
              <w:rPr>
                <w:b/>
                <w:sz w:val="17"/>
              </w:rPr>
              <w:t>LM152</w:t>
            </w:r>
          </w:p>
        </w:tc>
        <w:tc>
          <w:tcPr>
            <w:tcW w:type="dxa" w:w="4684"/>
          </w:tcPr>
          <w:p>
            <w:pPr>
              <w:spacing w:after="0" w:line="252" w:lineRule="auto"/>
            </w:pPr>
            <w:r>
              <w:rPr>
                <w:sz w:val="17"/>
              </w:rPr>
              <w:t>Kommissionierwagen mit Lagerfachträgertyp</w:t>
            </w:r>
          </w:p>
        </w:tc>
        <w:tc>
          <w:tcPr>
            <w:tcW w:type="dxa" w:w="468"/>
          </w:tcPr>
          <w:p>
            <w:pPr>
              <w:spacing w:after="0" w:line="252" w:lineRule="auto"/>
            </w:pPr>
            <w:r>
              <w:rPr>
                <w:sz w:val="17"/>
              </w:rPr>
              <w:t>5.5</w:t>
            </w:r>
          </w:p>
        </w:tc>
      </w:tr>
      <w:tr>
        <w:tc>
          <w:tcPr>
            <w:tcW w:type="dxa" w:w="468"/>
          </w:tcPr>
          <w:p>
            <w:pPr>
              <w:spacing w:after="0" w:line="252" w:lineRule="auto"/>
            </w:pPr>
            <w:r>
              <w:rPr>
                <w:sz w:val="17"/>
              </w:rPr>
              <w:t>S13</w:t>
            </w:r>
          </w:p>
        </w:tc>
        <w:tc>
          <w:tcPr>
            <w:tcW w:type="dxa" w:w="3903"/>
          </w:tcPr>
          <w:p>
            <w:pPr>
              <w:spacing w:after="0" w:line="252" w:lineRule="auto"/>
            </w:pPr>
            <w:r>
              <w:rPr>
                <w:b/>
                <w:sz w:val="17"/>
              </w:rPr>
              <w:t>LM046</w:t>
            </w:r>
          </w:p>
        </w:tc>
        <w:tc>
          <w:tcPr>
            <w:tcW w:type="dxa" w:w="4684"/>
          </w:tcPr>
          <w:p>
            <w:pPr>
              <w:spacing w:after="0" w:line="252" w:lineRule="auto"/>
            </w:pPr>
            <w:r>
              <w:rPr>
                <w:sz w:val="17"/>
              </w:rPr>
              <w:t>Auswahl der Zielplatzgruppe</w:t>
            </w:r>
          </w:p>
        </w:tc>
        <w:tc>
          <w:tcPr>
            <w:tcW w:type="dxa" w:w="468"/>
          </w:tcPr>
          <w:p>
            <w:pPr>
              <w:spacing w:after="0" w:line="252" w:lineRule="auto"/>
            </w:pPr>
            <w:r>
              <w:rPr>
                <w:sz w:val="17"/>
              </w:rPr>
              <w:t>7.2</w:t>
            </w:r>
          </w:p>
        </w:tc>
      </w:tr>
      <w:tr>
        <w:tc>
          <w:tcPr>
            <w:tcW w:type="dxa" w:w="468"/>
          </w:tcPr>
          <w:p>
            <w:pPr>
              <w:spacing w:after="0" w:line="252" w:lineRule="auto"/>
            </w:pPr>
            <w:r>
              <w:rPr>
                <w:sz w:val="17"/>
              </w:rPr>
              <w:t>S14</w:t>
            </w:r>
          </w:p>
        </w:tc>
        <w:tc>
          <w:tcPr>
            <w:tcW w:type="dxa" w:w="3903"/>
          </w:tcPr>
          <w:p>
            <w:pPr>
              <w:spacing w:after="0" w:line="252" w:lineRule="auto"/>
            </w:pPr>
            <w:r>
              <w:rPr>
                <w:b/>
                <w:sz w:val="17"/>
              </w:rPr>
              <w:t>LM107</w:t>
            </w:r>
            <w:r>
              <w:rPr>
                <w:sz w:val="17"/>
              </w:rPr>
              <w:t xml:space="preserve"> LE buchen + Icon LE entfernen in LM044</w:t>
            </w:r>
          </w:p>
        </w:tc>
        <w:tc>
          <w:tcPr>
            <w:tcW w:type="dxa" w:w="4684"/>
          </w:tcPr>
          <w:p>
            <w:pPr>
              <w:spacing w:after="0" w:line="252" w:lineRule="auto"/>
            </w:pPr>
            <w:r>
              <w:rPr>
                <w:sz w:val="17"/>
              </w:rPr>
              <w:t xml:space="preserve">Feld </w:t>
            </w:r>
            <w:r>
              <w:rPr>
                <w:rFonts w:ascii="Consolas" w:hAnsi="Consolas" w:cs="Consolas" w:eastAsia="Consolas"/>
                <w:sz w:val="15"/>
              </w:rPr>
              <w:t>LE-ID</w:t>
            </w:r>
            <w:r>
              <w:rPr>
                <w:sz w:val="17"/>
              </w:rPr>
              <w:t>, Entfernen-Icon</w:t>
            </w:r>
          </w:p>
        </w:tc>
        <w:tc>
          <w:tcPr>
            <w:tcW w:type="dxa" w:w="468"/>
          </w:tcPr>
          <w:p>
            <w:pPr>
              <w:spacing w:after="0" w:line="252" w:lineRule="auto"/>
            </w:pPr>
            <w:r>
              <w:rPr>
                <w:sz w:val="17"/>
              </w:rPr>
              <w:t>7.3</w:t>
            </w:r>
          </w:p>
        </w:tc>
      </w:tr>
      <w:tr>
        <w:tc>
          <w:tcPr>
            <w:tcW w:type="dxa" w:w="468"/>
          </w:tcPr>
          <w:p>
            <w:pPr>
              <w:spacing w:after="0" w:line="252" w:lineRule="auto"/>
            </w:pPr>
            <w:r>
              <w:rPr>
                <w:sz w:val="17"/>
              </w:rPr>
              <w:t>S15</w:t>
            </w:r>
          </w:p>
        </w:tc>
        <w:tc>
          <w:tcPr>
            <w:tcW w:type="dxa" w:w="3903"/>
          </w:tcPr>
          <w:p>
            <w:pPr>
              <w:spacing w:after="0" w:line="252" w:lineRule="auto"/>
            </w:pPr>
            <w:r>
              <w:rPr>
                <w:sz w:val="17"/>
              </w:rPr>
              <w:t xml:space="preserve">Rückfrage </w:t>
            </w:r>
            <w:r>
              <w:rPr>
                <w:b/>
                <w:sz w:val="17"/>
              </w:rPr>
              <w:t>Alle entfernen</w:t>
            </w:r>
          </w:p>
        </w:tc>
        <w:tc>
          <w:tcPr>
            <w:tcW w:type="dxa" w:w="4684"/>
          </w:tcPr>
          <w:p>
            <w:pPr>
              <w:spacing w:after="0" w:line="252" w:lineRule="auto"/>
            </w:pPr>
            <w:r>
              <w:rPr>
                <w:sz w:val="17"/>
              </w:rPr>
              <w:t>genauer Wortlaut</w:t>
            </w:r>
          </w:p>
        </w:tc>
        <w:tc>
          <w:tcPr>
            <w:tcW w:type="dxa" w:w="468"/>
          </w:tcPr>
          <w:p>
            <w:pPr>
              <w:spacing w:after="0" w:line="252" w:lineRule="auto"/>
            </w:pPr>
            <w:r>
              <w:rPr>
                <w:sz w:val="17"/>
              </w:rPr>
              <w:t>8.1</w:t>
            </w:r>
          </w:p>
        </w:tc>
      </w:tr>
      <w:tr>
        <w:tc>
          <w:tcPr>
            <w:tcW w:type="dxa" w:w="468"/>
          </w:tcPr>
          <w:p>
            <w:pPr>
              <w:spacing w:after="0" w:line="252" w:lineRule="auto"/>
            </w:pPr>
            <w:r>
              <w:rPr>
                <w:sz w:val="17"/>
              </w:rPr>
              <w:t>S16</w:t>
            </w:r>
          </w:p>
        </w:tc>
        <w:tc>
          <w:tcPr>
            <w:tcW w:type="dxa" w:w="3903"/>
          </w:tcPr>
          <w:p>
            <w:pPr>
              <w:spacing w:after="0" w:line="252" w:lineRule="auto"/>
            </w:pPr>
            <w:r>
              <w:rPr>
                <w:b/>
                <w:sz w:val="17"/>
              </w:rPr>
              <w:t>MD017</w:t>
            </w:r>
            <w:r>
              <w:rPr>
                <w:sz w:val="17"/>
              </w:rPr>
              <w:t xml:space="preserve"> Kommissionierbedarfstyp</w:t>
            </w:r>
          </w:p>
        </w:tc>
        <w:tc>
          <w:tcPr>
            <w:tcW w:type="dxa" w:w="4684"/>
          </w:tcPr>
          <w:p>
            <w:pPr>
              <w:spacing w:after="0" w:line="252" w:lineRule="auto"/>
            </w:pPr>
            <w:r>
              <w:rPr>
                <w:sz w:val="17"/>
              </w:rPr>
              <w:t>Zielplatz-/PTL-/Wagen-Optionen</w:t>
            </w:r>
          </w:p>
        </w:tc>
        <w:tc>
          <w:tcPr>
            <w:tcW w:type="dxa" w:w="468"/>
          </w:tcPr>
          <w:p>
            <w:pPr>
              <w:spacing w:after="0" w:line="252" w:lineRule="auto"/>
            </w:pPr>
            <w:r>
              <w:rPr>
                <w:sz w:val="17"/>
              </w:rPr>
              <w:t>9.1</w:t>
            </w:r>
          </w:p>
        </w:tc>
      </w:tr>
      <w:tr>
        <w:tc>
          <w:tcPr>
            <w:tcW w:type="dxa" w:w="468"/>
          </w:tcPr>
          <w:p>
            <w:pPr>
              <w:spacing w:after="0" w:line="252" w:lineRule="auto"/>
            </w:pPr>
            <w:r>
              <w:rPr>
                <w:sz w:val="17"/>
              </w:rPr>
              <w:t>S17</w:t>
            </w:r>
          </w:p>
        </w:tc>
        <w:tc>
          <w:tcPr>
            <w:tcW w:type="dxa" w:w="3903"/>
          </w:tcPr>
          <w:p>
            <w:pPr>
              <w:spacing w:after="0" w:line="252" w:lineRule="auto"/>
            </w:pPr>
            <w:r>
              <w:rPr>
                <w:b/>
                <w:sz w:val="17"/>
              </w:rPr>
              <w:t>FW028</w:t>
            </w:r>
            <w:r>
              <w:rPr>
                <w:sz w:val="17"/>
              </w:rPr>
              <w:t xml:space="preserve"> Filter </w:t>
            </w:r>
            <w:r>
              <w:rPr>
                <w:rFonts w:ascii="Consolas" w:hAnsi="Consolas" w:cs="Consolas" w:eastAsia="Consolas"/>
                <w:sz w:val="15"/>
              </w:rPr>
              <w:t>logimat.picking</w:t>
            </w:r>
          </w:p>
        </w:tc>
        <w:tc>
          <w:tcPr>
            <w:tcW w:type="dxa" w:w="4684"/>
          </w:tcPr>
          <w:p>
            <w:pPr>
              <w:spacing w:after="0" w:line="252" w:lineRule="auto"/>
            </w:pPr>
            <w:r>
              <w:rPr>
                <w:sz w:val="17"/>
              </w:rPr>
              <w:t>aktuelle Werte</w:t>
            </w:r>
          </w:p>
        </w:tc>
        <w:tc>
          <w:tcPr>
            <w:tcW w:type="dxa" w:w="468"/>
          </w:tcPr>
          <w:p>
            <w:pPr>
              <w:spacing w:after="0" w:line="252" w:lineRule="auto"/>
            </w:pPr>
            <w:r>
              <w:rPr>
                <w:sz w:val="17"/>
              </w:rPr>
              <w:t>9.2</w:t>
            </w:r>
          </w:p>
        </w:tc>
      </w:tr>
      <w:tr>
        <w:tc>
          <w:tcPr>
            <w:tcW w:type="dxa" w:w="468"/>
          </w:tcPr>
          <w:p>
            <w:pPr>
              <w:spacing w:after="0" w:line="252" w:lineRule="auto"/>
            </w:pPr>
            <w:r>
              <w:rPr>
                <w:sz w:val="17"/>
              </w:rPr>
              <w:t>S18</w:t>
            </w:r>
          </w:p>
        </w:tc>
        <w:tc>
          <w:tcPr>
            <w:tcW w:type="dxa" w:w="3903"/>
          </w:tcPr>
          <w:p>
            <w:pPr>
              <w:spacing w:after="0" w:line="252" w:lineRule="auto"/>
            </w:pPr>
            <w:r>
              <w:rPr>
                <w:sz w:val="17"/>
              </w:rPr>
              <w:t xml:space="preserve">Systempartner </w:t>
            </w:r>
            <w:r>
              <w:rPr>
                <w:b/>
                <w:sz w:val="17"/>
              </w:rPr>
              <w:t>Kommissionierbedarfsquittierung</w:t>
            </w:r>
          </w:p>
        </w:tc>
        <w:tc>
          <w:tcPr>
            <w:tcW w:type="dxa" w:w="4684"/>
          </w:tcPr>
          <w:p>
            <w:pPr>
              <w:spacing w:after="0" w:line="252" w:lineRule="auto"/>
            </w:pPr>
            <w:r>
              <w:rPr>
                <w:sz w:val="17"/>
              </w:rPr>
              <w:t xml:space="preserve">Modus </w:t>
            </w:r>
            <w:r>
              <w:rPr>
                <w:b/>
                <w:sz w:val="17"/>
              </w:rPr>
              <w:t>Wenn Ziel voll</w:t>
            </w:r>
          </w:p>
        </w:tc>
        <w:tc>
          <w:tcPr>
            <w:tcW w:type="dxa" w:w="468"/>
          </w:tcPr>
          <w:p>
            <w:pPr>
              <w:spacing w:after="0" w:line="252" w:lineRule="auto"/>
            </w:pPr>
            <w:r>
              <w:rPr>
                <w:sz w:val="17"/>
              </w:rPr>
              <w:t>9.3</w:t>
            </w:r>
          </w:p>
        </w:tc>
      </w:tr>
      <w:tr>
        <w:tc>
          <w:tcPr>
            <w:tcW w:type="dxa" w:w="468"/>
          </w:tcPr>
          <w:p>
            <w:pPr>
              <w:spacing w:after="0" w:line="252" w:lineRule="auto"/>
            </w:pPr>
            <w:r>
              <w:rPr>
                <w:sz w:val="17"/>
              </w:rPr>
              <w:t>S19</w:t>
            </w:r>
          </w:p>
        </w:tc>
        <w:tc>
          <w:tcPr>
            <w:tcW w:type="dxa" w:w="3903"/>
          </w:tcPr>
          <w:p>
            <w:pPr>
              <w:spacing w:after="0" w:line="252" w:lineRule="auto"/>
            </w:pPr>
            <w:r>
              <w:rPr>
                <w:sz w:val="17"/>
              </w:rPr>
              <w:t>Bedienschritt „Ziel-LE voll“ am Touch-Client</w:t>
            </w:r>
          </w:p>
        </w:tc>
        <w:tc>
          <w:tcPr>
            <w:tcW w:type="dxa" w:w="4684"/>
          </w:tcPr>
          <w:p>
            <w:pPr>
              <w:spacing w:after="0" w:line="252" w:lineRule="auto"/>
            </w:pPr>
            <w:r>
              <w:rPr>
                <w:sz w:val="17"/>
              </w:rPr>
              <w:t>Icon/Dialog, mit dem voll gemeldet wird</w:t>
            </w:r>
          </w:p>
        </w:tc>
        <w:tc>
          <w:tcPr>
            <w:tcW w:type="dxa" w:w="468"/>
          </w:tcPr>
          <w:p>
            <w:pPr>
              <w:spacing w:after="0" w:line="252" w:lineRule="auto"/>
            </w:pPr>
            <w:r>
              <w:rPr>
                <w:sz w:val="17"/>
              </w:rPr>
              <w:t>10.1</w:t>
            </w:r>
          </w:p>
        </w:tc>
      </w:tr>
      <w:tr>
        <w:tc>
          <w:tcPr>
            <w:tcW w:type="dxa" w:w="468"/>
          </w:tcPr>
          <w:p>
            <w:pPr>
              <w:spacing w:after="0" w:line="252" w:lineRule="auto"/>
            </w:pPr>
            <w:r>
              <w:rPr>
                <w:sz w:val="17"/>
              </w:rPr>
              <w:t>S20</w:t>
            </w:r>
          </w:p>
        </w:tc>
        <w:tc>
          <w:tcPr>
            <w:tcW w:type="dxa" w:w="3903"/>
          </w:tcPr>
          <w:p>
            <w:pPr>
              <w:spacing w:after="0" w:line="252" w:lineRule="auto"/>
            </w:pPr>
            <w:r>
              <w:rPr>
                <w:b/>
                <w:sz w:val="17"/>
              </w:rPr>
              <w:t>DI004</w:t>
            </w:r>
            <w:r>
              <w:rPr>
                <w:sz w:val="17"/>
              </w:rPr>
              <w:t xml:space="preserve"> ausgehende Nachrichten</w:t>
            </w:r>
          </w:p>
        </w:tc>
        <w:tc>
          <w:tcPr>
            <w:tcW w:type="dxa" w:w="4684"/>
          </w:tcPr>
          <w:p>
            <w:pPr>
              <w:spacing w:after="0" w:line="252" w:lineRule="auto"/>
            </w:pPr>
            <w:r>
              <w:rPr>
                <w:sz w:val="17"/>
              </w:rPr>
              <w:t>Satzart der PTL-Quittierung</w:t>
            </w:r>
          </w:p>
        </w:tc>
        <w:tc>
          <w:tcPr>
            <w:tcW w:type="dxa" w:w="468"/>
          </w:tcPr>
          <w:p>
            <w:pPr>
              <w:spacing w:after="0" w:line="252" w:lineRule="auto"/>
            </w:pPr>
            <w:r>
              <w:rPr>
                <w:sz w:val="17"/>
              </w:rPr>
              <w:t>10.1</w:t>
            </w:r>
          </w:p>
        </w:tc>
      </w:tr>
      <w:tr>
        <w:tc>
          <w:tcPr>
            <w:tcW w:type="dxa" w:w="468"/>
          </w:tcPr>
          <w:p>
            <w:pPr>
              <w:spacing w:after="0" w:line="252" w:lineRule="auto"/>
            </w:pPr>
            <w:r>
              <w:rPr>
                <w:sz w:val="17"/>
              </w:rPr>
              <w:t>S21</w:t>
            </w:r>
          </w:p>
        </w:tc>
        <w:tc>
          <w:tcPr>
            <w:tcW w:type="dxa" w:w="3903"/>
          </w:tcPr>
          <w:p>
            <w:pPr>
              <w:spacing w:after="0" w:line="252" w:lineRule="auto"/>
            </w:pPr>
            <w:r>
              <w:rPr>
                <w:sz w:val="17"/>
              </w:rPr>
              <w:t>Foto Zielplatz-Etikett</w:t>
            </w:r>
          </w:p>
        </w:tc>
        <w:tc>
          <w:tcPr>
            <w:tcW w:type="dxa" w:w="4684"/>
          </w:tcPr>
          <w:p>
            <w:pPr>
              <w:spacing w:after="0" w:line="252" w:lineRule="auto"/>
            </w:pPr>
            <w:r>
              <w:rPr>
                <w:sz w:val="17"/>
              </w:rPr>
              <w:t>Inhalt und Barcode</w:t>
            </w:r>
          </w:p>
        </w:tc>
        <w:tc>
          <w:tcPr>
            <w:tcW w:type="dxa" w:w="468"/>
          </w:tcPr>
          <w:p>
            <w:pPr>
              <w:spacing w:after="0" w:line="252" w:lineRule="auto"/>
            </w:pPr>
            <w:r>
              <w:rPr>
                <w:sz w:val="17"/>
              </w:rPr>
              <w:t>11</w:t>
            </w:r>
          </w:p>
        </w:tc>
      </w:tr>
    </w:tbl>
    <w:p>
      <w:pPr>
        <w:pStyle w:val="BeschriftungSSI"/>
      </w:pPr>
      <w:r>
        <w:t>Tab. 19: Screenshot-Liste</w:t>
      </w:r>
    </w:p>
    <w:p>
      <w:pPr>
        <w:pStyle w:val="Quelle"/>
      </w:pPr>
      <w:r>
        <w:rPr>
          <w:b/>
        </w:rPr>
        <w:t xml:space="preserve">Quelle: </w:t>
      </w:r>
      <w:r>
        <w:rPr>
          <w:sz w:val="17"/>
        </w:rPr>
        <w:t>Platzhalter in diesem Dokument</w:t>
      </w:r>
    </w:p>
    <w:p>
      <w:pPr>
        <w:pStyle w:val="Heading1"/>
      </w:pPr>
      <w:r>
        <w:t>16 Dokumentationslücken und offene Fragen</w:t>
      </w:r>
    </w:p>
    <w:p>
      <w:r>
        <w:t>Weitere Lücken stehen als graue Kästen in den Kapiteln (Einzelplatz anlegen, Import, Zuordnung lösen, PTL-Gleichzeitigkeit, Umbuchen, Konsolidierung am Zielplatz). Die folgenden fünf Fragen sind für den Betrieb am wichtigsten.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Fragen</w:t>
            </w:r>
          </w:p>
          <w:p>
            <w:pPr>
              <w:spacing w:after="40"/>
            </w:pPr>
            <w:r>
              <w:rPr>
                <w:sz w:val="19"/>
              </w:rPr>
              <w:t xml:space="preserve">1. </w:t>
            </w:r>
            <w:r>
              <w:rPr>
                <w:b/>
                <w:sz w:val="19"/>
              </w:rPr>
              <w:t>„Ziel voll“ am Touch-Client:</w:t>
            </w:r>
            <w:r>
              <w:rPr>
                <w:sz w:val="19"/>
              </w:rPr>
              <w:t xml:space="preserve"> Mit welchem Bedienschritt meldet der Benutzer in 2.7 eine Ziel-LE als voll, und ist das gleichbedeutend mit „Plan-LE fertig“ (Schulung)?</w:t>
            </w:r>
          </w:p>
          <w:p>
            <w:pPr>
              <w:spacing w:after="40"/>
            </w:pPr>
            <w:r>
              <w:rPr>
                <w:sz w:val="19"/>
              </w:rPr>
              <w:t xml:space="preserve">2. </w:t>
            </w:r>
            <w:r>
              <w:rPr>
                <w:b/>
                <w:sz w:val="19"/>
              </w:rPr>
              <w:t>Platzfreigabe und Versand:</w:t>
            </w:r>
            <w:r>
              <w:rPr>
                <w:sz w:val="19"/>
              </w:rPr>
              <w:t xml:space="preserve"> Wird ein Zielplatz nach Auftragsabschluss bzw. Vollmeldung automatisch frei (z. B. durch Buchung auf </w:t>
            </w:r>
            <w:r>
              <w:rPr>
                <w:rFonts w:ascii="Consolas" w:hAnsi="Consolas" w:cs="Consolas" w:eastAsia="Consolas"/>
                <w:sz w:val="17"/>
              </w:rPr>
              <w:t>LogiShpLoc</w:t>
            </w:r>
            <w:r>
              <w:rPr>
                <w:sz w:val="19"/>
              </w:rPr>
              <w:t>), oder muss die Ziel-LE manuell entfernt werden? Wie sieht die Übergabe an den Versand im Projekt aus?</w:t>
            </w:r>
          </w:p>
          <w:p>
            <w:pPr>
              <w:spacing w:after="40"/>
            </w:pPr>
            <w:r>
              <w:rPr>
                <w:sz w:val="19"/>
              </w:rPr>
              <w:t xml:space="preserve">3. </w:t>
            </w:r>
            <w:r>
              <w:rPr>
                <w:b/>
                <w:sz w:val="19"/>
              </w:rPr>
              <w:t>Umfang von „Alle entfernen“ und Löschen:</w:t>
            </w:r>
            <w:r>
              <w:rPr>
                <w:sz w:val="19"/>
              </w:rPr>
              <w:t xml:space="preserve"> Betrifft LM044 </w:t>
            </w:r>
            <w:r>
              <w:rPr>
                <w:b/>
                <w:sz w:val="19"/>
              </w:rPr>
              <w:t>Alle entfernen</w:t>
            </w:r>
            <w:r>
              <w:rPr>
                <w:sz w:val="19"/>
              </w:rPr>
              <w:t xml:space="preserve"> nur die aktive Zugriffsöffnung oder das ganze System, und was passiert beim Löschen einer Gruppe mit gebuchten LE und aktiven Bedarfen?</w:t>
            </w:r>
          </w:p>
          <w:p>
            <w:pPr>
              <w:spacing w:after="40"/>
            </w:pPr>
            <w:r>
              <w:rPr>
                <w:sz w:val="19"/>
              </w:rPr>
              <w:t xml:space="preserve">4. </w:t>
            </w:r>
            <w:r>
              <w:rPr>
                <w:b/>
                <w:sz w:val="19"/>
              </w:rPr>
              <w:t>Deaktivieren:</w:t>
            </w:r>
            <w:r>
              <w:rPr>
                <w:sz w:val="19"/>
              </w:rPr>
              <w:t xml:space="preserve"> Gibt es einen Weg, einzelne Zielplätze oder eine Gruppe vorübergehend zu sperren (statt zu löschen), und wie wird eine Zugriffsöffnung wieder von einer Gruppe gelöst?</w:t>
            </w:r>
          </w:p>
          <w:p>
            <w:pPr>
              <w:spacing w:after="40"/>
            </w:pPr>
            <w:r>
              <w:rPr>
                <w:sz w:val="19"/>
              </w:rPr>
              <w:t xml:space="preserve">5. </w:t>
            </w:r>
            <w:r>
              <w:rPr>
                <w:b/>
                <w:sz w:val="19"/>
              </w:rPr>
              <w:t>PTL-Quittierung:</w:t>
            </w:r>
            <w:r>
              <w:rPr>
                <w:sz w:val="19"/>
              </w:rPr>
              <w:t xml:space="preserve"> Sendet das Live-System </w:t>
            </w:r>
            <w:r>
              <w:rPr>
                <w:rFonts w:ascii="Consolas" w:hAnsi="Consolas" w:cs="Consolas" w:eastAsia="Consolas"/>
                <w:sz w:val="17"/>
              </w:rPr>
              <w:t>WLSP2LACK001</w:t>
            </w:r>
            <w:r>
              <w:rPr>
                <w:sz w:val="19"/>
              </w:rPr>
              <w:t xml:space="preserve"> (Handbuch 2.7) oder </w:t>
            </w:r>
            <w:r>
              <w:rPr>
                <w:rFonts w:ascii="Consolas" w:hAnsi="Consolas" w:cs="Consolas" w:eastAsia="Consolas"/>
                <w:sz w:val="17"/>
              </w:rPr>
              <w:t>WLSP2LACK002</w:t>
            </w:r>
            <w:r>
              <w:rPr>
                <w:sz w:val="19"/>
              </w:rPr>
              <w:t xml:space="preserve"> mit </w:t>
            </w:r>
            <w:r>
              <w:rPr>
                <w:rFonts w:ascii="Consolas" w:hAnsi="Consolas" w:cs="Consolas" w:eastAsia="Consolas"/>
                <w:sz w:val="17"/>
              </w:rPr>
              <w:t>WLSP2LLACK001</w:t>
            </w:r>
            <w:r>
              <w:rPr>
                <w:sz w:val="19"/>
              </w:rPr>
              <w:t>-Zeilen (Telegrammbeispiele), und welches Release (Build) läuft dort?</w:t>
            </w:r>
          </w:p>
        </w:tc>
      </w:tr>
    </w:tbl>
    <w:p>
      <w:pPr>
        <w:spacing w:after="40"/>
      </w:pPr>
    </w:p>
    <w:p>
      <w:pPr>
        <w:pStyle w:val="Heading1"/>
      </w:pPr>
      <w:r>
        <w:t>17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Dokument (Kürzel)</w:t>
            </w:r>
          </w:p>
        </w:tc>
        <w:tc>
          <w:tcPr>
            <w:tcW w:type="dxa" w:w="4762"/>
            <w:shd w:val="clear" w:color="auto" w:fill="FEEE19"/>
          </w:tcPr>
          <w:p>
            <w:pPr>
              <w:spacing w:after="0"/>
            </w:pPr>
            <w:r>
              <w:rPr>
                <w:b/>
                <w:sz w:val="17"/>
              </w:rPr>
              <w:t>Verwendete Kapitel</w:t>
            </w:r>
          </w:p>
        </w:tc>
      </w:tr>
      <w:tr>
        <w:tc>
          <w:tcPr>
            <w:tcW w:type="dxa" w:w="4762"/>
          </w:tcPr>
          <w:p>
            <w:pPr>
              <w:spacing w:after="0" w:line="252" w:lineRule="auto"/>
            </w:pPr>
            <w:r>
              <w:rPr>
                <w:b/>
                <w:sz w:val="17"/>
              </w:rPr>
              <w:t>AH 2.7</w:t>
            </w:r>
            <w:r>
              <w:rPr>
                <w:sz w:val="17"/>
              </w:rPr>
              <w:t>: WAMAS.LS_2.7_man.administrator_V01.0_deDE</w:t>
            </w:r>
          </w:p>
        </w:tc>
        <w:tc>
          <w:tcPr>
            <w:tcW w:type="dxa" w:w="4762"/>
          </w:tcPr>
          <w:p>
            <w:pPr>
              <w:spacing w:after="0" w:line="252" w:lineRule="auto"/>
            </w:pPr>
            <w:r>
              <w:rPr>
                <w:sz w:val="17"/>
              </w:rPr>
              <w:t>3.1.1, 3.1.9.1, 3.1.10–3.1.14, 3.1.17, 3.4.1.4, 3.4.2, 3.5.1.6.1–3.5.1.6.6, 3.5.2.8, 3.5.3.1, 3.6.1.6, 3.6.1.10, 3.11.2</w:t>
            </w:r>
          </w:p>
        </w:tc>
      </w:tr>
      <w:tr>
        <w:tc>
          <w:tcPr>
            <w:tcW w:type="dxa" w:w="4762"/>
          </w:tcPr>
          <w:p>
            <w:pPr>
              <w:spacing w:after="0" w:line="252" w:lineRule="auto"/>
            </w:pPr>
            <w:r>
              <w:rPr>
                <w:b/>
                <w:sz w:val="17"/>
              </w:rPr>
              <w:t>BH 2.7</w:t>
            </w:r>
            <w:r>
              <w:rPr>
                <w:sz w:val="17"/>
              </w:rPr>
              <w:t>: WAMAS.LS_2.7_man.user_V01.0_deDE</w:t>
            </w:r>
          </w:p>
        </w:tc>
        <w:tc>
          <w:tcPr>
            <w:tcW w:type="dxa" w:w="4762"/>
          </w:tcPr>
          <w:p>
            <w:pPr>
              <w:spacing w:after="0" w:line="252" w:lineRule="auto"/>
            </w:pPr>
            <w:r>
              <w:rPr>
                <w:sz w:val="17"/>
              </w:rPr>
              <w:t>5.4.1–5.4.5, 5.5.1–5.5.6, 6.1.6, 6.2.2.1–6.2.2.3, 6.2.4.2, 6.2.4.10, 6.3.2, 6.7.1–6.7.2, 6.8.1.3, 6.8.2.2, Icon-Liste</w:t>
            </w:r>
          </w:p>
        </w:tc>
      </w:tr>
      <w:tr>
        <w:tc>
          <w:tcPr>
            <w:tcW w:type="dxa" w:w="4762"/>
          </w:tcPr>
          <w:p>
            <w:pPr>
              <w:spacing w:after="0" w:line="252" w:lineRule="auto"/>
            </w:pPr>
            <w:r>
              <w:rPr>
                <w:b/>
                <w:sz w:val="17"/>
              </w:rPr>
              <w:t>IH 2.7</w:t>
            </w:r>
            <w:r>
              <w:rPr>
                <w:sz w:val="17"/>
              </w:rPr>
              <w:t>: WAMAS.LS_2.7_man.installation_V01.1_enUS</w:t>
            </w:r>
          </w:p>
        </w:tc>
        <w:tc>
          <w:tcPr>
            <w:tcW w:type="dxa" w:w="4762"/>
          </w:tcPr>
          <w:p>
            <w:pPr>
              <w:spacing w:after="0" w:line="252" w:lineRule="auto"/>
            </w:pPr>
            <w:r>
              <w:rPr>
                <w:sz w:val="17"/>
              </w:rPr>
              <w:t>6.6 P2L Configuration (inkl. Screenshots LM044/LM106, MF105)</w:t>
            </w:r>
          </w:p>
        </w:tc>
      </w:tr>
      <w:tr>
        <w:tc>
          <w:tcPr>
            <w:tcW w:type="dxa" w:w="4762"/>
          </w:tcPr>
          <w:p>
            <w:pPr>
              <w:spacing w:after="0" w:line="252" w:lineRule="auto"/>
            </w:pPr>
            <w:r>
              <w:rPr>
                <w:b/>
                <w:sz w:val="17"/>
              </w:rPr>
              <w:t>SH ERP 2.7 / 2.8</w:t>
            </w:r>
            <w:r>
              <w:rPr>
                <w:sz w:val="17"/>
              </w:rPr>
              <w:t>: WAMAS.LS_2.x_man.interface.wls.erp_V01.0_enUS</w:t>
            </w:r>
          </w:p>
        </w:tc>
        <w:tc>
          <w:tcPr>
            <w:tcW w:type="dxa" w:w="4762"/>
          </w:tcPr>
          <w:p>
            <w:pPr>
              <w:spacing w:after="0" w:line="252" w:lineRule="auto"/>
            </w:pPr>
            <w:r>
              <w:rPr>
                <w:sz w:val="17"/>
              </w:rPr>
              <w:t>2.7: 7.2.1.3–7.2.1.4, 7.2.2.3–7.2.2.4; 2.8: 7.1.2.1, 7.2.1.3, 7.2.2.3</w:t>
            </w:r>
          </w:p>
        </w:tc>
      </w:tr>
      <w:tr>
        <w:tc>
          <w:tcPr>
            <w:tcW w:type="dxa" w:w="4762"/>
          </w:tcPr>
          <w:p>
            <w:pPr>
              <w:spacing w:after="0" w:line="252" w:lineRule="auto"/>
            </w:pPr>
            <w:r>
              <w:rPr>
                <w:b/>
                <w:sz w:val="17"/>
              </w:rPr>
              <w:t>TB 2.7</w:t>
            </w:r>
            <w:r>
              <w:rPr>
                <w:sz w:val="17"/>
              </w:rPr>
              <w:t>: 2.7.0_IN_OUT_CSV_TXT_XML_JSON</w:t>
            </w:r>
          </w:p>
        </w:tc>
        <w:tc>
          <w:tcPr>
            <w:tcW w:type="dxa" w:w="4762"/>
          </w:tcPr>
          <w:p>
            <w:pPr>
              <w:spacing w:after="0" w:line="252" w:lineRule="auto"/>
            </w:pPr>
            <w:r>
              <w:rPr>
                <w:sz w:val="17"/>
              </w:rPr>
              <w:t>PD/ACK_when_dest_full/0098–0105, PD/ACK_after_every_operation/0085</w:t>
            </w:r>
          </w:p>
        </w:tc>
      </w:tr>
      <w:tr>
        <w:tc>
          <w:tcPr>
            <w:tcW w:type="dxa" w:w="4762"/>
          </w:tcPr>
          <w:p>
            <w:pPr>
              <w:spacing w:after="0" w:line="252" w:lineRule="auto"/>
            </w:pPr>
            <w:r>
              <w:rPr>
                <w:b/>
                <w:sz w:val="17"/>
              </w:rPr>
              <w:t>AH 2.8</w:t>
            </w:r>
            <w:r>
              <w:rPr>
                <w:sz w:val="17"/>
              </w:rPr>
              <w:t>: WAMAS.LS_2.8_man.administrator_V01.0_enUS</w:t>
            </w:r>
          </w:p>
        </w:tc>
        <w:tc>
          <w:tcPr>
            <w:tcW w:type="dxa" w:w="4762"/>
          </w:tcPr>
          <w:p>
            <w:pPr>
              <w:spacing w:after="0" w:line="252" w:lineRule="auto"/>
            </w:pPr>
            <w:r>
              <w:rPr>
                <w:sz w:val="17"/>
              </w:rPr>
              <w:t>3.1.11–3.1.13, 3.1.18, 3.5.6, 3.6.1.10, 3.9.2.3.3, 3.11.2</w:t>
            </w:r>
          </w:p>
        </w:tc>
      </w:tr>
      <w:tr>
        <w:tc>
          <w:tcPr>
            <w:tcW w:type="dxa" w:w="4762"/>
          </w:tcPr>
          <w:p>
            <w:pPr>
              <w:spacing w:after="0" w:line="252" w:lineRule="auto"/>
            </w:pPr>
            <w:r>
              <w:rPr>
                <w:b/>
                <w:sz w:val="17"/>
              </w:rPr>
              <w:t>BH 2.8</w:t>
            </w:r>
            <w:r>
              <w:rPr>
                <w:sz w:val="17"/>
              </w:rPr>
              <w:t>: WAMAS.LS_2.8_man.user_V01.0_enUS</w:t>
            </w:r>
          </w:p>
        </w:tc>
        <w:tc>
          <w:tcPr>
            <w:tcW w:type="dxa" w:w="4762"/>
          </w:tcPr>
          <w:p>
            <w:pPr>
              <w:spacing w:after="0" w:line="252" w:lineRule="auto"/>
            </w:pPr>
            <w:r>
              <w:rPr>
                <w:sz w:val="17"/>
              </w:rPr>
              <w:t>5.4, 5.5, 6.2.2.2.2, 6.2.5.3</w:t>
            </w:r>
          </w:p>
        </w:tc>
      </w:tr>
      <w:tr>
        <w:tc>
          <w:tcPr>
            <w:tcW w:type="dxa" w:w="4762"/>
          </w:tcPr>
          <w:p>
            <w:pPr>
              <w:spacing w:after="0" w:line="252" w:lineRule="auto"/>
            </w:pPr>
            <w:r>
              <w:rPr>
                <w:b/>
                <w:sz w:val="17"/>
              </w:rPr>
              <w:t>BH R2.4</w:t>
            </w:r>
            <w:r>
              <w:rPr>
                <w:sz w:val="17"/>
              </w:rPr>
              <w:t>: man_user_WAMAS_LogiMat_R2.4_V5.0_ger („Externe Lagerung“)</w:t>
            </w:r>
          </w:p>
        </w:tc>
        <w:tc>
          <w:tcPr>
            <w:tcW w:type="dxa" w:w="4762"/>
          </w:tcPr>
          <w:p>
            <w:pPr>
              <w:spacing w:after="0" w:line="252" w:lineRule="auto"/>
            </w:pPr>
            <w:r>
              <w:rPr>
                <w:sz w:val="17"/>
              </w:rPr>
              <w:t>4.3.1, 4.4.1–4.4.2</w:t>
            </w:r>
          </w:p>
        </w:tc>
      </w:tr>
      <w:tr>
        <w:tc>
          <w:tcPr>
            <w:tcW w:type="dxa" w:w="4762"/>
          </w:tcPr>
          <w:p>
            <w:pPr>
              <w:spacing w:after="0" w:line="252" w:lineRule="auto"/>
            </w:pPr>
            <w:r>
              <w:rPr>
                <w:b/>
                <w:sz w:val="17"/>
              </w:rPr>
              <w:t>SCH</w:t>
            </w:r>
            <w:r>
              <w:rPr>
                <w:sz w:val="17"/>
              </w:rPr>
              <w:t>: WAMAS LogiMat Consultant Training Part 1 (12.01.2024)</w:t>
            </w:r>
          </w:p>
        </w:tc>
        <w:tc>
          <w:tcPr>
            <w:tcW w:type="dxa" w:w="4762"/>
          </w:tcPr>
          <w:p>
            <w:pPr>
              <w:spacing w:after="0" w:line="252" w:lineRule="auto"/>
            </w:pPr>
            <w:r>
              <w:rPr>
                <w:sz w:val="17"/>
              </w:rPr>
              <w:t>Client Configuration (2), Global parameters – Demand parameters, Configure Systempartner (3)</w:t>
            </w:r>
          </w:p>
        </w:tc>
      </w:tr>
      <w:tr>
        <w:tc>
          <w:tcPr>
            <w:tcW w:type="dxa" w:w="4762"/>
          </w:tcPr>
          <w:p>
            <w:pPr>
              <w:spacing w:after="0" w:line="252" w:lineRule="auto"/>
            </w:pPr>
            <w:r>
              <w:rPr>
                <w:sz w:val="17"/>
              </w:rPr>
              <w:t>Knowlledge-Ordner</w:t>
            </w:r>
          </w:p>
        </w:tc>
        <w:tc>
          <w:tcPr>
            <w:tcW w:type="dxa" w:w="4762"/>
          </w:tcPr>
          <w:p>
            <w:pPr>
              <w:spacing w:after="0" w:line="252" w:lineRule="auto"/>
            </w:pPr>
            <w:r>
              <w:rPr>
                <w:sz w:val="17"/>
              </w:rPr>
              <w:t>Import_ExternalLocation_NK_FORUM_example.csv</w:t>
            </w:r>
          </w:p>
        </w:tc>
      </w:tr>
      <w:tr>
        <w:tc>
          <w:tcPr>
            <w:tcW w:type="dxa" w:w="4762"/>
          </w:tcPr>
          <w:p>
            <w:pPr>
              <w:spacing w:after="0" w:line="252" w:lineRule="auto"/>
            </w:pPr>
            <w:r>
              <w:rPr>
                <w:b/>
                <w:sz w:val="17"/>
              </w:rPr>
              <w:t>HT</w:t>
            </w:r>
            <w:r>
              <w:rPr>
                <w:sz w:val="17"/>
              </w:rPr>
              <w:t>: How-tos „LE, Kubaturen, Zuordnungen und Zielplätze“, „Externe Lagerprozesse“, „Dokumente drucken“ v1.0</w:t>
            </w:r>
          </w:p>
        </w:tc>
        <w:tc>
          <w:tcPr>
            <w:tcW w:type="dxa" w:w="4762"/>
          </w:tcPr>
          <w:p>
            <w:pPr>
              <w:spacing w:after="0" w:line="252" w:lineRule="auto"/>
            </w:pPr>
            <w:r>
              <w:rPr>
                <w:sz w:val="17"/>
              </w:rPr>
              <w:t>Abgrenzung</w:t>
            </w:r>
          </w:p>
        </w:tc>
      </w:tr>
    </w:tbl>
    <w:p>
      <w:pPr>
        <w:pStyle w:val="BeschriftungSSI"/>
      </w:pPr>
      <w:r>
        <w:t>Tab. 20: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05"/>
        <w:gridCol w:w="7620"/>
      </w:tblGrid>
      <w:tr>
        <w:trPr>
          <w:tblHeader w:val="true"/>
        </w:trPr>
        <w:tc>
          <w:tcPr>
            <w:tcW w:type="dxa" w:w="1905"/>
            <w:shd w:val="clear" w:color="auto" w:fill="FEEE19"/>
          </w:tcPr>
          <w:p>
            <w:pPr>
              <w:spacing w:after="0"/>
            </w:pPr>
            <w:r>
              <w:rPr>
                <w:b/>
                <w:sz w:val="17"/>
              </w:rPr>
              <w:t>Abkürzung</w:t>
            </w:r>
          </w:p>
        </w:tc>
        <w:tc>
          <w:tcPr>
            <w:tcW w:type="dxa" w:w="7620"/>
            <w:shd w:val="clear" w:color="auto" w:fill="FEEE19"/>
          </w:tcPr>
          <w:p>
            <w:pPr>
              <w:spacing w:after="0"/>
            </w:pPr>
            <w:r>
              <w:rPr>
                <w:b/>
                <w:sz w:val="17"/>
              </w:rPr>
              <w:t>Bedeutung</w:t>
            </w:r>
          </w:p>
        </w:tc>
      </w:tr>
      <w:tr>
        <w:tc>
          <w:tcPr>
            <w:tcW w:type="dxa" w:w="1905"/>
          </w:tcPr>
          <w:p>
            <w:pPr>
              <w:spacing w:after="0" w:line="252" w:lineRule="auto"/>
            </w:pPr>
            <w:r>
              <w:rPr>
                <w:sz w:val="17"/>
              </w:rPr>
              <w:t>DC-LC</w:t>
            </w:r>
          </w:p>
        </w:tc>
        <w:tc>
          <w:tcPr>
            <w:tcW w:type="dxa" w:w="7620"/>
          </w:tcPr>
          <w:p>
            <w:pPr>
              <w:spacing w:after="0" w:line="252" w:lineRule="auto"/>
            </w:pPr>
            <w:r>
              <w:rPr>
                <w:sz w:val="17"/>
              </w:rPr>
              <w:t>Device Controller – Line Controller</w:t>
            </w:r>
          </w:p>
        </w:tc>
      </w:tr>
      <w:tr>
        <w:tc>
          <w:tcPr>
            <w:tcW w:type="dxa" w:w="1905"/>
          </w:tcPr>
          <w:p>
            <w:pPr>
              <w:spacing w:after="0" w:line="252" w:lineRule="auto"/>
            </w:pPr>
            <w:r>
              <w:rPr>
                <w:sz w:val="17"/>
              </w:rPr>
              <w:t>KBS</w:t>
            </w:r>
          </w:p>
        </w:tc>
        <w:tc>
          <w:tcPr>
            <w:tcW w:type="dxa" w:w="7620"/>
          </w:tcPr>
          <w:p>
            <w:pPr>
              <w:spacing w:after="0" w:line="252" w:lineRule="auto"/>
            </w:pPr>
            <w:r>
              <w:rPr>
                <w:sz w:val="17"/>
              </w:rPr>
              <w:t>Bezeichnung des Put-to-Light-Systems in AH 2.8 („KBS Put to Light systems“)</w:t>
            </w:r>
          </w:p>
        </w:tc>
      </w:tr>
      <w:tr>
        <w:tc>
          <w:tcPr>
            <w:tcW w:type="dxa" w:w="1905"/>
          </w:tcPr>
          <w:p>
            <w:pPr>
              <w:spacing w:after="0" w:line="252" w:lineRule="auto"/>
            </w:pPr>
            <w:r>
              <w:rPr>
                <w:sz w:val="17"/>
              </w:rPr>
              <w:t>LE / LP</w:t>
            </w:r>
          </w:p>
        </w:tc>
        <w:tc>
          <w:tcPr>
            <w:tcW w:type="dxa" w:w="7620"/>
          </w:tcPr>
          <w:p>
            <w:pPr>
              <w:spacing w:after="0" w:line="252" w:lineRule="auto"/>
            </w:pPr>
            <w:r>
              <w:rPr>
                <w:sz w:val="17"/>
              </w:rPr>
              <w:t>Ladeeinheit / Lagerplatz</w:t>
            </w:r>
          </w:p>
        </w:tc>
      </w:tr>
      <w:tr>
        <w:tc>
          <w:tcPr>
            <w:tcW w:type="dxa" w:w="1905"/>
          </w:tcPr>
          <w:p>
            <w:pPr>
              <w:spacing w:after="0" w:line="252" w:lineRule="auto"/>
            </w:pPr>
            <w:r>
              <w:rPr>
                <w:sz w:val="17"/>
              </w:rPr>
              <w:t>PBL / PTL / P2L</w:t>
            </w:r>
          </w:p>
        </w:tc>
        <w:tc>
          <w:tcPr>
            <w:tcW w:type="dxa" w:w="7620"/>
          </w:tcPr>
          <w:p>
            <w:pPr>
              <w:spacing w:after="0" w:line="252" w:lineRule="auto"/>
            </w:pPr>
            <w:r>
              <w:rPr>
                <w:sz w:val="17"/>
              </w:rPr>
              <w:t>Pick by Light / Put to Light</w:t>
            </w:r>
          </w:p>
        </w:tc>
      </w:tr>
      <w:tr>
        <w:tc>
          <w:tcPr>
            <w:tcW w:type="dxa" w:w="1905"/>
          </w:tcPr>
          <w:p>
            <w:pPr>
              <w:spacing w:after="0" w:line="252" w:lineRule="auto"/>
            </w:pPr>
            <w:r>
              <w:rPr>
                <w:sz w:val="17"/>
              </w:rPr>
              <w:t>PPLU</w:t>
            </w:r>
          </w:p>
        </w:tc>
        <w:tc>
          <w:tcPr>
            <w:tcW w:type="dxa" w:w="7620"/>
          </w:tcPr>
          <w:p>
            <w:pPr>
              <w:spacing w:after="0" w:line="252" w:lineRule="auto"/>
            </w:pPr>
            <w:r>
              <w:rPr>
                <w:sz w:val="17"/>
              </w:rPr>
              <w:t>Picking Plan Loading Unit (Kommissionier-Plan-LE)</w:t>
            </w:r>
          </w:p>
        </w:tc>
      </w:tr>
      <w:tr>
        <w:tc>
          <w:tcPr>
            <w:tcW w:type="dxa" w:w="1905"/>
          </w:tcPr>
          <w:p>
            <w:pPr>
              <w:spacing w:after="0" w:line="252" w:lineRule="auto"/>
            </w:pPr>
            <w:r>
              <w:rPr>
                <w:sz w:val="17"/>
              </w:rPr>
              <w:t>WA</w:t>
            </w:r>
          </w:p>
        </w:tc>
        <w:tc>
          <w:tcPr>
            <w:tcW w:type="dxa" w:w="7620"/>
          </w:tcPr>
          <w:p>
            <w:pPr>
              <w:spacing w:after="0" w:line="252" w:lineRule="auto"/>
            </w:pPr>
            <w:r>
              <w:rPr>
                <w:sz w:val="17"/>
              </w:rPr>
              <w:t>Warenausgang</w:t>
            </w:r>
          </w:p>
        </w:tc>
      </w:tr>
    </w:tbl>
    <w:p>
      <w:pPr>
        <w:pStyle w:val="BeschriftungSSI"/>
      </w:pPr>
      <w:r>
        <w:t>Tab. 21: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Zielplätze – Aufbau, Ablauf, Anlegen, Generieren und Abbauen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Zielplätze – Aufbau, Ablauf, Anlegen, Generieren und Abbauen</dc:title>
  <dc:subject>Zielplätze, Zielplatzgruppen, Kommissionierwagen und Ziel-LE einrichten, betreiben und zurückbauen (Abgleich mit 2.8)</dc:subject>
  <dc:creator>Marek,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