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Zielplätze – Aufbau, Ablauf, Einrichten, Generieren und Abbauen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Zielplätze und Zielplatzgruppen für Put to Light, Ziel-LE und Kommissionierwagen, mit Unterschieden in 2.8</w:t>
            </w:r>
          </w:p>
          <w:p>
            <w:pPr>
              <w:spacing w:after="0"/>
            </w:pPr>
            <w:r>
              <w:rPr>
                <w:b w:val="0"/>
                <w:color w:val="555555"/>
                <w:sz w:val="18"/>
              </w:rPr>
              <w:t>Marek, SSI SCHÄFER</w:t>
            </w:r>
          </w:p>
        </w:tc>
      </w:tr>
    </w:tbl>
    <w:p>
      <w:pPr>
        <w:spacing w:before="8617"/>
      </w:pPr>
      <w:r>
        <w:rPr>
          <w:sz w:val="18"/>
        </w:rPr>
        <w:t>V 1.0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Lesehinweise</w:t>
        <w:tab/>
        <w:t>4</w:t>
      </w:r>
    </w:p>
    <w:p>
      <w:pPr>
        <w:pStyle w:val="TOC2"/>
        <w:tabs>
          <w:tab w:pos="9524" w:val="right" w:leader="dot"/>
        </w:tabs>
      </w:pPr>
      <w:r>
        <w:t>1.3 Dokumentinformationen</w:t>
        <w:tab/>
        <w:t>4</w:t>
      </w:r>
    </w:p>
    <w:p>
      <w:pPr>
        <w:pStyle w:val="TOC1"/>
        <w:tabs>
          <w:tab w:pos="9524" w:val="right" w:leader="dot"/>
        </w:tabs>
      </w:pPr>
      <w:r>
        <w:t>2 Was ist ein Zielplatz?</w:t>
        <w:tab/>
        <w:t>5</w:t>
      </w:r>
    </w:p>
    <w:p>
      <w:pPr>
        <w:pStyle w:val="TOC2"/>
        <w:tabs>
          <w:tab w:pos="9524" w:val="right" w:leader="dot"/>
        </w:tabs>
      </w:pPr>
      <w:r>
        <w:t>2.1 Definition</w:t>
        <w:tab/>
        <w:t>5</w:t>
      </w:r>
    </w:p>
    <w:p>
      <w:pPr>
        <w:pStyle w:val="TOC2"/>
        <w:tabs>
          <w:tab w:pos="9524" w:val="right" w:leader="dot"/>
        </w:tabs>
      </w:pPr>
      <w:r>
        <w:t>2.2 Aufbau</w:t>
        <w:tab/>
        <w:t>5</w:t>
      </w:r>
    </w:p>
    <w:p>
      <w:pPr>
        <w:pStyle w:val="TOC2"/>
        <w:tabs>
          <w:tab w:pos="9524" w:val="right" w:leader="dot"/>
        </w:tabs>
      </w:pPr>
      <w:r>
        <w:t>2.3 Unterschiede in 2.8 auf einen Blick</w:t>
        <w:tab/>
        <w:t>6</w:t>
      </w:r>
    </w:p>
    <w:p>
      <w:pPr>
        <w:pStyle w:val="TOC1"/>
        <w:tabs>
          <w:tab w:pos="9524" w:val="right" w:leader="dot"/>
        </w:tabs>
      </w:pPr>
      <w:r>
        <w:t>3 Der Prozess mit Zielplätzen</w:t>
        <w:tab/>
        <w:t>8</w:t>
      </w:r>
    </w:p>
    <w:p>
      <w:pPr>
        <w:pStyle w:val="TOC2"/>
        <w:tabs>
          <w:tab w:pos="9524" w:val="right" w:leader="dot"/>
        </w:tabs>
      </w:pPr>
      <w:r>
        <w:t>3.1 Lebenszyklus</w:t>
        <w:tab/>
        <w:t>8</w:t>
      </w:r>
    </w:p>
    <w:p>
      <w:pPr>
        <w:pStyle w:val="TOC2"/>
        <w:tabs>
          <w:tab w:pos="9524" w:val="right" w:leader="dot"/>
        </w:tabs>
      </w:pPr>
      <w:r>
        <w:t>3.2 Ablauf in der Kommissionierung</w:t>
        <w:tab/>
        <w:t>8</w:t>
      </w:r>
    </w:p>
    <w:p>
      <w:pPr>
        <w:pStyle w:val="TOC2"/>
        <w:tabs>
          <w:tab w:pos="9524" w:val="right" w:leader="dot"/>
        </w:tabs>
      </w:pPr>
      <w:r>
        <w:t>3.3 „Ziel voll“ und Quittierung</w:t>
        <w:tab/>
        <w:t>9</w:t>
      </w:r>
    </w:p>
    <w:p>
      <w:pPr>
        <w:pStyle w:val="TOC2"/>
        <w:tabs>
          <w:tab w:pos="9524" w:val="right" w:leader="dot"/>
        </w:tabs>
      </w:pPr>
      <w:r>
        <w:t>3.4 Konsolidierung</w:t>
        <w:tab/>
        <w:t>10</w:t>
      </w:r>
    </w:p>
    <w:p>
      <w:pPr>
        <w:pStyle w:val="TOC1"/>
        <w:tabs>
          <w:tab w:pos="9524" w:val="right" w:leader="dot"/>
        </w:tabs>
      </w:pPr>
      <w:r>
        <w:t>4 Zielplätze einzeln anlegen und pflegen</w:t>
        <w:tab/>
        <w:t>11</w:t>
      </w:r>
    </w:p>
    <w:p>
      <w:pPr>
        <w:pStyle w:val="TOC2"/>
        <w:tabs>
          <w:tab w:pos="9524" w:val="right" w:leader="dot"/>
        </w:tabs>
      </w:pPr>
      <w:r>
        <w:t>4.1 Voraussetzungen</w:t>
        <w:tab/>
        <w:t>11</w:t>
      </w:r>
    </w:p>
    <w:p>
      <w:pPr>
        <w:pStyle w:val="TOC2"/>
        <w:tabs>
          <w:tab w:pos="9524" w:val="right" w:leader="dot"/>
        </w:tabs>
      </w:pPr>
      <w:r>
        <w:t>4.2 Zielplatz pflegen am Desktop (LM088)</w:t>
        <w:tab/>
        <w:t>11</w:t>
      </w:r>
    </w:p>
    <w:p>
      <w:pPr>
        <w:pStyle w:val="TOC2"/>
        <w:tabs>
          <w:tab w:pos="9524" w:val="right" w:leader="dot"/>
        </w:tabs>
      </w:pPr>
      <w:r>
        <w:t>4.3 Zielplatz pflegen am Touch-Client (LM044)</w:t>
        <w:tab/>
        <w:t>11</w:t>
      </w:r>
    </w:p>
    <w:p>
      <w:pPr>
        <w:pStyle w:val="TOC1"/>
        <w:tabs>
          <w:tab w:pos="9524" w:val="right" w:leader="dot"/>
        </w:tabs>
      </w:pPr>
      <w:r>
        <w:t>5 Viele Zielplätze generieren</w:t>
        <w:tab/>
        <w:t>13</w:t>
      </w:r>
    </w:p>
    <w:p>
      <w:pPr>
        <w:pStyle w:val="TOC2"/>
        <w:tabs>
          <w:tab w:pos="9524" w:val="right" w:leader="dot"/>
        </w:tabs>
      </w:pPr>
      <w:r>
        <w:t>5.1 Am Desktop (LM064 Zielplatz-Generator)</w:t>
        <w:tab/>
        <w:t>13</w:t>
      </w:r>
    </w:p>
    <w:p>
      <w:pPr>
        <w:pStyle w:val="TOC2"/>
        <w:tabs>
          <w:tab w:pos="9524" w:val="right" w:leader="dot"/>
        </w:tabs>
      </w:pPr>
      <w:r>
        <w:t>5.2 Am Touch-Client (LM106 Zielplätze generieren)</w:t>
        <w:tab/>
        <w:t>13</w:t>
      </w:r>
    </w:p>
    <w:p>
      <w:pPr>
        <w:pStyle w:val="TOC2"/>
        <w:tabs>
          <w:tab w:pos="9524" w:val="right" w:leader="dot"/>
        </w:tabs>
      </w:pPr>
      <w:r>
        <w:t>5.3 Kommissionierwagen generieren</w:t>
        <w:tab/>
        <w:t>13</w:t>
      </w:r>
    </w:p>
    <w:p>
      <w:pPr>
        <w:pStyle w:val="TOC2"/>
        <w:tabs>
          <w:tab w:pos="9524" w:val="right" w:leader="dot"/>
        </w:tabs>
      </w:pPr>
      <w:r>
        <w:t>5.4 Importieren</w:t>
        <w:tab/>
        <w:t>14</w:t>
      </w:r>
    </w:p>
    <w:p>
      <w:pPr>
        <w:pStyle w:val="TOC1"/>
        <w:tabs>
          <w:tab w:pos="9524" w:val="right" w:leader="dot"/>
        </w:tabs>
      </w:pPr>
      <w:r>
        <w:t>6 Ändern, Deaktivieren und Abbauen</w:t>
        <w:tab/>
        <w:t>15</w:t>
      </w:r>
    </w:p>
    <w:p>
      <w:pPr>
        <w:pStyle w:val="TOC2"/>
        <w:tabs>
          <w:tab w:pos="9524" w:val="right" w:leader="dot"/>
        </w:tabs>
      </w:pPr>
      <w:r>
        <w:t>6.1 Ändern</w:t>
        <w:tab/>
        <w:t>15</w:t>
      </w:r>
    </w:p>
    <w:p>
      <w:pPr>
        <w:pStyle w:val="TOC2"/>
        <w:tabs>
          <w:tab w:pos="9524" w:val="right" w:leader="dot"/>
        </w:tabs>
      </w:pPr>
      <w:r>
        <w:t>6.2 Deaktivieren</w:t>
        <w:tab/>
        <w:t>15</w:t>
      </w:r>
    </w:p>
    <w:p>
      <w:pPr>
        <w:pStyle w:val="TOC2"/>
        <w:tabs>
          <w:tab w:pos="9524" w:val="right" w:leader="dot"/>
        </w:tabs>
      </w:pPr>
      <w:r>
        <w:t>6.3 Löschen und Abbauen</w:t>
        <w:tab/>
        <w:t>15</w:t>
      </w:r>
    </w:p>
    <w:p>
      <w:pPr>
        <w:pStyle w:val="TOC1"/>
        <w:tabs>
          <w:tab w:pos="9524" w:val="right" w:leader="dot"/>
        </w:tabs>
      </w:pPr>
      <w:r>
        <w:t>7 Zielplätze etikettieren</w:t>
        <w:tab/>
        <w:t>16</w:t>
      </w:r>
    </w:p>
    <w:p>
      <w:pPr>
        <w:pStyle w:val="TOC1"/>
        <w:tabs>
          <w:tab w:pos="9524" w:val="right" w:leader="dot"/>
        </w:tabs>
      </w:pPr>
      <w:r>
        <w:t>8 Einstellungen und Parameter</w:t>
        <w:tab/>
        <w:t>17</w:t>
      </w:r>
    </w:p>
    <w:p>
      <w:pPr>
        <w:pStyle w:val="TOC2"/>
        <w:tabs>
          <w:tab w:pos="9524" w:val="right" w:leader="dot"/>
        </w:tabs>
      </w:pPr>
      <w:r>
        <w:t>8.1 Kommissionierbedarfstyp (MD017)</w:t>
        <w:tab/>
        <w:t>17</w:t>
      </w:r>
    </w:p>
    <w:p>
      <w:pPr>
        <w:pStyle w:val="TOC2"/>
        <w:tabs>
          <w:tab w:pos="9524" w:val="right" w:leader="dot"/>
        </w:tabs>
      </w:pPr>
      <w:r>
        <w:t>8.2 Globale Parameter (FW028)</w:t>
        <w:tab/>
        <w:t>17</w:t>
      </w:r>
    </w:p>
    <w:p>
      <w:pPr>
        <w:pStyle w:val="TOC1"/>
        <w:tabs>
          <w:tab w:pos="9524" w:val="right" w:leader="dot"/>
        </w:tabs>
      </w:pPr>
      <w:r>
        <w:t>9 Stolperfallen</w:t>
        <w:tab/>
        <w:t>18</w:t>
      </w:r>
    </w:p>
    <w:p>
      <w:pPr>
        <w:pStyle w:val="TOC1"/>
        <w:tabs>
          <w:tab w:pos="9524" w:val="right" w:leader="dot"/>
        </w:tabs>
      </w:pPr>
      <w:r>
        <w:t>10 Praxisbeispiele</w:t>
        <w:tab/>
        <w:t>19</w:t>
      </w:r>
    </w:p>
    <w:p>
      <w:pPr>
        <w:pStyle w:val="TOC2"/>
        <w:tabs>
          <w:tab w:pos="9524" w:val="right" w:leader="dot"/>
        </w:tabs>
      </w:pPr>
      <w:r>
        <w:t>10.1 Put-to-Light-Regal an zwei Zugriffsöffnungen auf- und abbauen</w:t>
        <w:tab/>
        <w:t>19</w:t>
      </w:r>
    </w:p>
    <w:p>
      <w:pPr>
        <w:pStyle w:val="TOC2"/>
        <w:tabs>
          <w:tab w:pos="9524" w:val="right" w:leader="dot"/>
        </w:tabs>
      </w:pPr>
      <w:r>
        <w:t>10.2 Kommissionierwagen mit sechs Plätzen</w:t>
        <w:tab/>
        <w:t>19</w:t>
      </w:r>
    </w:p>
    <w:p>
      <w:pPr>
        <w:pStyle w:val="TOC1"/>
        <w:tabs>
          <w:tab w:pos="9524" w:val="right" w:leader="dot"/>
        </w:tabs>
      </w:pPr>
      <w:r>
        <w:t>11 Fehlende Screenshots</w:t>
        <w:tab/>
        <w:t>21</w:t>
      </w:r>
    </w:p>
    <w:p>
      <w:pPr>
        <w:pStyle w:val="TOC1"/>
        <w:tabs>
          <w:tab w:pos="9524" w:val="right" w:leader="dot"/>
        </w:tabs>
      </w:pPr>
      <w:r>
        <w:t>12 Offene Fragen</w:t>
        <w:tab/>
        <w:t>22</w:t>
      </w:r>
    </w:p>
    <w:p>
      <w:pPr>
        <w:pStyle w:val="TOC1"/>
        <w:tabs>
          <w:tab w:pos="9524" w:val="right" w:leader="dot"/>
        </w:tabs>
      </w:pPr>
      <w:r>
        <w:t>13 Quellenverzeichnis</w:t>
        <w:tab/>
        <w:t>23</w:t>
      </w:r>
      <w:r>
        <w:fldChar w:fldCharType="end"/>
      </w:r>
    </w:p>
    <w:p>
      <w:pPr>
        <w:pStyle w:val="Heading1"/>
      </w:pPr>
      <w:r>
        <w:t>1 Über dieses Dokument</w:t>
      </w:r>
    </w:p>
    <w:p>
      <w:pPr>
        <w:pStyle w:val="Heading2"/>
      </w:pPr>
      <w:r>
        <w:t>1.1 Zweck</w:t>
      </w:r>
    </w:p>
    <w:p>
      <w:r>
        <w:t xml:space="preserve">Dieses How-to vertieft das Kapitel „Zielplätze“ aus dem How-to „Ladeeinheiten, Kubaturen, Zuordnungen und Zielplätze“ v1.0. Es beschreibt für </w:t>
      </w:r>
      <w:r>
        <w:rPr>
          <w:b/>
        </w:rPr>
        <w:t>WAMAS Lift &amp; Store 2.7</w:t>
      </w:r>
      <w:r>
        <w:t xml:space="preserve"> den ganzen Lebenszyklus eines Zielplatzes: was ein Zielplatz ist, wie er aufgebaut ist, wie er im Kommissionierprozess wirkt, wie man ihn einzeln pflegt, in Mengen generiert, etikettiert, ändert und wieder abbaut. Für jeden Schritt sind die Unterschiede zu </w:t>
      </w:r>
      <w:r>
        <w:rPr>
          <w:b/>
        </w:rPr>
        <w:t>2.8</w:t>
      </w:r>
      <w:r>
        <w:t xml:space="preserve"> genannt.</w:t>
      </w:r>
    </w:p>
    <w:p>
      <w:pPr>
        <w:pStyle w:val="Heading2"/>
      </w:pPr>
      <w:r>
        <w:t>1.2 Lesehinweise</w:t>
      </w:r>
    </w:p>
    <w:p>
      <w:pPr>
        <w:pStyle w:val="ListBullet"/>
      </w:pPr>
      <w:r>
        <w:t>Kapitel 2 erklärt Begriff und Aufbau, Kapitel 3 den Prozess, Kapitel 4 bis 7 die Einrichtung und den Abbau, Kapitel 8 die Einstellungen am Kommissionierbedarfstyp und die Parameter.</w:t>
      </w:r>
    </w:p>
    <w:p>
      <w:pPr>
        <w:pStyle w:val="ListBullet"/>
      </w:pPr>
      <w:r>
        <w:t xml:space="preserve">Dialog-, Registerkarten-, Feld- und Buttonnamen sind </w:t>
      </w:r>
      <w:r>
        <w:rPr>
          <w:b/>
        </w:rPr>
        <w:t>fett</w:t>
      </w:r>
      <w:r>
        <w:t xml:space="preserve"> gesetzt, wie im deutschen Handbuch 2.7. Parameter, Satzarten und Schnittstellenfelder stehen in </w:t>
      </w:r>
      <w:r>
        <w:rPr>
          <w:rFonts w:ascii="Consolas" w:hAnsi="Consolas" w:cs="Consolas" w:eastAsia="Consolas"/>
          <w:sz w:val="18"/>
        </w:rPr>
        <w:t>Monospace</w:t>
      </w:r>
      <w:r>
        <w:t>.</w:t>
      </w:r>
    </w:p>
    <w:p>
      <w:pPr>
        <w:pStyle w:val="ListBullet"/>
      </w:pPr>
      <w:r>
        <w:t>Alle Aussagen stammen aus den Quellen in Kapitel 13. Was dort nicht steht, ist als Lückenkasten markiert und wird nicht ergänzt. Beispiele sind konstruiert und gekennzeichnet.</w:t>
      </w:r>
    </w:p>
    <w:p>
      <w:pPr>
        <w:pStyle w:val="ListBullet"/>
      </w:pPr>
      <w:r>
        <w:t xml:space="preserve">Die Handbücher enthalten </w:t>
      </w:r>
      <w:r>
        <w:rPr>
          <w:b/>
        </w:rPr>
        <w:t>keine Screenshots</w:t>
      </w:r>
      <w:r>
        <w:t xml:space="preserve"> der Zielplatz-Dialoge. Abgebildet sind deshalb eigene Schemata und Auszüge aus der Icon-Liste des Benutzerhandbuchs. Welche Screenshots noch fehlen, steht in Kapitel 11.</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Zielplätze – Aufbau, Ablauf, Einrichten, Generieren und Abbauen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WAMAS-Berater, Projektingenieure,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 und Benutzerhandbuch 2.7 (deDE), Administrator und User Manual 2.8 (enUS), Interface Manual WLS–ERP 2.7/2.8, Telegrammbeispiele 2.7.0, Benutzerhandbuch R2.4 „Externe Lagerung“, Consultant Training 2024, How-to „LE, Kubaturen, Zuordnungen und Zielplätze“ v1.0</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15.10.2026</w:t>
            </w:r>
          </w:p>
        </w:tc>
        <w:tc>
          <w:tcPr>
            <w:tcW w:type="dxa" w:w="7422"/>
          </w:tcPr>
          <w:p>
            <w:pPr>
              <w:spacing w:after="0" w:line="252" w:lineRule="auto"/>
            </w:pPr>
            <w:r>
              <w:rPr>
                <w:sz w:val="17"/>
              </w:rPr>
              <w:t>Erstausgabe; vertieft Kap. 6 des How-tos „LE, Kubaturen, Zuordnungen und Zielplätze“ v1.0</w:t>
            </w:r>
          </w:p>
        </w:tc>
      </w:tr>
    </w:tbl>
    <w:p>
      <w:pPr>
        <w:pStyle w:val="BeschriftungSSI"/>
      </w:pPr>
      <w:r>
        <w:t>Tab. 1: Änderungshistorie</w:t>
      </w:r>
    </w:p>
    <w:p>
      <w:pPr>
        <w:pStyle w:val="Heading1"/>
      </w:pPr>
      <w:r>
        <w:t>2 Was ist ein Zielplatz?</w:t>
      </w:r>
    </w:p>
    <w:p>
      <w:pPr>
        <w:pStyle w:val="Heading2"/>
      </w:pPr>
      <w:r>
        <w:t>2.1 Definition</w:t>
      </w:r>
    </w:p>
    <w:p>
      <w:r>
        <w:t xml:space="preserve">Laut Administratorhandbuch bezeichnen Zielplätze </w:t>
      </w:r>
      <w:r>
        <w:rPr>
          <w:b/>
        </w:rPr>
        <w:t>Lagerplätze außerhalb eines SSI LOGIMAT</w:t>
      </w:r>
      <w:r>
        <w:t xml:space="preserve">, z. B. Lagerplätze auf einem Fachboden oder eine größere Gruppierung von Lagerplätzen. Sie werden z. B. bei </w:t>
      </w:r>
      <w:r>
        <w:rPr>
          <w:b/>
        </w:rPr>
        <w:t>Put to Light</w:t>
      </w:r>
      <w:r>
        <w:t xml:space="preserve"> verwendet. Das Benutzerhandbuch ergänzt: Zielplätze sind </w:t>
      </w:r>
      <w:r>
        <w:rPr>
          <w:b/>
        </w:rPr>
        <w:t>LE-orientiert</w:t>
      </w:r>
      <w:r>
        <w:t xml:space="preserve"> und werden zur Einlagerung von </w:t>
      </w:r>
      <w:r>
        <w:rPr>
          <w:b/>
        </w:rPr>
        <w:t>kommissionierten Ladeeinheiten</w:t>
      </w:r>
      <w:r>
        <w:t xml:space="preserve"> verwendet. Auf einem Zielplatz steht also die Ziel-LE (Versand-LE) eines Kommissionierbedarfs, nicht loser Bestand.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02"/>
        <w:gridCol w:w="4111"/>
        <w:gridCol w:w="4111"/>
      </w:tblGrid>
      <w:tr>
        <w:trPr>
          <w:tblHeader w:val="true"/>
        </w:trPr>
        <w:tc>
          <w:tcPr>
            <w:tcW w:type="dxa" w:w="1302"/>
            <w:shd w:val="clear" w:color="auto" w:fill="FEEE19"/>
          </w:tcPr>
          <w:p>
            <w:pPr>
              <w:spacing w:after="0"/>
            </w:pPr>
            <w:r>
              <w:rPr>
                <w:b/>
                <w:sz w:val="17"/>
              </w:rPr>
              <w:t>Merkmal</w:t>
            </w:r>
          </w:p>
        </w:tc>
        <w:tc>
          <w:tcPr>
            <w:tcW w:type="dxa" w:w="4111"/>
            <w:shd w:val="clear" w:color="auto" w:fill="FEEE19"/>
          </w:tcPr>
          <w:p>
            <w:pPr>
              <w:spacing w:after="0"/>
            </w:pPr>
            <w:r>
              <w:rPr>
                <w:b/>
                <w:sz w:val="17"/>
              </w:rPr>
              <w:t>Zielplatz</w:t>
            </w:r>
          </w:p>
        </w:tc>
        <w:tc>
          <w:tcPr>
            <w:tcW w:type="dxa" w:w="4111"/>
            <w:shd w:val="clear" w:color="auto" w:fill="FEEE19"/>
          </w:tcPr>
          <w:p>
            <w:pPr>
              <w:spacing w:after="0"/>
            </w:pPr>
            <w:r>
              <w:rPr>
                <w:b/>
                <w:sz w:val="17"/>
              </w:rPr>
              <w:t>Externer Lagerplatz (zum Vergleich)</w:t>
            </w:r>
          </w:p>
        </w:tc>
      </w:tr>
      <w:tr>
        <w:tc>
          <w:tcPr>
            <w:tcW w:type="dxa" w:w="1302"/>
          </w:tcPr>
          <w:p>
            <w:pPr>
              <w:spacing w:after="0" w:line="252" w:lineRule="auto"/>
            </w:pPr>
            <w:r>
              <w:rPr>
                <w:sz w:val="17"/>
              </w:rPr>
              <w:t>Zweck</w:t>
            </w:r>
          </w:p>
        </w:tc>
        <w:tc>
          <w:tcPr>
            <w:tcW w:type="dxa" w:w="4111"/>
          </w:tcPr>
          <w:p>
            <w:pPr>
              <w:spacing w:after="0" w:line="252" w:lineRule="auto"/>
            </w:pPr>
            <w:r>
              <w:rPr>
                <w:sz w:val="17"/>
              </w:rPr>
              <w:t>Ablage der Ziel-LE bei der Kommissionierung (PTL, Kommissionierwagen)</w:t>
            </w:r>
          </w:p>
        </w:tc>
        <w:tc>
          <w:tcPr>
            <w:tcW w:type="dxa" w:w="4111"/>
          </w:tcPr>
          <w:p>
            <w:pPr>
              <w:spacing w:after="0" w:line="252" w:lineRule="auto"/>
            </w:pPr>
            <w:r>
              <w:rPr>
                <w:sz w:val="17"/>
              </w:rPr>
              <w:t>Bestandsplatz für externe Artikel, Bedienung per Mobilterminal</w:t>
            </w:r>
          </w:p>
        </w:tc>
      </w:tr>
      <w:tr>
        <w:tc>
          <w:tcPr>
            <w:tcW w:type="dxa" w:w="1302"/>
          </w:tcPr>
          <w:p>
            <w:pPr>
              <w:spacing w:after="0" w:line="252" w:lineRule="auto"/>
            </w:pPr>
            <w:r>
              <w:rPr>
                <w:sz w:val="17"/>
              </w:rPr>
              <w:t>Pflege Desktop</w:t>
            </w:r>
          </w:p>
        </w:tc>
        <w:tc>
          <w:tcPr>
            <w:tcW w:type="dxa" w:w="4111"/>
          </w:tcPr>
          <w:p>
            <w:pPr>
              <w:spacing w:after="0" w:line="252" w:lineRule="auto"/>
            </w:pPr>
            <w:r>
              <w:rPr>
                <w:b/>
                <w:sz w:val="17"/>
              </w:rPr>
              <w:t>LM065</w:t>
            </w:r>
            <w:r>
              <w:rPr>
                <w:sz w:val="17"/>
              </w:rPr>
              <w:t xml:space="preserve"> / </w:t>
            </w:r>
            <w:r>
              <w:rPr>
                <w:b/>
                <w:sz w:val="17"/>
              </w:rPr>
              <w:t>LM064</w:t>
            </w:r>
            <w:r>
              <w:rPr>
                <w:sz w:val="17"/>
              </w:rPr>
              <w:t xml:space="preserve"> (Gruppe), </w:t>
            </w:r>
            <w:r>
              <w:rPr>
                <w:b/>
                <w:sz w:val="17"/>
              </w:rPr>
              <w:t>LM088</w:t>
            </w:r>
            <w:r>
              <w:rPr>
                <w:sz w:val="17"/>
              </w:rPr>
              <w:t xml:space="preserve"> (Platz), </w:t>
            </w:r>
            <w:r>
              <w:rPr>
                <w:b/>
                <w:sz w:val="17"/>
              </w:rPr>
              <w:t>LM152</w:t>
            </w:r>
            <w:r>
              <w:rPr>
                <w:sz w:val="17"/>
              </w:rPr>
              <w:t xml:space="preserve"> (Wagen)</w:t>
            </w:r>
          </w:p>
        </w:tc>
        <w:tc>
          <w:tcPr>
            <w:tcW w:type="dxa" w:w="4111"/>
          </w:tcPr>
          <w:p>
            <w:pPr>
              <w:spacing w:after="0" w:line="252" w:lineRule="auto"/>
            </w:pPr>
            <w:r>
              <w:rPr>
                <w:b/>
                <w:sz w:val="17"/>
              </w:rPr>
              <w:t>LM125</w:t>
            </w:r>
            <w:r>
              <w:rPr>
                <w:sz w:val="17"/>
              </w:rPr>
              <w:t xml:space="preserve"> / </w:t>
            </w:r>
            <w:r>
              <w:rPr>
                <w:b/>
                <w:sz w:val="17"/>
              </w:rPr>
              <w:t>LM126</w:t>
            </w:r>
            <w:r>
              <w:rPr>
                <w:sz w:val="17"/>
              </w:rPr>
              <w:t xml:space="preserve"> (Gruppe), </w:t>
            </w:r>
            <w:r>
              <w:rPr>
                <w:b/>
                <w:sz w:val="17"/>
              </w:rPr>
              <w:t>LM124</w:t>
            </w:r>
            <w:r>
              <w:rPr>
                <w:sz w:val="17"/>
              </w:rPr>
              <w:t xml:space="preserve"> / </w:t>
            </w:r>
            <w:r>
              <w:rPr>
                <w:b/>
                <w:sz w:val="17"/>
              </w:rPr>
              <w:t>LM127</w:t>
            </w:r>
            <w:r>
              <w:rPr>
                <w:sz w:val="17"/>
              </w:rPr>
              <w:t xml:space="preserve"> (Platz)</w:t>
            </w:r>
          </w:p>
        </w:tc>
      </w:tr>
      <w:tr>
        <w:tc>
          <w:tcPr>
            <w:tcW w:type="dxa" w:w="1302"/>
          </w:tcPr>
          <w:p>
            <w:pPr>
              <w:spacing w:after="0" w:line="252" w:lineRule="auto"/>
            </w:pPr>
            <w:r>
              <w:rPr>
                <w:sz w:val="17"/>
              </w:rPr>
              <w:t>Pflege Touch-Client</w:t>
            </w:r>
          </w:p>
        </w:tc>
        <w:tc>
          <w:tcPr>
            <w:tcW w:type="dxa" w:w="4111"/>
          </w:tcPr>
          <w:p>
            <w:pPr>
              <w:spacing w:after="0" w:line="252" w:lineRule="auto"/>
            </w:pPr>
            <w:r>
              <w:rPr>
                <w:b/>
                <w:sz w:val="17"/>
              </w:rPr>
              <w:t>LM044</w:t>
            </w:r>
            <w:r>
              <w:rPr>
                <w:sz w:val="17"/>
              </w:rPr>
              <w:t xml:space="preserve">, </w:t>
            </w:r>
            <w:r>
              <w:rPr>
                <w:b/>
                <w:sz w:val="17"/>
              </w:rPr>
              <w:t>LM106</w:t>
            </w:r>
            <w:r>
              <w:rPr>
                <w:sz w:val="17"/>
              </w:rPr>
              <w:t xml:space="preserve">, </w:t>
            </w:r>
            <w:r>
              <w:rPr>
                <w:b/>
                <w:sz w:val="17"/>
              </w:rPr>
              <w:t>LM046</w:t>
            </w:r>
            <w:r>
              <w:rPr>
                <w:sz w:val="17"/>
              </w:rPr>
              <w:t xml:space="preserve">, </w:t>
            </w:r>
            <w:r>
              <w:rPr>
                <w:b/>
                <w:sz w:val="17"/>
              </w:rPr>
              <w:t>LM107</w:t>
            </w:r>
            <w:r>
              <w:rPr>
                <w:sz w:val="17"/>
              </w:rPr>
              <w:t xml:space="preserve">; Wagen: </w:t>
            </w:r>
            <w:r>
              <w:rPr>
                <w:b/>
                <w:sz w:val="17"/>
              </w:rPr>
              <w:t>LM150</w:t>
            </w:r>
            <w:r>
              <w:rPr>
                <w:sz w:val="17"/>
              </w:rPr>
              <w:t>–</w:t>
            </w:r>
            <w:r>
              <w:rPr>
                <w:b/>
                <w:sz w:val="17"/>
              </w:rPr>
              <w:t>LM154</w:t>
            </w:r>
          </w:p>
        </w:tc>
        <w:tc>
          <w:tcPr>
            <w:tcW w:type="dxa" w:w="4111"/>
          </w:tcPr>
          <w:p>
            <w:pPr>
              <w:spacing w:after="0" w:line="252" w:lineRule="auto"/>
            </w:pPr>
            <w:r>
              <w:rPr>
                <w:sz w:val="17"/>
              </w:rPr>
              <w:t>–</w:t>
            </w:r>
          </w:p>
        </w:tc>
      </w:tr>
      <w:tr>
        <w:tc>
          <w:tcPr>
            <w:tcW w:type="dxa" w:w="1302"/>
          </w:tcPr>
          <w:p>
            <w:pPr>
              <w:spacing w:after="0" w:line="252" w:lineRule="auto"/>
            </w:pPr>
            <w:r>
              <w:rPr>
                <w:sz w:val="17"/>
              </w:rPr>
              <w:t>Bezug</w:t>
            </w:r>
          </w:p>
        </w:tc>
        <w:tc>
          <w:tcPr>
            <w:tcW w:type="dxa" w:w="4111"/>
          </w:tcPr>
          <w:p>
            <w:pPr>
              <w:spacing w:after="0" w:line="252" w:lineRule="auto"/>
            </w:pPr>
            <w:r>
              <w:rPr>
                <w:sz w:val="17"/>
              </w:rPr>
              <w:t>Zone + Zugriffsöffnung(en)</w:t>
            </w:r>
          </w:p>
        </w:tc>
        <w:tc>
          <w:tcPr>
            <w:tcW w:type="dxa" w:w="4111"/>
          </w:tcPr>
          <w:p>
            <w:pPr>
              <w:spacing w:after="0" w:line="252" w:lineRule="auto"/>
            </w:pPr>
            <w:r>
              <w:rPr>
                <w:sz w:val="17"/>
              </w:rPr>
              <w:t>Zone + Lagerfachträgertyp</w:t>
            </w:r>
          </w:p>
        </w:tc>
      </w:tr>
      <w:tr>
        <w:tc>
          <w:tcPr>
            <w:tcW w:type="dxa" w:w="1302"/>
          </w:tcPr>
          <w:p>
            <w:pPr>
              <w:spacing w:after="0" w:line="252" w:lineRule="auto"/>
            </w:pPr>
            <w:r>
              <w:rPr>
                <w:sz w:val="17"/>
              </w:rPr>
              <w:t>Import aus Datei</w:t>
            </w:r>
          </w:p>
        </w:tc>
        <w:tc>
          <w:tcPr>
            <w:tcW w:type="dxa" w:w="4111"/>
          </w:tcPr>
          <w:p>
            <w:pPr>
              <w:spacing w:after="0" w:line="252" w:lineRule="auto"/>
            </w:pPr>
            <w:r>
              <w:rPr>
                <w:sz w:val="17"/>
              </w:rPr>
              <w:t>nicht dokumentiert</w:t>
            </w:r>
          </w:p>
        </w:tc>
        <w:tc>
          <w:tcPr>
            <w:tcW w:type="dxa" w:w="4111"/>
          </w:tcPr>
          <w:p>
            <w:pPr>
              <w:spacing w:after="0" w:line="252" w:lineRule="auto"/>
            </w:pPr>
            <w:r>
              <w:rPr>
                <w:b/>
                <w:sz w:val="17"/>
              </w:rPr>
              <w:t>LM125</w:t>
            </w:r>
            <w:r>
              <w:rPr>
                <w:sz w:val="17"/>
              </w:rPr>
              <w:t xml:space="preserve"> › </w:t>
            </w:r>
            <w:r>
              <w:rPr>
                <w:b/>
                <w:sz w:val="17"/>
              </w:rPr>
              <w:t>Externe Lagerplätze importieren</w:t>
            </w:r>
          </w:p>
        </w:tc>
      </w:tr>
    </w:tbl>
    <w:p>
      <w:pPr>
        <w:pStyle w:val="BeschriftungSSI"/>
      </w:pPr>
      <w:r>
        <w:t>Tab. 2: Zielplatz und externer Lagerplatz</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Begriffe vermischt</w:t>
            </w:r>
          </w:p>
          <w:p>
            <w:pPr>
              <w:spacing w:after="40"/>
            </w:pPr>
            <w:r>
              <w:rPr>
                <w:sz w:val="19"/>
              </w:rPr>
              <w:t>Die Handbücher nennen Zielplätze an mehreren Stellen „externe Lagerplätze“: im Generator (</w:t>
            </w:r>
            <w:r>
              <w:rPr>
                <w:b/>
                <w:sz w:val="19"/>
              </w:rPr>
              <w:t>LM064</w:t>
            </w:r>
            <w:r>
              <w:rPr>
                <w:sz w:val="19"/>
              </w:rPr>
              <w:t xml:space="preserve">, </w:t>
            </w:r>
            <w:r>
              <w:rPr>
                <w:b/>
                <w:sz w:val="19"/>
              </w:rPr>
              <w:t>LM106</w:t>
            </w:r>
            <w:r>
              <w:rPr>
                <w:sz w:val="19"/>
              </w:rPr>
              <w:t xml:space="preserve">: „Namen für die externe Lagerplatzgruppe“), im Buchungsdialog </w:t>
            </w:r>
            <w:r>
              <w:rPr>
                <w:b/>
                <w:sz w:val="19"/>
              </w:rPr>
              <w:t>LM107 LE auf externem Lagerplatz verwalten</w:t>
            </w:r>
            <w:r>
              <w:rPr>
                <w:sz w:val="19"/>
              </w:rPr>
              <w:t>, in der Icon-Liste („</w:t>
            </w:r>
            <w:r>
              <w:rPr>
                <w:b/>
                <w:sz w:val="19"/>
              </w:rPr>
              <w:t>LM044 Externe Lagerplätze</w:t>
            </w:r>
            <w:r>
              <w:rPr>
                <w:sz w:val="19"/>
              </w:rPr>
              <w:t xml:space="preserve">“) und im Parameter </w:t>
            </w:r>
            <w:r>
              <w:rPr>
                <w:rFonts w:ascii="Consolas" w:hAnsi="Consolas" w:cs="Consolas" w:eastAsia="Consolas"/>
                <w:sz w:val="17"/>
              </w:rPr>
              <w:t>logimat.picking.askBookLuOnExternalLocation</w:t>
            </w:r>
            <w:r>
              <w:rPr>
                <w:sz w:val="19"/>
              </w:rPr>
              <w:t>. Gemeint sind in diesen Fällen Zielplätze. Im Projekt die Begriffe deshalb immer mit Dialognummer nennen.</w:t>
            </w:r>
          </w:p>
        </w:tc>
      </w:tr>
    </w:tbl>
    <w:p>
      <w:pPr>
        <w:spacing w:after="40"/>
      </w:pPr>
    </w:p>
    <w:p>
      <w:pPr>
        <w:pStyle w:val="Quelle"/>
      </w:pPr>
      <w:r>
        <w:rPr>
          <w:b/>
        </w:rPr>
        <w:t xml:space="preserve">Quelle: </w:t>
      </w:r>
      <w:r>
        <w:rPr>
          <w:sz w:val="17"/>
        </w:rPr>
        <w:t>Administratorhandbuch 2.7, Kap. 3.1.11–3.1.14, 3.1.17; Benutzerhandbuch 2.7, Kap. 5.4, 5.5, Icon-Liste S. 165; How-to „Externe Lagerprozesse“ v1.0, Kap. 4.2</w:t>
      </w:r>
    </w:p>
    <w:p>
      <w:pPr>
        <w:pStyle w:val="Heading2"/>
      </w:pPr>
      <w:r>
        <w:t>2.2 Aufbau</w:t>
      </w:r>
    </w:p>
    <w:p>
      <w:r>
        <w:t xml:space="preserve">Ein Zielplatz hängt immer an einer </w:t>
      </w:r>
      <w:r>
        <w:rPr>
          <w:b/>
        </w:rPr>
        <w:t>Zielplatzgruppe</w:t>
      </w:r>
      <w:r>
        <w:t xml:space="preserve">; die Gruppe gehört zu einer </w:t>
      </w:r>
      <w:r>
        <w:rPr>
          <w:b/>
        </w:rPr>
        <w:t>WAMAS Lift &amp; Store-Zone</w:t>
      </w:r>
      <w:r>
        <w:t xml:space="preserve"> an einem </w:t>
      </w:r>
      <w:r>
        <w:rPr>
          <w:b/>
        </w:rPr>
        <w:t>Lagerstandort</w:t>
      </w:r>
      <w:r>
        <w:t xml:space="preserve"> und ist einer oder mehreren </w:t>
      </w:r>
      <w:r>
        <w:rPr>
          <w:b/>
        </w:rPr>
        <w:t>Zugriffsöffnungen</w:t>
      </w:r>
      <w:r>
        <w:t xml:space="preserve"> zugeordnet. Abb. 1 zeigt die Bausteine.</w:t>
      </w:r>
    </w:p>
    <w:p>
      <w:pPr>
        <w:keepNext/>
      </w:pPr>
      <w:r>
        <w:drawing>
          <wp:inline xmlns:a="http://schemas.openxmlformats.org/drawingml/2006/main" xmlns:pic="http://schemas.openxmlformats.org/drawingml/2006/picture">
            <wp:extent cx="5760000" cy="3108379"/>
            <wp:docPr id="104" name="Picture 104"/>
            <wp:cNvGraphicFramePr>
              <a:graphicFrameLocks noChangeAspect="1"/>
            </wp:cNvGraphicFramePr>
            <a:graphic>
              <a:graphicData uri="http://schemas.openxmlformats.org/drawingml/2006/picture">
                <pic:pic>
                  <pic:nvPicPr>
                    <pic:cNvPr id="0" name="abb_aufbau.png"/>
                    <pic:cNvPicPr/>
                  </pic:nvPicPr>
                  <pic:blipFill>
                    <a:blip r:embed="rId14"/>
                    <a:stretch>
                      <a:fillRect/>
                    </a:stretch>
                  </pic:blipFill>
                  <pic:spPr>
                    <a:xfrm>
                      <a:off x="0" y="0"/>
                      <a:ext cx="5760000" cy="3108379"/>
                    </a:xfrm>
                    <a:prstGeom prst="rect"/>
                  </pic:spPr>
                </pic:pic>
              </a:graphicData>
            </a:graphic>
          </wp:inline>
        </w:drawing>
      </w:r>
    </w:p>
    <w:p>
      <w:pPr>
        <w:pStyle w:val="BeschriftungSSI"/>
      </w:pPr>
      <w:r>
        <w:t>Abb. 1: Bausteine eines Zielplatzes und ihre Dialoge (eigene Darstellung)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55"/>
        <w:gridCol w:w="3969"/>
        <w:gridCol w:w="1719"/>
        <w:gridCol w:w="2381"/>
      </w:tblGrid>
      <w:tr>
        <w:trPr>
          <w:tblHeader w:val="true"/>
        </w:trPr>
        <w:tc>
          <w:tcPr>
            <w:tcW w:type="dxa" w:w="1455"/>
            <w:shd w:val="clear" w:color="auto" w:fill="FEEE19"/>
          </w:tcPr>
          <w:p>
            <w:pPr>
              <w:spacing w:after="0"/>
            </w:pPr>
            <w:r>
              <w:rPr>
                <w:b/>
                <w:sz w:val="17"/>
              </w:rPr>
              <w:t>Baustein</w:t>
            </w:r>
          </w:p>
        </w:tc>
        <w:tc>
          <w:tcPr>
            <w:tcW w:type="dxa" w:w="3969"/>
            <w:shd w:val="clear" w:color="auto" w:fill="FEEE19"/>
          </w:tcPr>
          <w:p>
            <w:pPr>
              <w:spacing w:after="0"/>
            </w:pPr>
            <w:r>
              <w:rPr>
                <w:b/>
                <w:sz w:val="17"/>
              </w:rPr>
              <w:t>Was er festlegt</w:t>
            </w:r>
          </w:p>
        </w:tc>
        <w:tc>
          <w:tcPr>
            <w:tcW w:type="dxa" w:w="1720"/>
            <w:shd w:val="clear" w:color="auto" w:fill="FEEE19"/>
          </w:tcPr>
          <w:p>
            <w:pPr>
              <w:spacing w:after="0"/>
            </w:pPr>
            <w:r>
              <w:rPr>
                <w:b/>
                <w:sz w:val="17"/>
              </w:rPr>
              <w:t>Dialog</w:t>
            </w:r>
          </w:p>
        </w:tc>
        <w:tc>
          <w:tcPr>
            <w:tcW w:type="dxa" w:w="2381"/>
            <w:shd w:val="clear" w:color="auto" w:fill="FEEE19"/>
          </w:tcPr>
          <w:p>
            <w:pPr>
              <w:spacing w:after="0"/>
            </w:pPr>
            <w:r>
              <w:rPr>
                <w:b/>
                <w:sz w:val="17"/>
              </w:rPr>
              <w:t>Quelle</w:t>
            </w:r>
          </w:p>
        </w:tc>
      </w:tr>
      <w:tr>
        <w:tc>
          <w:tcPr>
            <w:tcW w:type="dxa" w:w="1455"/>
          </w:tcPr>
          <w:p>
            <w:pPr>
              <w:spacing w:after="0" w:line="252" w:lineRule="auto"/>
            </w:pPr>
            <w:r>
              <w:rPr>
                <w:b/>
                <w:sz w:val="17"/>
              </w:rPr>
              <w:t>Zone</w:t>
            </w:r>
          </w:p>
        </w:tc>
        <w:tc>
          <w:tcPr>
            <w:tcW w:type="dxa" w:w="3969"/>
          </w:tcPr>
          <w:p>
            <w:pPr>
              <w:spacing w:after="0" w:line="252" w:lineRule="auto"/>
            </w:pPr>
            <w:r>
              <w:rPr>
                <w:sz w:val="17"/>
              </w:rPr>
              <w:t xml:space="preserve">Zielplatzgruppen werden immer einer Zone zugeordnet; im Generator wird </w:t>
            </w:r>
            <w:r>
              <w:rPr>
                <w:rFonts w:ascii="Consolas" w:hAnsi="Consolas" w:cs="Consolas" w:eastAsia="Consolas"/>
                <w:sz w:val="15"/>
              </w:rPr>
              <w:t>WAMAS Lift &amp; Store-Zone</w:t>
            </w:r>
            <w:r>
              <w:rPr>
                <w:sz w:val="17"/>
              </w:rPr>
              <w:t xml:space="preserve"> mit Lagerstandort gewählt</w:t>
            </w:r>
          </w:p>
        </w:tc>
        <w:tc>
          <w:tcPr>
            <w:tcW w:type="dxa" w:w="1720"/>
          </w:tcPr>
          <w:p>
            <w:pPr>
              <w:spacing w:after="0" w:line="252" w:lineRule="auto"/>
            </w:pPr>
            <w:r>
              <w:rPr>
                <w:sz w:val="17"/>
              </w:rPr>
              <w:t>LM069, LM064</w:t>
            </w:r>
          </w:p>
        </w:tc>
        <w:tc>
          <w:tcPr>
            <w:tcW w:type="dxa" w:w="2381"/>
          </w:tcPr>
          <w:p>
            <w:pPr>
              <w:spacing w:after="0" w:line="252" w:lineRule="auto"/>
            </w:pPr>
            <w:r>
              <w:rPr>
                <w:sz w:val="17"/>
              </w:rPr>
              <w:t>AH 2.7, 3.1.1.1, 3.1.12</w:t>
            </w:r>
          </w:p>
        </w:tc>
      </w:tr>
      <w:tr>
        <w:tc>
          <w:tcPr>
            <w:tcW w:type="dxa" w:w="1455"/>
          </w:tcPr>
          <w:p>
            <w:pPr>
              <w:spacing w:after="0" w:line="252" w:lineRule="auto"/>
            </w:pPr>
            <w:r>
              <w:rPr>
                <w:b/>
                <w:sz w:val="17"/>
              </w:rPr>
              <w:t>Zielplatzgruppe</w:t>
            </w:r>
          </w:p>
        </w:tc>
        <w:tc>
          <w:tcPr>
            <w:tcW w:type="dxa" w:w="3969"/>
          </w:tcPr>
          <w:p>
            <w:pPr>
              <w:spacing w:after="0" w:line="252" w:lineRule="auto"/>
            </w:pPr>
            <w:r>
              <w:rPr>
                <w:sz w:val="17"/>
              </w:rPr>
              <w:t>Entsteht beim Generieren; trägt Name, Spalten × Reihen</w:t>
            </w:r>
          </w:p>
        </w:tc>
        <w:tc>
          <w:tcPr>
            <w:tcW w:type="dxa" w:w="1720"/>
          </w:tcPr>
          <w:p>
            <w:pPr>
              <w:spacing w:after="0" w:line="252" w:lineRule="auto"/>
            </w:pPr>
            <w:r>
              <w:rPr>
                <w:sz w:val="17"/>
              </w:rPr>
              <w:t>LM065, LM064, LM106</w:t>
            </w:r>
          </w:p>
        </w:tc>
        <w:tc>
          <w:tcPr>
            <w:tcW w:type="dxa" w:w="2381"/>
          </w:tcPr>
          <w:p>
            <w:pPr>
              <w:spacing w:after="0" w:line="252" w:lineRule="auto"/>
            </w:pPr>
            <w:r>
              <w:rPr>
                <w:sz w:val="17"/>
              </w:rPr>
              <w:t>AH 2.7, 3.1.12; BH 2.7, 5.4.1</w:t>
            </w:r>
          </w:p>
        </w:tc>
      </w:tr>
      <w:tr>
        <w:tc>
          <w:tcPr>
            <w:tcW w:type="dxa" w:w="1455"/>
          </w:tcPr>
          <w:p>
            <w:pPr>
              <w:spacing w:after="0" w:line="252" w:lineRule="auto"/>
            </w:pPr>
            <w:r>
              <w:rPr>
                <w:b/>
                <w:sz w:val="17"/>
              </w:rPr>
              <w:t>Zugriffsöffnung</w:t>
            </w:r>
          </w:p>
        </w:tc>
        <w:tc>
          <w:tcPr>
            <w:tcW w:type="dxa" w:w="3969"/>
          </w:tcPr>
          <w:p>
            <w:pPr>
              <w:spacing w:after="0" w:line="252" w:lineRule="auto"/>
            </w:pPr>
            <w:r>
              <w:rPr>
                <w:sz w:val="17"/>
              </w:rPr>
              <w:t xml:space="preserve">Desktop: Kontextmenü </w:t>
            </w:r>
            <w:r>
              <w:rPr>
                <w:b/>
                <w:sz w:val="17"/>
              </w:rPr>
              <w:t>Zugriffsöffnung zuordnen</w:t>
            </w:r>
            <w:r>
              <w:rPr>
                <w:sz w:val="17"/>
              </w:rPr>
              <w:t xml:space="preserve"> → </w:t>
            </w:r>
            <w:r>
              <w:rPr>
                <w:b/>
                <w:sz w:val="17"/>
              </w:rPr>
              <w:t>FW005</w:t>
            </w:r>
            <w:r>
              <w:rPr>
                <w:sz w:val="17"/>
              </w:rPr>
              <w:t xml:space="preserve">, mindestens eine Zugriffsöffnung. Touch: Plätze werden automatisch der </w:t>
            </w:r>
            <w:r>
              <w:rPr>
                <w:b/>
                <w:sz w:val="17"/>
              </w:rPr>
              <w:t>aktiven</w:t>
            </w:r>
            <w:r>
              <w:rPr>
                <w:sz w:val="17"/>
              </w:rPr>
              <w:t xml:space="preserve"> Zugriffsöffnung zugeordnet</w:t>
            </w:r>
          </w:p>
        </w:tc>
        <w:tc>
          <w:tcPr>
            <w:tcW w:type="dxa" w:w="1720"/>
          </w:tcPr>
          <w:p>
            <w:pPr>
              <w:spacing w:after="0" w:line="252" w:lineRule="auto"/>
            </w:pPr>
            <w:r>
              <w:rPr>
                <w:sz w:val="17"/>
              </w:rPr>
              <w:t>LM065, FW005, LM044</w:t>
            </w:r>
          </w:p>
        </w:tc>
        <w:tc>
          <w:tcPr>
            <w:tcW w:type="dxa" w:w="2381"/>
          </w:tcPr>
          <w:p>
            <w:pPr>
              <w:spacing w:after="0" w:line="252" w:lineRule="auto"/>
            </w:pPr>
            <w:r>
              <w:rPr>
                <w:sz w:val="17"/>
              </w:rPr>
              <w:t>AH 2.7, 3.1.12; BH 2.7, 5.4.1, 5.4.3</w:t>
            </w:r>
          </w:p>
        </w:tc>
      </w:tr>
      <w:tr>
        <w:tc>
          <w:tcPr>
            <w:tcW w:type="dxa" w:w="1455"/>
          </w:tcPr>
          <w:p>
            <w:pPr>
              <w:spacing w:after="0" w:line="252" w:lineRule="auto"/>
            </w:pPr>
            <w:r>
              <w:rPr>
                <w:b/>
                <w:sz w:val="17"/>
              </w:rPr>
              <w:t>Zielplatz</w:t>
            </w:r>
          </w:p>
        </w:tc>
        <w:tc>
          <w:tcPr>
            <w:tcW w:type="dxa" w:w="3969"/>
          </w:tcPr>
          <w:p>
            <w:pPr>
              <w:spacing w:after="0" w:line="252" w:lineRule="auto"/>
            </w:pPr>
            <w:r>
              <w:rPr>
                <w:rFonts w:ascii="Consolas" w:hAnsi="Consolas" w:cs="Consolas" w:eastAsia="Consolas"/>
                <w:sz w:val="15"/>
              </w:rPr>
              <w:t>Einlagerungsreihenfolge von Zielplatz</w:t>
            </w:r>
            <w:r>
              <w:rPr>
                <w:sz w:val="17"/>
              </w:rPr>
              <w:t xml:space="preserve">, </w:t>
            </w:r>
            <w:r>
              <w:rPr>
                <w:b/>
                <w:sz w:val="17"/>
              </w:rPr>
              <w:t>Uneingeschränkte Kapazität</w:t>
            </w:r>
            <w:r>
              <w:rPr>
                <w:sz w:val="17"/>
              </w:rPr>
              <w:t xml:space="preserve">, </w:t>
            </w:r>
            <w:r>
              <w:rPr>
                <w:rFonts w:ascii="Consolas" w:hAnsi="Consolas" w:cs="Consolas" w:eastAsia="Consolas"/>
                <w:sz w:val="15"/>
              </w:rPr>
              <w:t>Zielplatzkennung</w:t>
            </w:r>
            <w:r>
              <w:rPr>
                <w:sz w:val="17"/>
              </w:rPr>
              <w:t xml:space="preserve">, Abmessung; Bereich </w:t>
            </w:r>
            <w:r>
              <w:rPr>
                <w:b/>
                <w:sz w:val="17"/>
              </w:rPr>
              <w:t>Ladeeinheit</w:t>
            </w:r>
            <w:r>
              <w:rPr>
                <w:sz w:val="17"/>
              </w:rPr>
              <w:t xml:space="preserve"> zeigt die gebuchte LE</w:t>
            </w:r>
          </w:p>
        </w:tc>
        <w:tc>
          <w:tcPr>
            <w:tcW w:type="dxa" w:w="1720"/>
          </w:tcPr>
          <w:p>
            <w:pPr>
              <w:spacing w:after="0" w:line="252" w:lineRule="auto"/>
            </w:pPr>
            <w:r>
              <w:rPr>
                <w:sz w:val="17"/>
              </w:rPr>
              <w:t>LM088, LM107</w:t>
            </w:r>
          </w:p>
        </w:tc>
        <w:tc>
          <w:tcPr>
            <w:tcW w:type="dxa" w:w="2381"/>
          </w:tcPr>
          <w:p>
            <w:pPr>
              <w:spacing w:after="0" w:line="252" w:lineRule="auto"/>
            </w:pPr>
            <w:r>
              <w:rPr>
                <w:sz w:val="17"/>
              </w:rPr>
              <w:t>AH 2.7, 3.1.11.1; BH 2.7, 5.4.4</w:t>
            </w:r>
          </w:p>
        </w:tc>
      </w:tr>
      <w:tr>
        <w:tc>
          <w:tcPr>
            <w:tcW w:type="dxa" w:w="1455"/>
          </w:tcPr>
          <w:p>
            <w:pPr>
              <w:spacing w:after="0" w:line="252" w:lineRule="auto"/>
            </w:pPr>
            <w:r>
              <w:rPr>
                <w:b/>
                <w:sz w:val="17"/>
              </w:rPr>
              <w:t>Ziel-LE</w:t>
            </w:r>
          </w:p>
        </w:tc>
        <w:tc>
          <w:tcPr>
            <w:tcW w:type="dxa" w:w="3969"/>
          </w:tcPr>
          <w:p>
            <w:pPr>
              <w:spacing w:after="0" w:line="252" w:lineRule="auto"/>
            </w:pPr>
            <w:r>
              <w:rPr>
                <w:sz w:val="17"/>
              </w:rPr>
              <w:t>Externe LE bzw. Kommissionier-Plan-LE, die auf den Zielplatz gebucht wird</w:t>
            </w:r>
          </w:p>
        </w:tc>
        <w:tc>
          <w:tcPr>
            <w:tcW w:type="dxa" w:w="1720"/>
          </w:tcPr>
          <w:p>
            <w:pPr>
              <w:spacing w:after="0" w:line="252" w:lineRule="auto"/>
            </w:pPr>
            <w:r>
              <w:rPr>
                <w:sz w:val="17"/>
              </w:rPr>
              <w:t>LM045, LM074, LM107</w:t>
            </w:r>
          </w:p>
        </w:tc>
        <w:tc>
          <w:tcPr>
            <w:tcW w:type="dxa" w:w="2381"/>
          </w:tcPr>
          <w:p>
            <w:pPr>
              <w:spacing w:after="0" w:line="252" w:lineRule="auto"/>
            </w:pPr>
            <w:r>
              <w:rPr>
                <w:sz w:val="17"/>
              </w:rPr>
              <w:t>BH 2.7, 5.4.5, 6.7.1</w:t>
            </w:r>
          </w:p>
        </w:tc>
      </w:tr>
      <w:tr>
        <w:tc>
          <w:tcPr>
            <w:tcW w:type="dxa" w:w="1455"/>
          </w:tcPr>
          <w:p>
            <w:pPr>
              <w:spacing w:after="0" w:line="252" w:lineRule="auto"/>
            </w:pPr>
            <w:r>
              <w:rPr>
                <w:b/>
                <w:sz w:val="17"/>
              </w:rPr>
              <w:t>Kommissionierwagen</w:t>
            </w:r>
          </w:p>
        </w:tc>
        <w:tc>
          <w:tcPr>
            <w:tcW w:type="dxa" w:w="3969"/>
          </w:tcPr>
          <w:p>
            <w:pPr>
              <w:spacing w:after="0" w:line="252" w:lineRule="auto"/>
            </w:pPr>
            <w:r>
              <w:rPr>
                <w:sz w:val="17"/>
              </w:rPr>
              <w:t xml:space="preserve">Sonderform einer Zielplatzgruppe mit mehreren Ziel-LE; zusätzlich </w:t>
            </w:r>
            <w:r>
              <w:rPr>
                <w:rFonts w:ascii="Consolas" w:hAnsi="Consolas" w:cs="Consolas" w:eastAsia="Consolas"/>
                <w:sz w:val="15"/>
              </w:rPr>
              <w:t>Lagerfachträgertyp</w:t>
            </w:r>
          </w:p>
        </w:tc>
        <w:tc>
          <w:tcPr>
            <w:tcW w:type="dxa" w:w="1720"/>
          </w:tcPr>
          <w:p>
            <w:pPr>
              <w:spacing w:after="0" w:line="252" w:lineRule="auto"/>
            </w:pPr>
            <w:r>
              <w:rPr>
                <w:sz w:val="17"/>
              </w:rPr>
              <w:t>LM152, LM153, LM151, LM154</w:t>
            </w:r>
          </w:p>
        </w:tc>
        <w:tc>
          <w:tcPr>
            <w:tcW w:type="dxa" w:w="2381"/>
          </w:tcPr>
          <w:p>
            <w:pPr>
              <w:spacing w:after="0" w:line="252" w:lineRule="auto"/>
            </w:pPr>
            <w:r>
              <w:rPr>
                <w:sz w:val="17"/>
              </w:rPr>
              <w:t>AH 2.7, 3.1.17; BH 2.7, 5.5</w:t>
            </w:r>
          </w:p>
        </w:tc>
      </w:tr>
      <w:tr>
        <w:tc>
          <w:tcPr>
            <w:tcW w:type="dxa" w:w="1455"/>
          </w:tcPr>
          <w:p>
            <w:pPr>
              <w:spacing w:after="0" w:line="252" w:lineRule="auto"/>
            </w:pPr>
            <w:r>
              <w:rPr>
                <w:b/>
                <w:sz w:val="17"/>
              </w:rPr>
              <w:t>Put to Light</w:t>
            </w:r>
          </w:p>
        </w:tc>
        <w:tc>
          <w:tcPr>
            <w:tcW w:type="dxa" w:w="3969"/>
          </w:tcPr>
          <w:p>
            <w:pPr>
              <w:spacing w:after="0" w:line="252" w:lineRule="auto"/>
            </w:pPr>
            <w:r>
              <w:rPr>
                <w:sz w:val="17"/>
              </w:rPr>
              <w:t>Batchkommissionierung über PTL am Kommissionierbedarfstyp; 2.8: KBS-Pickfaces mit Lagerplatz</w:t>
            </w:r>
          </w:p>
        </w:tc>
        <w:tc>
          <w:tcPr>
            <w:tcW w:type="dxa" w:w="1720"/>
          </w:tcPr>
          <w:p>
            <w:pPr>
              <w:spacing w:after="0" w:line="252" w:lineRule="auto"/>
            </w:pPr>
            <w:r>
              <w:rPr>
                <w:sz w:val="17"/>
              </w:rPr>
              <w:t>MD017, LM301 (2.8)</w:t>
            </w:r>
          </w:p>
        </w:tc>
        <w:tc>
          <w:tcPr>
            <w:tcW w:type="dxa" w:w="2381"/>
          </w:tcPr>
          <w:p>
            <w:pPr>
              <w:spacing w:after="0" w:line="252" w:lineRule="auto"/>
            </w:pPr>
            <w:r>
              <w:rPr>
                <w:sz w:val="17"/>
              </w:rPr>
              <w:t>AH 2.7, 3.6.1.10; AH 2.8, 3.9.2.3.3</w:t>
            </w:r>
          </w:p>
        </w:tc>
      </w:tr>
    </w:tbl>
    <w:p>
      <w:pPr>
        <w:pStyle w:val="BeschriftungSSI"/>
      </w:pPr>
      <w:r>
        <w:t>Tab. 3: Bausteine eines Zielplatzes</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Touch-Client</w:t>
            </w:r>
          </w:p>
          <w:p>
            <w:pPr>
              <w:spacing w:after="40"/>
            </w:pPr>
            <w:r>
              <w:rPr>
                <w:sz w:val="19"/>
              </w:rPr>
              <w:t>Das Benutzerhandbuch 2.7 erklärt: Wird ein Zielplatz einer Zielplatzgruppe zugeordnet (</w:t>
            </w:r>
            <w:r>
              <w:rPr>
                <w:b/>
                <w:sz w:val="19"/>
              </w:rPr>
              <w:t>LM046</w:t>
            </w:r>
            <w:r>
              <w:rPr>
                <w:sz w:val="19"/>
              </w:rPr>
              <w:t>), wird er der Zugriffsöffnung zugeordnet, die dieser Zielplatzgruppe zugeordnet ist. Die Zugriffsöffnung „wandert“ also über die Gruppe zum Platz.</w:t>
            </w:r>
          </w:p>
        </w:tc>
      </w:tr>
    </w:tbl>
    <w:p>
      <w:pPr>
        <w:spacing w:after="40"/>
      </w:pPr>
    </w:p>
    <w:p>
      <w:pPr>
        <w:pStyle w:val="Quelle"/>
      </w:pPr>
      <w:r>
        <w:rPr>
          <w:b/>
        </w:rPr>
        <w:t xml:space="preserve">Quelle: </w:t>
      </w:r>
      <w:r>
        <w:rPr>
          <w:sz w:val="17"/>
        </w:rPr>
        <w:t>Administratorhandbuch 2.7, Kap. 3.1.1.1, 3.1.11–3.1.12, 3.1.17, 3.6.1.10; Benutzerhandbuch 2.7, Kap. 5.4–5.5; Administrator Manual 2.8, Kap. 3.1.12–3.1.13, 3.9.2.3.3</w:t>
      </w:r>
    </w:p>
    <w:p>
      <w:pPr>
        <w:pStyle w:val="Heading2"/>
      </w:pPr>
      <w:r>
        <w:t>2.3 Unterschiede in 2.8 auf einen Blick</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93"/>
        <w:gridCol w:w="3101"/>
        <w:gridCol w:w="4430"/>
      </w:tblGrid>
      <w:tr>
        <w:trPr>
          <w:tblHeader w:val="true"/>
        </w:trPr>
        <w:tc>
          <w:tcPr>
            <w:tcW w:type="dxa" w:w="1993"/>
            <w:shd w:val="clear" w:color="auto" w:fill="FEEE19"/>
          </w:tcPr>
          <w:p>
            <w:pPr>
              <w:spacing w:after="0"/>
            </w:pPr>
            <w:r>
              <w:rPr>
                <w:b/>
                <w:sz w:val="17"/>
              </w:rPr>
              <w:t>Thema</w:t>
            </w:r>
          </w:p>
        </w:tc>
        <w:tc>
          <w:tcPr>
            <w:tcW w:type="dxa" w:w="3101"/>
            <w:shd w:val="clear" w:color="auto" w:fill="FEEE19"/>
          </w:tcPr>
          <w:p>
            <w:pPr>
              <w:spacing w:after="0"/>
            </w:pPr>
            <w:r>
              <w:rPr>
                <w:b/>
                <w:sz w:val="17"/>
              </w:rPr>
              <w:t>2.7</w:t>
            </w:r>
          </w:p>
        </w:tc>
        <w:tc>
          <w:tcPr>
            <w:tcW w:type="dxa" w:w="4430"/>
            <w:shd w:val="clear" w:color="auto" w:fill="FEEE19"/>
          </w:tcPr>
          <w:p>
            <w:pPr>
              <w:spacing w:after="0"/>
            </w:pPr>
            <w:r>
              <w:rPr>
                <w:b/>
                <w:sz w:val="17"/>
              </w:rPr>
              <w:t>2.8</w:t>
            </w:r>
          </w:p>
        </w:tc>
      </w:tr>
      <w:tr>
        <w:tc>
          <w:tcPr>
            <w:tcW w:type="dxa" w:w="1993"/>
          </w:tcPr>
          <w:p>
            <w:pPr>
              <w:spacing w:after="0" w:line="252" w:lineRule="auto"/>
            </w:pPr>
            <w:r>
              <w:rPr>
                <w:sz w:val="17"/>
              </w:rPr>
              <w:t>Kapitel im AH</w:t>
            </w:r>
          </w:p>
        </w:tc>
        <w:tc>
          <w:tcPr>
            <w:tcW w:type="dxa" w:w="3101"/>
          </w:tcPr>
          <w:p>
            <w:pPr>
              <w:spacing w:after="0" w:line="252" w:lineRule="auto"/>
            </w:pPr>
            <w:r>
              <w:rPr>
                <w:sz w:val="17"/>
              </w:rPr>
              <w:t>3.1.11 Zielplätze, 3.1.12 Zielplatzgruppen</w:t>
            </w:r>
          </w:p>
        </w:tc>
        <w:tc>
          <w:tcPr>
            <w:tcW w:type="dxa" w:w="4430"/>
          </w:tcPr>
          <w:p>
            <w:pPr>
              <w:spacing w:after="0" w:line="252" w:lineRule="auto"/>
            </w:pPr>
            <w:r>
              <w:rPr>
                <w:sz w:val="17"/>
              </w:rPr>
              <w:t>3.1.12 Maintaining Destination Locations, 3.1.13 Destination Location Groups; Inhalt unverändert</w:t>
            </w:r>
          </w:p>
        </w:tc>
      </w:tr>
      <w:tr>
        <w:tc>
          <w:tcPr>
            <w:tcW w:type="dxa" w:w="1993"/>
          </w:tcPr>
          <w:p>
            <w:pPr>
              <w:spacing w:after="0" w:line="252" w:lineRule="auto"/>
            </w:pPr>
            <w:r>
              <w:rPr>
                <w:sz w:val="17"/>
              </w:rPr>
              <w:t>Kapitel im BH</w:t>
            </w:r>
          </w:p>
        </w:tc>
        <w:tc>
          <w:tcPr>
            <w:tcW w:type="dxa" w:w="3101"/>
          </w:tcPr>
          <w:p>
            <w:pPr>
              <w:spacing w:after="0" w:line="252" w:lineRule="auto"/>
            </w:pPr>
            <w:r>
              <w:rPr>
                <w:sz w:val="17"/>
              </w:rPr>
              <w:t>5.4 Zielplätze pflegen</w:t>
            </w:r>
          </w:p>
        </w:tc>
        <w:tc>
          <w:tcPr>
            <w:tcW w:type="dxa" w:w="4430"/>
          </w:tcPr>
          <w:p>
            <w:pPr>
              <w:spacing w:after="0" w:line="252" w:lineRule="auto"/>
            </w:pPr>
            <w:r>
              <w:rPr>
                <w:sz w:val="17"/>
              </w:rPr>
              <w:t>5.4 Maintaining Destination Locations; Inhalt unverändert</w:t>
            </w:r>
          </w:p>
        </w:tc>
      </w:tr>
      <w:tr>
        <w:tc>
          <w:tcPr>
            <w:tcW w:type="dxa" w:w="1993"/>
          </w:tcPr>
          <w:p>
            <w:pPr>
              <w:spacing w:after="0" w:line="252" w:lineRule="auto"/>
            </w:pPr>
            <w:r>
              <w:rPr>
                <w:sz w:val="17"/>
              </w:rPr>
              <w:t>Freigabe mit externer LE-ID</w:t>
            </w:r>
          </w:p>
        </w:tc>
        <w:tc>
          <w:tcPr>
            <w:tcW w:type="dxa" w:w="3101"/>
          </w:tcPr>
          <w:p>
            <w:pPr>
              <w:spacing w:after="0" w:line="252" w:lineRule="auto"/>
            </w:pPr>
            <w:r>
              <w:rPr>
                <w:sz w:val="17"/>
              </w:rPr>
              <w:t>–</w:t>
            </w:r>
          </w:p>
        </w:tc>
        <w:tc>
          <w:tcPr>
            <w:tcW w:type="dxa" w:w="4430"/>
          </w:tcPr>
          <w:p>
            <w:pPr>
              <w:spacing w:after="0" w:line="252" w:lineRule="auto"/>
            </w:pPr>
            <w:r>
              <w:rPr>
                <w:b/>
                <w:sz w:val="17"/>
              </w:rPr>
              <w:t>LM164 Release Picking Demand</w:t>
            </w:r>
            <w:r>
              <w:rPr>
                <w:sz w:val="17"/>
              </w:rPr>
              <w:t>: externe LE-ID und Zielplatz bei manueller Freigabe (Mehrauftrags-Kommissionierung, Put to Light)</w:t>
            </w:r>
          </w:p>
        </w:tc>
      </w:tr>
      <w:tr>
        <w:tc>
          <w:tcPr>
            <w:tcW w:type="dxa" w:w="1993"/>
          </w:tcPr>
          <w:p>
            <w:pPr>
              <w:spacing w:after="0" w:line="252" w:lineRule="auto"/>
            </w:pPr>
            <w:r>
              <w:rPr>
                <w:sz w:val="17"/>
              </w:rPr>
              <w:t>Externe LE-ID ändern</w:t>
            </w:r>
          </w:p>
        </w:tc>
        <w:tc>
          <w:tcPr>
            <w:tcW w:type="dxa" w:w="3101"/>
          </w:tcPr>
          <w:p>
            <w:pPr>
              <w:spacing w:after="0" w:line="252" w:lineRule="auto"/>
            </w:pPr>
            <w:r>
              <w:rPr>
                <w:sz w:val="17"/>
              </w:rPr>
              <w:t>–</w:t>
            </w:r>
          </w:p>
        </w:tc>
        <w:tc>
          <w:tcPr>
            <w:tcW w:type="dxa" w:w="4430"/>
          </w:tcPr>
          <w:p>
            <w:pPr>
              <w:spacing w:after="0" w:line="252" w:lineRule="auto"/>
            </w:pPr>
            <w:r>
              <w:rPr>
                <w:sz w:val="17"/>
              </w:rPr>
              <w:t xml:space="preserve">Touch </w:t>
            </w:r>
            <w:r>
              <w:rPr>
                <w:b/>
                <w:sz w:val="17"/>
              </w:rPr>
              <w:t>LM045</w:t>
            </w:r>
            <w:r>
              <w:rPr>
                <w:sz w:val="17"/>
              </w:rPr>
              <w:t xml:space="preserve"> › </w:t>
            </w:r>
            <w:r>
              <w:rPr>
                <w:b/>
                <w:sz w:val="17"/>
              </w:rPr>
              <w:t>Edit External LU-ID</w:t>
            </w:r>
            <w:r>
              <w:rPr>
                <w:sz w:val="17"/>
              </w:rPr>
              <w:t xml:space="preserve"> (</w:t>
            </w:r>
            <w:r>
              <w:rPr>
                <w:b/>
                <w:sz w:val="17"/>
              </w:rPr>
              <w:t>LM108</w:t>
            </w:r>
            <w:r>
              <w:rPr>
                <w:sz w:val="17"/>
              </w:rPr>
              <w:t xml:space="preserve">); Desktop </w:t>
            </w:r>
            <w:r>
              <w:rPr>
                <w:b/>
                <w:sz w:val="17"/>
              </w:rPr>
              <w:t>LM071</w:t>
            </w:r>
            <w:r>
              <w:rPr>
                <w:sz w:val="17"/>
              </w:rPr>
              <w:t xml:space="preserve"> › </w:t>
            </w:r>
            <w:r>
              <w:rPr>
                <w:b/>
                <w:sz w:val="17"/>
              </w:rPr>
              <w:t>LM165</w:t>
            </w:r>
          </w:p>
        </w:tc>
      </w:tr>
      <w:tr>
        <w:tc>
          <w:tcPr>
            <w:tcW w:type="dxa" w:w="1993"/>
          </w:tcPr>
          <w:p>
            <w:pPr>
              <w:spacing w:after="0" w:line="252" w:lineRule="auto"/>
            </w:pPr>
            <w:r>
              <w:rPr>
                <w:sz w:val="17"/>
              </w:rPr>
              <w:t>Schnittstelle</w:t>
            </w:r>
          </w:p>
        </w:tc>
        <w:tc>
          <w:tcPr>
            <w:tcW w:type="dxa" w:w="3101"/>
          </w:tcPr>
          <w:p>
            <w:pPr>
              <w:spacing w:after="0" w:line="252" w:lineRule="auto"/>
            </w:pPr>
            <w:r>
              <w:rPr>
                <w:sz w:val="17"/>
              </w:rPr>
              <w:t>Kein LE-Feld im Bedarfskopf (</w:t>
            </w:r>
            <w:r>
              <w:rPr>
                <w:rFonts w:ascii="Consolas" w:hAnsi="Consolas" w:cs="Consolas" w:eastAsia="Consolas"/>
                <w:sz w:val="15"/>
              </w:rPr>
              <w:t>WLSPD002</w:t>
            </w:r>
            <w:r>
              <w:rPr>
                <w:sz w:val="17"/>
              </w:rPr>
              <w:t>)</w:t>
            </w:r>
          </w:p>
        </w:tc>
        <w:tc>
          <w:tcPr>
            <w:tcW w:type="dxa" w:w="4430"/>
          </w:tcPr>
          <w:p>
            <w:pPr>
              <w:spacing w:after="0" w:line="252" w:lineRule="auto"/>
            </w:pPr>
            <w:r>
              <w:rPr>
                <w:rFonts w:ascii="Consolas" w:hAnsi="Consolas" w:cs="Consolas" w:eastAsia="Consolas"/>
                <w:sz w:val="15"/>
              </w:rPr>
              <w:t>extLuId</w:t>
            </w:r>
            <w:r>
              <w:rPr>
                <w:sz w:val="17"/>
              </w:rPr>
              <w:t xml:space="preserve"> in </w:t>
            </w:r>
            <w:r>
              <w:rPr>
                <w:rFonts w:ascii="Consolas" w:hAnsi="Consolas" w:cs="Consolas" w:eastAsia="Consolas"/>
                <w:sz w:val="15"/>
              </w:rPr>
              <w:t>WLSPD003</w:t>
            </w:r>
            <w:r>
              <w:rPr>
                <w:sz w:val="17"/>
              </w:rPr>
              <w:t xml:space="preserve"> / </w:t>
            </w:r>
            <w:r>
              <w:rPr>
                <w:rFonts w:ascii="Consolas" w:hAnsi="Consolas" w:cs="Consolas" w:eastAsia="Consolas"/>
                <w:sz w:val="15"/>
              </w:rPr>
              <w:t>WLSSD003</w:t>
            </w:r>
          </w:p>
        </w:tc>
      </w:tr>
      <w:tr>
        <w:tc>
          <w:tcPr>
            <w:tcW w:type="dxa" w:w="1993"/>
          </w:tcPr>
          <w:p>
            <w:pPr>
              <w:spacing w:after="0" w:line="252" w:lineRule="auto"/>
            </w:pPr>
            <w:r>
              <w:rPr>
                <w:sz w:val="17"/>
              </w:rPr>
              <w:t>PTL-Hardware</w:t>
            </w:r>
          </w:p>
        </w:tc>
        <w:tc>
          <w:tcPr>
            <w:tcW w:type="dxa" w:w="3101"/>
          </w:tcPr>
          <w:p>
            <w:pPr>
              <w:spacing w:after="0" w:line="252" w:lineRule="auto"/>
            </w:pPr>
            <w:r>
              <w:rPr>
                <w:sz w:val="17"/>
              </w:rPr>
              <w:t>Keine KBS-Konfiguration beschrieben</w:t>
            </w:r>
          </w:p>
        </w:tc>
        <w:tc>
          <w:tcPr>
            <w:tcW w:type="dxa" w:w="4430"/>
          </w:tcPr>
          <w:p>
            <w:pPr>
              <w:spacing w:after="0" w:line="252" w:lineRule="auto"/>
            </w:pPr>
            <w:r>
              <w:rPr>
                <w:b/>
                <w:sz w:val="17"/>
              </w:rPr>
              <w:t>LM301</w:t>
            </w:r>
            <w:r>
              <w:rPr>
                <w:sz w:val="17"/>
              </w:rPr>
              <w:t xml:space="preserve"> Device Controller-Line Controller (KBS): Zielplatzgruppen müssen Zugriffsöffnungen </w:t>
            </w:r>
            <w:r>
              <w:rPr>
                <w:b/>
                <w:sz w:val="17"/>
              </w:rPr>
              <w:t>und</w:t>
            </w:r>
            <w:r>
              <w:rPr>
                <w:sz w:val="17"/>
              </w:rPr>
              <w:t xml:space="preserve"> KBS-Pickfaces zugeordnet sein</w:t>
            </w:r>
          </w:p>
        </w:tc>
      </w:tr>
      <w:tr>
        <w:tc>
          <w:tcPr>
            <w:tcW w:type="dxa" w:w="1993"/>
          </w:tcPr>
          <w:p>
            <w:pPr>
              <w:spacing w:after="0" w:line="252" w:lineRule="auto"/>
            </w:pPr>
            <w:r>
              <w:rPr>
                <w:sz w:val="17"/>
              </w:rPr>
              <w:t>Nachschub</w:t>
            </w:r>
          </w:p>
        </w:tc>
        <w:tc>
          <w:tcPr>
            <w:tcW w:type="dxa" w:w="3101"/>
          </w:tcPr>
          <w:p>
            <w:pPr>
              <w:spacing w:after="0" w:line="252" w:lineRule="auto"/>
            </w:pPr>
            <w:r>
              <w:rPr>
                <w:sz w:val="17"/>
              </w:rPr>
              <w:t>–</w:t>
            </w:r>
          </w:p>
        </w:tc>
        <w:tc>
          <w:tcPr>
            <w:tcW w:type="dxa" w:w="4430"/>
          </w:tcPr>
          <w:p>
            <w:pPr>
              <w:spacing w:after="0" w:line="252" w:lineRule="auto"/>
            </w:pPr>
            <w:r>
              <w:rPr>
                <w:b/>
                <w:sz w:val="17"/>
              </w:rPr>
              <w:t>LM175</w:t>
            </w:r>
            <w:r>
              <w:rPr>
                <w:sz w:val="17"/>
              </w:rPr>
              <w:t xml:space="preserve"> Nachschubkonfiguration mit „Destination location restriction“. Betrifft Nachschub zwischen externem Lager und SSI LOGIMAT, nicht die Zielplätze der Kommissionierung</w:t>
            </w:r>
          </w:p>
        </w:tc>
      </w:tr>
    </w:tbl>
    <w:p>
      <w:pPr>
        <w:pStyle w:val="BeschriftungSSI"/>
      </w:pPr>
      <w:r>
        <w:t>Tab. 4: Zielplätze in 2.7 und 2.8</w:t>
      </w:r>
    </w:p>
    <w:p>
      <w:pPr>
        <w:pStyle w:val="Quelle"/>
      </w:pPr>
      <w:r>
        <w:rPr>
          <w:b/>
        </w:rPr>
        <w:t xml:space="preserve">Quelle: </w:t>
      </w:r>
      <w:r>
        <w:rPr>
          <w:sz w:val="17"/>
        </w:rPr>
        <w:t>Administrator Manual 2.8, Kap. 3.1.11–3.1.13, 3.9.2.3.3; User Manual 2.8, Kap. 5.4, 6.2.2.2.2, 6.2.5.3; Interface Manual WLS–ERP 2.8, Kap. 6.1.2.1, 7.1.2.1</w:t>
      </w:r>
    </w:p>
    <w:p>
      <w:pPr>
        <w:pStyle w:val="Heading1"/>
      </w:pPr>
      <w:r>
        <w:t>3 Der Prozess mit Zielplätzen</w:t>
      </w:r>
    </w:p>
    <w:p>
      <w:pPr>
        <w:pStyle w:val="Heading2"/>
      </w:pPr>
      <w:r>
        <w:t>3.1 Lebenszyklus</w:t>
      </w:r>
    </w:p>
    <w:p>
      <w:pPr>
        <w:keepNext/>
      </w:pPr>
      <w:r>
        <w:drawing>
          <wp:inline xmlns:a="http://schemas.openxmlformats.org/drawingml/2006/main" xmlns:pic="http://schemas.openxmlformats.org/drawingml/2006/picture">
            <wp:extent cx="5760000" cy="1798737"/>
            <wp:docPr id="105" name="Picture 105"/>
            <wp:cNvGraphicFramePr>
              <a:graphicFrameLocks noChangeAspect="1"/>
            </wp:cNvGraphicFramePr>
            <a:graphic>
              <a:graphicData uri="http://schemas.openxmlformats.org/drawingml/2006/picture">
                <pic:pic>
                  <pic:nvPicPr>
                    <pic:cNvPr id="0" name="abb_lebenszyklus.png"/>
                    <pic:cNvPicPr/>
                  </pic:nvPicPr>
                  <pic:blipFill>
                    <a:blip r:embed="rId15"/>
                    <a:stretch>
                      <a:fillRect/>
                    </a:stretch>
                  </pic:blipFill>
                  <pic:spPr>
                    <a:xfrm>
                      <a:off x="0" y="0"/>
                      <a:ext cx="5760000" cy="1798737"/>
                    </a:xfrm>
                    <a:prstGeom prst="rect"/>
                  </pic:spPr>
                </pic:pic>
              </a:graphicData>
            </a:graphic>
          </wp:inline>
        </w:drawing>
      </w:r>
    </w:p>
    <w:p>
      <w:pPr>
        <w:pStyle w:val="BeschriftungSSI"/>
      </w:pPr>
      <w:r>
        <w:t>Abb. 2: Lebenszyklus eines Zielplatzes (eigene Darstellung)</w:t>
      </w:r>
    </w:p>
    <w:p>
      <w:pPr>
        <w:pStyle w:val="Heading2"/>
      </w:pPr>
      <w:r>
        <w:t>3.2 Ablauf in der Kommissionierung</w:t>
      </w:r>
    </w:p>
    <w:p>
      <w:r>
        <w:t>Abb. 3 zeigt, wo der Zielplatz im Kommissionierablauf wirkt. Die grauen Kästen nennen die steuernden Einstellungen (Kapitel 8).</w:t>
      </w:r>
    </w:p>
    <w:p>
      <w:pPr>
        <w:keepNext/>
      </w:pPr>
      <w:r>
        <w:drawing>
          <wp:inline xmlns:a="http://schemas.openxmlformats.org/drawingml/2006/main" xmlns:pic="http://schemas.openxmlformats.org/drawingml/2006/picture">
            <wp:extent cx="5760000" cy="2267621"/>
            <wp:docPr id="106" name="Picture 106"/>
            <wp:cNvGraphicFramePr>
              <a:graphicFrameLocks noChangeAspect="1"/>
            </wp:cNvGraphicFramePr>
            <a:graphic>
              <a:graphicData uri="http://schemas.openxmlformats.org/drawingml/2006/picture">
                <pic:pic>
                  <pic:nvPicPr>
                    <pic:cNvPr id="0" name="abb_ablauf.png"/>
                    <pic:cNvPicPr/>
                  </pic:nvPicPr>
                  <pic:blipFill>
                    <a:blip r:embed="rId16"/>
                    <a:stretch>
                      <a:fillRect/>
                    </a:stretch>
                  </pic:blipFill>
                  <pic:spPr>
                    <a:xfrm>
                      <a:off x="0" y="0"/>
                      <a:ext cx="5760000" cy="2267621"/>
                    </a:xfrm>
                    <a:prstGeom prst="rect"/>
                  </pic:spPr>
                </pic:pic>
              </a:graphicData>
            </a:graphic>
          </wp:inline>
        </w:drawing>
      </w:r>
    </w:p>
    <w:p>
      <w:pPr>
        <w:pStyle w:val="BeschriftungSSI"/>
      </w:pPr>
      <w:r>
        <w:t>Abb. 3: Kommissionierung mit Zielplatz (eigene Darstellung)</w:t>
      </w:r>
    </w:p>
    <w:p>
      <w:pPr>
        <w:tabs>
          <w:tab w:pos="425" w:val="left"/>
        </w:tabs>
        <w:spacing w:after="60"/>
        <w:ind w:left="425" w:hanging="425"/>
      </w:pPr>
      <w:r>
        <w:rPr>
          <w:b/>
        </w:rPr>
        <w:t>1.</w:t>
        <w:tab/>
      </w:r>
      <w:r>
        <w:rPr>
          <w:b/>
        </w:rPr>
        <w:t>Bedarf anlegen:</w:t>
      </w:r>
      <w:r>
        <w:t xml:space="preserve"> Der Kommissionierbedarf kommt über die Schnittstelle (</w:t>
      </w:r>
      <w:r>
        <w:rPr>
          <w:rFonts w:ascii="Consolas" w:hAnsi="Consolas" w:cs="Consolas" w:eastAsia="Consolas"/>
          <w:sz w:val="18"/>
        </w:rPr>
        <w:t>WLSPD002</w:t>
      </w:r>
      <w:r>
        <w:t xml:space="preserve">, 2.8 </w:t>
      </w:r>
      <w:r>
        <w:rPr>
          <w:rFonts w:ascii="Consolas" w:hAnsi="Consolas" w:cs="Consolas" w:eastAsia="Consolas"/>
          <w:sz w:val="18"/>
        </w:rPr>
        <w:t>WLSPD003</w:t>
      </w:r>
      <w:r>
        <w:t xml:space="preserve">, mit </w:t>
      </w:r>
      <w:r>
        <w:rPr>
          <w:rFonts w:ascii="Consolas" w:hAnsi="Consolas" w:cs="Consolas" w:eastAsia="Consolas"/>
          <w:sz w:val="18"/>
        </w:rPr>
        <w:t>zone</w:t>
      </w:r>
      <w:r>
        <w:t xml:space="preserve">) oder wird am Desktop bzw. Touch-Client angelegt. Beim Anlegen am Desktop entsteht eine Kommissionier-Plan-LE in </w:t>
      </w:r>
      <w:r>
        <w:rPr>
          <w:b/>
        </w:rPr>
        <w:t>LM074 Übersicht Kommissionier-Plan-Ladeeinheiten</w:t>
      </w:r>
      <w:r>
        <w:t>.</w:t>
      </w:r>
    </w:p>
    <w:p>
      <w:pPr>
        <w:tabs>
          <w:tab w:pos="425" w:val="left"/>
        </w:tabs>
        <w:spacing w:after="60"/>
        <w:ind w:left="425" w:hanging="425"/>
      </w:pPr>
      <w:r>
        <w:rPr>
          <w:b/>
        </w:rPr>
        <w:t>2.</w:t>
        <w:tab/>
      </w:r>
      <w:r>
        <w:rPr>
          <w:b/>
        </w:rPr>
        <w:t>Freigeben:</w:t>
      </w:r>
      <w:r>
        <w:t xml:space="preserve"> Automatisch, zeitbezogen oder manuell (Touch </w:t>
      </w:r>
      <w:r>
        <w:rPr>
          <w:b/>
        </w:rPr>
        <w:t>LM040</w:t>
      </w:r>
      <w:r>
        <w:t xml:space="preserve"> › </w:t>
      </w:r>
      <w:r>
        <w:rPr>
          <w:b/>
        </w:rPr>
        <w:t>Übersicht Aufträge</w:t>
      </w:r>
      <w:r>
        <w:t xml:space="preserve"> › </w:t>
      </w:r>
      <w:r>
        <w:rPr>
          <w:b/>
        </w:rPr>
        <w:t>Freigeben</w:t>
      </w:r>
      <w:r>
        <w:t xml:space="preserve">). In 2.8 öffnet sich bei Bedarfen, die eine externe LE-ID benötigen, </w:t>
      </w:r>
      <w:r>
        <w:rPr>
          <w:b/>
        </w:rPr>
        <w:t>LM164</w:t>
      </w:r>
      <w:r>
        <w:t xml:space="preserve">: </w:t>
      </w:r>
      <w:r>
        <w:rPr>
          <w:rFonts w:ascii="Consolas" w:hAnsi="Consolas" w:cs="Consolas" w:eastAsia="Consolas"/>
          <w:sz w:val="18"/>
        </w:rPr>
        <w:t>External LU-ID</w:t>
      </w:r>
      <w:r>
        <w:t xml:space="preserve"> eingeben und Zielplatz wählen.</w:t>
      </w:r>
    </w:p>
    <w:p>
      <w:pPr>
        <w:tabs>
          <w:tab w:pos="425" w:val="left"/>
        </w:tabs>
        <w:spacing w:after="60"/>
        <w:ind w:left="425" w:hanging="425"/>
      </w:pPr>
      <w:r>
        <w:rPr>
          <w:b/>
        </w:rPr>
        <w:t>3.</w:t>
        <w:tab/>
      </w:r>
      <w:r>
        <w:rPr>
          <w:b/>
        </w:rPr>
        <w:t>Aktivieren:</w:t>
      </w:r>
      <w:r>
        <w:t xml:space="preserve"> Manuell am Touch-Client (</w:t>
      </w:r>
      <w:r>
        <w:rPr>
          <w:b/>
        </w:rPr>
        <w:t>Freigeben</w:t>
      </w:r>
      <w:r>
        <w:t xml:space="preserve"> oder LE-ID scannen) oder automatisch. Mit </w:t>
      </w:r>
      <w:r>
        <w:rPr>
          <w:b/>
        </w:rPr>
        <w:t>Zielplatz automatisch auswählen</w:t>
      </w:r>
      <w:r>
        <w:t xml:space="preserve"> wählt WAMAS den Zielplatz nach </w:t>
      </w:r>
      <w:r>
        <w:rPr>
          <w:rFonts w:ascii="Consolas" w:hAnsi="Consolas" w:cs="Consolas" w:eastAsia="Consolas"/>
          <w:sz w:val="18"/>
        </w:rPr>
        <w:t>Einlagerungsreihenfolge von Zielplatz</w:t>
      </w:r>
      <w:r>
        <w:t xml:space="preserve">; Plätze ohne Nummer kommen zuletzt. Mit </w:t>
      </w:r>
      <w:r>
        <w:rPr>
          <w:b/>
        </w:rPr>
        <w:t>Bedarfsaktivierung durch freien, externen Lagerplatz begrenzen</w:t>
      </w:r>
      <w:r>
        <w:t xml:space="preserve"> werden nur so viele Bedarfe aktiviert, wie Zielplätze frei sind.</w:t>
      </w:r>
    </w:p>
    <w:p>
      <w:pPr>
        <w:tabs>
          <w:tab w:pos="425" w:val="left"/>
        </w:tabs>
        <w:spacing w:after="60"/>
        <w:ind w:left="425" w:hanging="425"/>
      </w:pPr>
      <w:r>
        <w:rPr>
          <w:b/>
        </w:rPr>
        <w:t>4.</w:t>
        <w:tab/>
      </w:r>
      <w:r>
        <w:rPr>
          <w:b/>
        </w:rPr>
        <w:t>Entnehmen:</w:t>
      </w:r>
      <w:r>
        <w:t xml:space="preserve"> Das Tablar kommt an die Zugriffsöffnung, der Benutzer entnimmt aus der reservierten Box in </w:t>
      </w:r>
      <w:r>
        <w:rPr>
          <w:b/>
        </w:rPr>
        <w:t>LM002</w:t>
      </w:r>
      <w:r>
        <w:t xml:space="preserve"> (Menge, ggf. Charge/MHD, </w:t>
      </w:r>
      <w:r>
        <w:rPr>
          <w:b/>
        </w:rPr>
        <w:t>Leere Box bestätigen</w:t>
      </w:r>
      <w:r>
        <w:t>).</w:t>
      </w:r>
    </w:p>
    <w:p>
      <w:pPr>
        <w:tabs>
          <w:tab w:pos="425" w:val="left"/>
        </w:tabs>
        <w:spacing w:after="60"/>
        <w:ind w:left="425" w:hanging="425"/>
      </w:pPr>
      <w:r>
        <w:rPr>
          <w:b/>
        </w:rPr>
        <w:t>5.</w:t>
        <w:tab/>
      </w:r>
      <w:r>
        <w:rPr>
          <w:b/>
        </w:rPr>
        <w:t>Ablegen:</w:t>
      </w:r>
      <w:r>
        <w:t xml:space="preserve"> Die Ware geht in die Ziel-LE auf dem Zielplatz. Mit </w:t>
      </w:r>
      <w:r>
        <w:rPr>
          <w:rFonts w:ascii="Consolas" w:hAnsi="Consolas" w:cs="Consolas" w:eastAsia="Consolas"/>
          <w:sz w:val="18"/>
        </w:rPr>
        <w:t>logimat.picking.askBookLuOnExternalLocation</w:t>
      </w:r>
      <w:r>
        <w:t xml:space="preserve"> = </w:t>
      </w:r>
      <w:r>
        <w:rPr>
          <w:rFonts w:ascii="Consolas" w:hAnsi="Consolas" w:cs="Consolas" w:eastAsia="Consolas"/>
          <w:sz w:val="18"/>
        </w:rPr>
        <w:t>true</w:t>
      </w:r>
      <w:r>
        <w:t xml:space="preserve"> wird die LE beim Scannen der Ziel-LE auf den externen Platz gebucht, und der Benutzer bringt die Artikel dorthin.</w:t>
      </w:r>
    </w:p>
    <w:p>
      <w:pPr>
        <w:tabs>
          <w:tab w:pos="425" w:val="left"/>
        </w:tabs>
        <w:spacing w:after="60"/>
        <w:ind w:left="425" w:hanging="425"/>
      </w:pPr>
      <w:r>
        <w:rPr>
          <w:b/>
        </w:rPr>
        <w:t>6.</w:t>
        <w:tab/>
      </w:r>
      <w:r>
        <w:rPr>
          <w:b/>
        </w:rPr>
        <w:t>Abschließen und quittieren:</w:t>
      </w:r>
      <w:r>
        <w:t xml:space="preserve"> Je nach </w:t>
      </w:r>
      <w:r>
        <w:rPr>
          <w:b/>
        </w:rPr>
        <w:t>Kommissionierquittierungsmodus</w:t>
      </w:r>
      <w:r>
        <w:t xml:space="preserve"> geht die Quittierung bei fertigem Bedarf, nach jeder Tätigkeit oder </w:t>
      </w:r>
      <w:r>
        <w:rPr>
          <w:b/>
        </w:rPr>
        <w:t>Wenn Ziel voll</w:t>
      </w:r>
      <w:r>
        <w:t xml:space="preserve"> an das ERP. Die Quittierung enthält </w:t>
      </w:r>
      <w:r>
        <w:rPr>
          <w:rFonts w:ascii="Consolas" w:hAnsi="Consolas" w:cs="Consolas" w:eastAsia="Consolas"/>
          <w:sz w:val="18"/>
        </w:rPr>
        <w:t>destLuId</w:t>
      </w:r>
      <w:r>
        <w:t xml:space="preserve"> und </w:t>
      </w:r>
      <w:r>
        <w:rPr>
          <w:rFonts w:ascii="Consolas" w:hAnsi="Consolas" w:cs="Consolas" w:eastAsia="Consolas"/>
          <w:sz w:val="18"/>
        </w:rPr>
        <w:t>destStoLoc</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Lichtsteuerung und Bestätigung am PTL-Display</w:t>
            </w:r>
          </w:p>
          <w:p>
            <w:pPr>
              <w:spacing w:after="40"/>
            </w:pPr>
            <w:r>
              <w:rPr>
                <w:sz w:val="19"/>
              </w:rPr>
              <w:t xml:space="preserve">Wie die Put-to-Light-Anzeige am Zielplatz aufleuchtet, wie der Benutzer die Ablage dort bestätigt und wie sich </w:t>
            </w:r>
            <w:r>
              <w:rPr>
                <w:rFonts w:ascii="Consolas" w:hAnsi="Consolas" w:cs="Consolas" w:eastAsia="Consolas"/>
                <w:sz w:val="17"/>
              </w:rPr>
              <w:t>ONE_PER_GROUP</w:t>
            </w:r>
            <w:r>
              <w:rPr>
                <w:sz w:val="19"/>
              </w:rPr>
              <w:t xml:space="preserve"> und </w:t>
            </w:r>
            <w:r>
              <w:rPr>
                <w:rFonts w:ascii="Consolas" w:hAnsi="Consolas" w:cs="Consolas" w:eastAsia="Consolas"/>
                <w:sz w:val="17"/>
              </w:rPr>
              <w:t>ONE_PER_LOCATION</w:t>
            </w:r>
            <w:r>
              <w:rPr>
                <w:sz w:val="19"/>
              </w:rPr>
              <w:t xml:space="preserve"> am Arbeitsplatz zeigen, beschreibt das Benutzerhandbuch 2.7 nicht. Auch die Weitergabe der fertigen Ziel-LE vom Zielplatz in den Versand ist nicht als Prozess beschrieben.</w:t>
            </w:r>
          </w:p>
        </w:tc>
      </w:tr>
    </w:tbl>
    <w:p>
      <w:pPr>
        <w:spacing w:after="40"/>
      </w:pPr>
    </w:p>
    <w:p>
      <w:pPr>
        <w:pStyle w:val="Quelle"/>
      </w:pPr>
      <w:r>
        <w:rPr>
          <w:b/>
        </w:rPr>
        <w:t xml:space="preserve">Quelle: </w:t>
      </w:r>
      <w:r>
        <w:rPr>
          <w:sz w:val="17"/>
        </w:rPr>
        <w:t>Benutzerhandbuch 2.7, Kap. 6.2.2.1–6.2.2.3, 6.2.4.2, 6.2.4.10; Administratorhandbuch 2.7, Kap. 3.1.11.1, 3.5.1.6.1, 3.6.1.10, 3.11.2; User Manual 2.8, Kap. 6.2.2.2.2; Telegrammbeispiele 2.7.0 (PD)</w:t>
      </w:r>
    </w:p>
    <w:p>
      <w:pPr>
        <w:pStyle w:val="Heading2"/>
      </w:pPr>
      <w:r>
        <w:t>3.3 „Ziel voll“ und Quittierung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03"/>
        <w:gridCol w:w="2918"/>
        <w:gridCol w:w="3303"/>
      </w:tblGrid>
      <w:tr>
        <w:trPr>
          <w:tblHeader w:val="true"/>
        </w:trPr>
        <w:tc>
          <w:tcPr>
            <w:tcW w:type="dxa" w:w="3303"/>
            <w:shd w:val="clear" w:color="auto" w:fill="FEEE19"/>
          </w:tcPr>
          <w:p>
            <w:pPr>
              <w:spacing w:after="0"/>
            </w:pPr>
            <w:r>
              <w:rPr>
                <w:b/>
                <w:sz w:val="17"/>
              </w:rPr>
              <w:t>Ort</w:t>
            </w:r>
          </w:p>
        </w:tc>
        <w:tc>
          <w:tcPr>
            <w:tcW w:type="dxa" w:w="2918"/>
            <w:shd w:val="clear" w:color="auto" w:fill="FEEE19"/>
          </w:tcPr>
          <w:p>
            <w:pPr>
              <w:spacing w:after="0"/>
            </w:pPr>
            <w:r>
              <w:rPr>
                <w:b/>
                <w:sz w:val="17"/>
              </w:rPr>
              <w:t>Option</w:t>
            </w:r>
          </w:p>
        </w:tc>
        <w:tc>
          <w:tcPr>
            <w:tcW w:type="dxa" w:w="3303"/>
            <w:shd w:val="clear" w:color="auto" w:fill="FEEE19"/>
          </w:tcPr>
          <w:p>
            <w:pPr>
              <w:spacing w:after="0"/>
            </w:pPr>
            <w:r>
              <w:rPr>
                <w:b/>
                <w:sz w:val="17"/>
              </w:rPr>
              <w:t>Wirkung laut AH 2.7</w:t>
            </w:r>
          </w:p>
        </w:tc>
      </w:tr>
      <w:tr>
        <w:tc>
          <w:tcPr>
            <w:tcW w:type="dxa" w:w="3303"/>
          </w:tcPr>
          <w:p>
            <w:pPr>
              <w:spacing w:after="0" w:line="252" w:lineRule="auto"/>
            </w:pPr>
            <w:r>
              <w:rPr>
                <w:b/>
                <w:sz w:val="17"/>
              </w:rPr>
              <w:t>MD021</w:t>
            </w:r>
            <w:r>
              <w:rPr>
                <w:sz w:val="17"/>
              </w:rPr>
              <w:t xml:space="preserve"> › Registerkarte </w:t>
            </w:r>
            <w:r>
              <w:rPr>
                <w:b/>
                <w:sz w:val="17"/>
              </w:rPr>
              <w:t>Kommissionierbedarfsquittierung</w:t>
            </w:r>
          </w:p>
        </w:tc>
        <w:tc>
          <w:tcPr>
            <w:tcW w:type="dxa" w:w="2918"/>
          </w:tcPr>
          <w:p>
            <w:pPr>
              <w:spacing w:after="0" w:line="252" w:lineRule="auto"/>
            </w:pPr>
            <w:r>
              <w:rPr>
                <w:rFonts w:ascii="Consolas" w:hAnsi="Consolas" w:cs="Consolas" w:eastAsia="Consolas"/>
                <w:sz w:val="15"/>
              </w:rPr>
              <w:t>Kommissionierquittierungsmodus</w:t>
            </w:r>
            <w:r>
              <w:rPr>
                <w:sz w:val="17"/>
              </w:rPr>
              <w:t xml:space="preserve"> = </w:t>
            </w:r>
            <w:r>
              <w:rPr>
                <w:b/>
                <w:sz w:val="17"/>
              </w:rPr>
              <w:t>Wenn Ziel voll</w:t>
            </w:r>
          </w:p>
        </w:tc>
        <w:tc>
          <w:tcPr>
            <w:tcW w:type="dxa" w:w="3303"/>
          </w:tcPr>
          <w:p>
            <w:pPr>
              <w:spacing w:after="0" w:line="252" w:lineRule="auto"/>
            </w:pPr>
            <w:r>
              <w:rPr>
                <w:sz w:val="17"/>
              </w:rPr>
              <w:t xml:space="preserve">Quittierung, wenn ein Kommissioniervorgang fertiggestellt ist </w:t>
            </w:r>
            <w:r>
              <w:rPr>
                <w:b/>
                <w:sz w:val="17"/>
              </w:rPr>
              <w:t>und</w:t>
            </w:r>
            <w:r>
              <w:rPr>
                <w:sz w:val="17"/>
              </w:rPr>
              <w:t xml:space="preserve"> die Ziel-LE vom Benutzer als voll gekennzeichnet wurde</w:t>
            </w:r>
          </w:p>
        </w:tc>
      </w:tr>
      <w:tr>
        <w:tc>
          <w:tcPr>
            <w:tcW w:type="dxa" w:w="3303"/>
          </w:tcPr>
          <w:p>
            <w:pPr>
              <w:spacing w:after="0" w:line="252" w:lineRule="auto"/>
            </w:pPr>
            <w:r>
              <w:rPr>
                <w:b/>
                <w:sz w:val="17"/>
              </w:rPr>
              <w:t>MD021</w:t>
            </w:r>
            <w:r>
              <w:rPr>
                <w:sz w:val="17"/>
              </w:rPr>
              <w:t xml:space="preserve"> › Registerkarte </w:t>
            </w:r>
            <w:r>
              <w:rPr>
                <w:b/>
                <w:sz w:val="17"/>
              </w:rPr>
              <w:t>WCS Kommissionierquittierung</w:t>
            </w:r>
          </w:p>
        </w:tc>
        <w:tc>
          <w:tcPr>
            <w:tcW w:type="dxa" w:w="2918"/>
          </w:tcPr>
          <w:p>
            <w:pPr>
              <w:spacing w:after="0" w:line="252" w:lineRule="auto"/>
            </w:pPr>
            <w:r>
              <w:rPr>
                <w:b/>
                <w:sz w:val="17"/>
              </w:rPr>
              <w:t>Wenn Ziel voll</w:t>
            </w:r>
          </w:p>
        </w:tc>
        <w:tc>
          <w:tcPr>
            <w:tcW w:type="dxa" w:w="3303"/>
          </w:tcPr>
          <w:p>
            <w:pPr>
              <w:spacing w:after="0" w:line="252" w:lineRule="auto"/>
            </w:pPr>
            <w:r>
              <w:rPr>
                <w:sz w:val="17"/>
              </w:rPr>
              <w:t>Quittierung, wenn eine Ziel-Versand-LE voll ist</w:t>
            </w:r>
          </w:p>
        </w:tc>
      </w:tr>
      <w:tr>
        <w:tc>
          <w:tcPr>
            <w:tcW w:type="dxa" w:w="3303"/>
          </w:tcPr>
          <w:p>
            <w:pPr>
              <w:spacing w:after="0" w:line="252" w:lineRule="auto"/>
            </w:pPr>
            <w:r>
              <w:rPr>
                <w:b/>
                <w:sz w:val="17"/>
              </w:rPr>
              <w:t>MD021</w:t>
            </w:r>
            <w:r>
              <w:rPr>
                <w:sz w:val="17"/>
              </w:rPr>
              <w:t xml:space="preserve"> › Registerkarte </w:t>
            </w:r>
            <w:r>
              <w:rPr>
                <w:b/>
                <w:sz w:val="17"/>
              </w:rPr>
              <w:t>Einlagerbedarfsquittierung</w:t>
            </w:r>
          </w:p>
        </w:tc>
        <w:tc>
          <w:tcPr>
            <w:tcW w:type="dxa" w:w="2918"/>
          </w:tcPr>
          <w:p>
            <w:pPr>
              <w:spacing w:after="0" w:line="252" w:lineRule="auto"/>
            </w:pPr>
            <w:r>
              <w:rPr>
                <w:b/>
                <w:sz w:val="17"/>
              </w:rPr>
              <w:t>Wenn Ziel voll</w:t>
            </w:r>
          </w:p>
        </w:tc>
        <w:tc>
          <w:tcPr>
            <w:tcW w:type="dxa" w:w="3303"/>
          </w:tcPr>
          <w:p>
            <w:pPr>
              <w:spacing w:after="0" w:line="252" w:lineRule="auto"/>
            </w:pPr>
            <w:r>
              <w:rPr>
                <w:sz w:val="17"/>
              </w:rPr>
              <w:t>Einlagerquittierung, wenn eine Ziel-LE voll ist</w:t>
            </w:r>
          </w:p>
        </w:tc>
      </w:tr>
      <w:tr>
        <w:tc>
          <w:tcPr>
            <w:tcW w:type="dxa" w:w="3303"/>
          </w:tcPr>
          <w:p>
            <w:pPr>
              <w:spacing w:after="0" w:line="252" w:lineRule="auto"/>
            </w:pPr>
            <w:r>
              <w:rPr>
                <w:b/>
                <w:sz w:val="17"/>
              </w:rPr>
              <w:t>MD021</w:t>
            </w:r>
            <w:r>
              <w:rPr>
                <w:sz w:val="17"/>
              </w:rPr>
              <w:t xml:space="preserve"> › Registerkarte </w:t>
            </w:r>
            <w:r>
              <w:rPr>
                <w:b/>
                <w:sz w:val="17"/>
              </w:rPr>
              <w:t>Quittierung Kommissionier-Plan-LE</w:t>
            </w:r>
          </w:p>
        </w:tc>
        <w:tc>
          <w:tcPr>
            <w:tcW w:type="dxa" w:w="2918"/>
          </w:tcPr>
          <w:p>
            <w:pPr>
              <w:spacing w:after="0" w:line="252" w:lineRule="auto"/>
            </w:pPr>
            <w:r>
              <w:rPr>
                <w:sz w:val="17"/>
              </w:rPr>
              <w:t>–</w:t>
            </w:r>
          </w:p>
        </w:tc>
        <w:tc>
          <w:tcPr>
            <w:tcW w:type="dxa" w:w="3303"/>
          </w:tcPr>
          <w:p>
            <w:pPr>
              <w:spacing w:after="0" w:line="252" w:lineRule="auto"/>
            </w:pPr>
            <w:r>
              <w:rPr>
                <w:sz w:val="17"/>
              </w:rPr>
              <w:t>Eigene Quittierung für Plan-LE (Systempartner, Konverter, Verarbeitungspfad)</w:t>
            </w:r>
          </w:p>
        </w:tc>
      </w:tr>
      <w:tr>
        <w:tc>
          <w:tcPr>
            <w:tcW w:type="dxa" w:w="3303"/>
          </w:tcPr>
          <w:p>
            <w:pPr>
              <w:spacing w:after="0" w:line="252" w:lineRule="auto"/>
            </w:pPr>
            <w:r>
              <w:rPr>
                <w:b/>
                <w:sz w:val="17"/>
              </w:rPr>
              <w:t>MD096</w:t>
            </w:r>
            <w:r>
              <w:rPr>
                <w:sz w:val="17"/>
              </w:rPr>
              <w:t xml:space="preserve"> › Registerkarte </w:t>
            </w:r>
            <w:r>
              <w:rPr>
                <w:b/>
                <w:sz w:val="17"/>
              </w:rPr>
              <w:t>Versand-LE-Quittierung</w:t>
            </w:r>
          </w:p>
        </w:tc>
        <w:tc>
          <w:tcPr>
            <w:tcW w:type="dxa" w:w="2918"/>
          </w:tcPr>
          <w:p>
            <w:pPr>
              <w:spacing w:after="0" w:line="252" w:lineRule="auto"/>
            </w:pPr>
            <w:r>
              <w:rPr>
                <w:rFonts w:ascii="Consolas" w:hAnsi="Consolas" w:cs="Consolas" w:eastAsia="Consolas"/>
                <w:sz w:val="15"/>
              </w:rPr>
              <w:t>Quittierung basierend auf Versand-LE-Status</w:t>
            </w:r>
          </w:p>
        </w:tc>
        <w:tc>
          <w:tcPr>
            <w:tcW w:type="dxa" w:w="3303"/>
          </w:tcPr>
          <w:p>
            <w:pPr>
              <w:spacing w:after="0" w:line="252" w:lineRule="auto"/>
            </w:pPr>
            <w:r>
              <w:rPr>
                <w:sz w:val="17"/>
              </w:rPr>
              <w:t>outSPM für Versand-LE; LE für Nachschub durch Kommissionierung sind nicht enthalten</w:t>
            </w:r>
          </w:p>
        </w:tc>
      </w:tr>
    </w:tbl>
    <w:p>
      <w:pPr>
        <w:pStyle w:val="BeschriftungSSI"/>
      </w:pPr>
      <w:r>
        <w:t>Tab. 5: Quittierungen rund um die Ziel-LE</w:t>
      </w:r>
    </w:p>
    <w:p>
      <w:r>
        <w:t xml:space="preserve">Die Telegrammbeispiele 2.7.0 (Ordner </w:t>
      </w:r>
      <w:r>
        <w:rPr>
          <w:rFonts w:ascii="Consolas" w:hAnsi="Consolas" w:cs="Consolas" w:eastAsia="Consolas"/>
          <w:sz w:val="18"/>
        </w:rPr>
        <w:t>PD/ACK_when_dest_full</w:t>
      </w:r>
      <w:r>
        <w:t>) zeigen den Ablauf: Zuerst kommt eine Put-to-Light-Quittierung mit Bedarfsnummer und Ziel-LE, später die Bedarfsquittierung mit allen Tätigkeiten.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WAMAS;HOST;1;20250311141254;WLSP2LACK002;604;TEMP000000043</w:t>
            </w:r>
          </w:p>
          <w:p>
            <w:pPr>
              <w:pStyle w:val="Code"/>
            </w:pPr>
            <w:r>
              <w:t>...</w:t>
            </w:r>
          </w:p>
          <w:p>
            <w:pPr>
              <w:pStyle w:val="Code"/>
            </w:pPr>
            <w:r>
              <w:t>WAMAS;HOST;4;20250311141330;WLSPDLACTIVITYACK001;A1;1;18888888101;101;</w:t>
            </w:r>
          </w:p>
          <w:p>
            <w:pPr>
              <w:pStyle w:val="Code"/>
            </w:pPr>
            <w:r>
              <w:t xml:space="preserve">  18888888101-008;A1-OP1-1;TEMP000000043;LogiShpLoc;test;...;5.0;13.0;...</w:t>
            </w:r>
          </w:p>
        </w:tc>
      </w:tr>
    </w:tbl>
    <w:p>
      <w:pPr>
        <w:pStyle w:val="BeschriftungSSI"/>
      </w:pPr>
      <w:r>
        <w:t>Abb. 4: Quittierung bei „Wenn Ziel voll“ (Telegrammbeispiele 2.7.0, PD/ACK_when_dest_full/0099.csv und 0103.csv, gekürzt)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Satzartversion</w:t>
            </w:r>
          </w:p>
          <w:p>
            <w:pPr>
              <w:spacing w:after="40"/>
            </w:pPr>
            <w:r>
              <w:rPr>
                <w:sz w:val="19"/>
              </w:rPr>
              <w:t xml:space="preserve">Das Interface Manual WLS–ERP </w:t>
            </w:r>
            <w:r>
              <w:rPr>
                <w:b/>
                <w:sz w:val="19"/>
              </w:rPr>
              <w:t>2.7</w:t>
            </w:r>
            <w:r>
              <w:rPr>
                <w:sz w:val="19"/>
              </w:rPr>
              <w:t xml:space="preserve"> dokumentiert </w:t>
            </w:r>
            <w:r>
              <w:rPr>
                <w:rFonts w:ascii="Consolas" w:hAnsi="Consolas" w:cs="Consolas" w:eastAsia="Consolas"/>
                <w:sz w:val="17"/>
              </w:rPr>
              <w:t>WLSP2LACK001</w:t>
            </w:r>
            <w:r>
              <w:rPr>
                <w:sz w:val="19"/>
              </w:rPr>
              <w:t xml:space="preserve"> (Felder </w:t>
            </w:r>
            <w:r>
              <w:rPr>
                <w:rFonts w:ascii="Consolas" w:hAnsi="Consolas" w:cs="Consolas" w:eastAsia="Consolas"/>
                <w:sz w:val="17"/>
              </w:rPr>
              <w:t>demandNo</w:t>
            </w:r>
            <w:r>
              <w:rPr>
                <w:sz w:val="19"/>
              </w:rPr>
              <w:t xml:space="preserve">, </w:t>
            </w:r>
            <w:r>
              <w:rPr>
                <w:rFonts w:ascii="Consolas" w:hAnsi="Consolas" w:cs="Consolas" w:eastAsia="Consolas"/>
                <w:sz w:val="17"/>
              </w:rPr>
              <w:t>destLuId</w:t>
            </w:r>
            <w:r>
              <w:rPr>
                <w:sz w:val="19"/>
              </w:rPr>
              <w:t xml:space="preserve">). Die Telegrammbeispiele </w:t>
            </w:r>
            <w:r>
              <w:rPr>
                <w:b/>
                <w:sz w:val="19"/>
              </w:rPr>
              <w:t>2.7.0</w:t>
            </w:r>
            <w:r>
              <w:rPr>
                <w:sz w:val="19"/>
              </w:rPr>
              <w:t xml:space="preserve"> und das Interface Manual </w:t>
            </w:r>
            <w:r>
              <w:rPr>
                <w:b/>
                <w:sz w:val="19"/>
              </w:rPr>
              <w:t>2.8</w:t>
            </w:r>
            <w:r>
              <w:rPr>
                <w:sz w:val="19"/>
              </w:rPr>
              <w:t xml:space="preserve"> verwenden </w:t>
            </w:r>
            <w:r>
              <w:rPr>
                <w:rFonts w:ascii="Consolas" w:hAnsi="Consolas" w:cs="Consolas" w:eastAsia="Consolas"/>
                <w:sz w:val="17"/>
              </w:rPr>
              <w:t>WLSP2LACK002</w:t>
            </w:r>
            <w:r>
              <w:rPr>
                <w:sz w:val="19"/>
              </w:rPr>
              <w:t>. Welche Version ein 2.7-System sendet, im Projekt am Konverter prüfen.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Wo wird „voll“ gesetzt?</w:t>
            </w:r>
          </w:p>
          <w:p>
            <w:pPr>
              <w:spacing w:after="40"/>
            </w:pPr>
            <w:r>
              <w:rPr>
                <w:sz w:val="19"/>
              </w:rPr>
              <w:t>Wie und in welchem Touch-Dialog der Benutzer eine Ziel-LE als voll kennzeichnet, steht weder im Benutzerhandbuch 2.7 noch 2.8.</w:t>
            </w:r>
          </w:p>
        </w:tc>
      </w:tr>
    </w:tbl>
    <w:p>
      <w:pPr>
        <w:spacing w:after="40"/>
      </w:pPr>
    </w:p>
    <w:p>
      <w:pPr>
        <w:pStyle w:val="Quelle"/>
      </w:pPr>
      <w:r>
        <w:rPr>
          <w:b/>
        </w:rPr>
        <w:t xml:space="preserve">Quelle: </w:t>
      </w:r>
      <w:r>
        <w:rPr>
          <w:sz w:val="17"/>
        </w:rPr>
        <w:t>Administratorhandbuch 2.7, Kap. 3.5.1.6.1–3.5.1.6.6, 3.5.2.8; Administrator Manual 2.8, Kap. 3.5.1.6; Interface Manual WLS–ERP 2.7, Kap. 7.2.1.3, 7.2.2.3–7.2.2.4; Interface Manual WLS–ERP 2.8, Kap. 7.2.1.3; Telegrammbeispiele 2.7.0, PD/ACK_when_dest_full</w:t>
      </w:r>
    </w:p>
    <w:p>
      <w:pPr>
        <w:pStyle w:val="Heading2"/>
      </w:pPr>
      <w:r>
        <w:t>3.4 Konsolidierung</w:t>
      </w:r>
    </w:p>
    <w:p>
      <w:r>
        <w:t xml:space="preserve">Konsolidierung im Zusammenhang mit Ziel-LE beschreibt das Administratorhandbuch nur an einer Stelle: Am Systempartner </w:t>
      </w:r>
      <w:r>
        <w:rPr>
          <w:b/>
        </w:rPr>
        <w:t>WAMAS als WMS zu WCS</w:t>
      </w:r>
      <w:r>
        <w:t xml:space="preserve"> fasst die Checkbox </w:t>
      </w:r>
      <w:r>
        <w:rPr>
          <w:b/>
        </w:rPr>
        <w:t>Kommissionier-Plan-Ladeeinheiten konsolidieren</w:t>
      </w:r>
      <w:r>
        <w:t xml:space="preserve"> mehrere Plan-LE mit identischem Ladehilfsmittel, identischer Auslieferung, identischem Kommissionierbereich und identischer Kommissioniergruppe nach der Freigabe zu einem Kommissionierauftrag zusammen.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Konsolidierung auf dem Zielplatz</w:t>
            </w:r>
          </w:p>
          <w:p>
            <w:pPr>
              <w:spacing w:after="40"/>
            </w:pPr>
            <w:r>
              <w:rPr>
                <w:sz w:val="19"/>
              </w:rPr>
              <w:t>Ob mehrere Bedarfe in eine Ziel-LE auf demselben Zielplatz konsolidiert werden können (z. B. mehrere Bedarfe einer Auslieferung), ist für den Standardfall WAMAS Lift &amp; Store als WMS nicht beschrieben. Die „bestandsbasierte Konsolidierung“ im AH betrifft Boxen im SSI LOGIMAT, nicht Zielplätze.</w:t>
            </w:r>
          </w:p>
        </w:tc>
      </w:tr>
    </w:tbl>
    <w:p>
      <w:pPr>
        <w:spacing w:after="40"/>
      </w:pPr>
    </w:p>
    <w:p>
      <w:pPr>
        <w:pStyle w:val="Quelle"/>
      </w:pPr>
      <w:r>
        <w:rPr>
          <w:b/>
        </w:rPr>
        <w:t xml:space="preserve">Quelle: </w:t>
      </w:r>
      <w:r>
        <w:rPr>
          <w:sz w:val="17"/>
        </w:rPr>
        <w:t>Administratorhandbuch 2.7, Kap. 3.5.3.1 (Schritt 16), 3.6.3.2.3</w:t>
      </w:r>
    </w:p>
    <w:p>
      <w:pPr>
        <w:pStyle w:val="Heading1"/>
      </w:pPr>
      <w:r>
        <w:t>4 Zielplätze einzeln anlegen und pflegen</w:t>
      </w:r>
    </w:p>
    <w:p>
      <w:pPr>
        <w:pStyle w:val="Heading2"/>
      </w:pPr>
      <w:r>
        <w:t>4.1 Voraussetzungen</w:t>
      </w:r>
    </w:p>
    <w:p>
      <w:pPr>
        <w:pStyle w:val="ListBullet"/>
      </w:pPr>
      <w:r>
        <w:t>Zone mit Lagerstandort ist gepflegt (</w:t>
      </w:r>
      <w:r>
        <w:rPr>
          <w:b/>
        </w:rPr>
        <w:t>LM069</w:t>
      </w:r>
      <w:r>
        <w:t>), der SSI LOGIMAT ist der Zone zugeordnet (</w:t>
      </w:r>
      <w:r>
        <w:rPr>
          <w:b/>
        </w:rPr>
        <w:t>LM051</w:t>
      </w:r>
      <w:r>
        <w:t>). Zonen werden in der Regel mit der Konfigurationsdatei importiert (</w:t>
      </w:r>
      <w:r>
        <w:rPr>
          <w:b/>
        </w:rPr>
        <w:t>LM061</w:t>
      </w:r>
      <w:r>
        <w:t>).</w:t>
      </w:r>
    </w:p>
    <w:p>
      <w:pPr>
        <w:pStyle w:val="ListBullet"/>
      </w:pPr>
      <w:r>
        <w:t>Die Zugriffsöffnungen, an denen die Zielplätze stehen, sind bekannt; am Touch-Client ist der Benutzer an der richtigen Zugriffsöffnung angemeldet.</w:t>
      </w:r>
    </w:p>
    <w:p>
      <w:pPr>
        <w:pStyle w:val="ListBullet"/>
      </w:pPr>
      <w:r>
        <w:t xml:space="preserve">Für Kommissionierwagen: ein </w:t>
      </w:r>
      <w:r>
        <w:rPr>
          <w:b/>
        </w:rPr>
        <w:t>Lagerfachträgertyp</w:t>
      </w:r>
      <w:r>
        <w:t xml:space="preserve"> (</w:t>
      </w:r>
      <w:r>
        <w:rPr>
          <w:b/>
        </w:rPr>
        <w:t>WH025</w:t>
      </w:r>
      <w:r>
        <w:t>) mit den zulässigen Ladehilfsmitteln.</w:t>
      </w:r>
    </w:p>
    <w:p>
      <w:pPr>
        <w:pStyle w:val="ListBullet"/>
      </w:pPr>
      <w:r>
        <w:t>Ein Kommissionierbedarfstyp mit den Zielplatz-Optionen (Kapitel 8.1).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Einzelnen Zielplatz neu anlegen</w:t>
            </w:r>
          </w:p>
          <w:p>
            <w:pPr>
              <w:spacing w:after="40"/>
            </w:pPr>
            <w:r>
              <w:rPr>
                <w:sz w:val="19"/>
              </w:rPr>
              <w:t xml:space="preserve">Ein Dialog, der </w:t>
            </w:r>
            <w:r>
              <w:rPr>
                <w:b/>
                <w:sz w:val="19"/>
              </w:rPr>
              <w:t>einen</w:t>
            </w:r>
            <w:r>
              <w:rPr>
                <w:sz w:val="19"/>
              </w:rPr>
              <w:t xml:space="preserve"> neuen Zielplatz ohne Generator anlegt, ist nicht dokumentiert. </w:t>
            </w:r>
            <w:r>
              <w:rPr>
                <w:b/>
                <w:sz w:val="19"/>
              </w:rPr>
              <w:t>LM088 Zielplatz pflegen</w:t>
            </w:r>
            <w:r>
              <w:rPr>
                <w:sz w:val="19"/>
              </w:rPr>
              <w:t xml:space="preserve"> wählt laut Handbuch eine bestehende Zielplatzgruppe, Lagerstandort und Lagerplatz aus und bearbeitet ihn. Für einen einzelnen Platz bleibt laut Doku nur der Generator mit </w:t>
            </w:r>
            <w:r>
              <w:rPr>
                <w:rFonts w:ascii="Consolas" w:hAnsi="Consolas" w:cs="Consolas" w:eastAsia="Consolas"/>
                <w:sz w:val="17"/>
              </w:rPr>
              <w:t>Spalten</w:t>
            </w:r>
            <w:r>
              <w:rPr>
                <w:sz w:val="19"/>
              </w:rPr>
              <w:t xml:space="preserve"> = 1 und </w:t>
            </w:r>
            <w:r>
              <w:rPr>
                <w:rFonts w:ascii="Consolas" w:hAnsi="Consolas" w:cs="Consolas" w:eastAsia="Consolas"/>
                <w:sz w:val="17"/>
              </w:rPr>
              <w:t>Reihen</w:t>
            </w:r>
            <w:r>
              <w:rPr>
                <w:sz w:val="19"/>
              </w:rPr>
              <w:t xml:space="preserve"> = 1 (Kapitel 5).</w:t>
            </w:r>
          </w:p>
        </w:tc>
      </w:tr>
    </w:tbl>
    <w:p>
      <w:pPr>
        <w:spacing w:after="40"/>
      </w:pPr>
    </w:p>
    <w:p>
      <w:pPr>
        <w:pStyle w:val="Quelle"/>
      </w:pPr>
      <w:r>
        <w:rPr>
          <w:b/>
        </w:rPr>
        <w:t xml:space="preserve">Quelle: </w:t>
      </w:r>
      <w:r>
        <w:rPr>
          <w:sz w:val="17"/>
        </w:rPr>
        <w:t>Administratorhandbuch 2.7, Kap. 3.1, 3.1.1.1, 3.1.10, 3.1.11, 3.1.17, 3.4.2</w:t>
      </w:r>
    </w:p>
    <w:p>
      <w:pPr>
        <w:pStyle w:val="Heading2"/>
      </w:pPr>
      <w:r>
        <w:t>4.2 Zielplatz pflegen am Desktop (LM088)</w:t>
      </w:r>
    </w:p>
    <w:p>
      <w:pPr>
        <w:tabs>
          <w:tab w:pos="425" w:val="left"/>
        </w:tabs>
        <w:spacing w:after="60"/>
        <w:ind w:left="425" w:hanging="425"/>
      </w:pPr>
      <w:r>
        <w:rPr>
          <w:b/>
        </w:rPr>
        <w:t>1.</w:t>
        <w:tab/>
      </w:r>
      <w:r>
        <w:rPr>
          <w:b/>
        </w:rPr>
        <w:t>LM088 Zielplatz pflegen</w:t>
      </w:r>
      <w:r>
        <w:t xml:space="preserve"> öffnen.</w:t>
      </w:r>
    </w:p>
    <w:p>
      <w:pPr>
        <w:tabs>
          <w:tab w:pos="425" w:val="left"/>
        </w:tabs>
        <w:spacing w:after="60"/>
        <w:ind w:left="425" w:hanging="425"/>
      </w:pPr>
      <w:r>
        <w:rPr>
          <w:b/>
        </w:rPr>
        <w:t>2.</w:t>
        <w:tab/>
      </w:r>
      <w:r>
        <w:t>Zielplatzgruppe, Lagerstandort und Lagerplatz wählen.</w:t>
      </w:r>
    </w:p>
    <w:p>
      <w:pPr>
        <w:tabs>
          <w:tab w:pos="425" w:val="left"/>
        </w:tabs>
        <w:spacing w:after="60"/>
        <w:ind w:left="425" w:hanging="425"/>
      </w:pPr>
      <w:r>
        <w:rPr>
          <w:b/>
        </w:rPr>
        <w:t>3.</w:t>
        <w:tab/>
      </w:r>
      <w:r>
        <w:t xml:space="preserve">Registerkarte </w:t>
      </w:r>
      <w:r>
        <w:rPr>
          <w:b/>
        </w:rPr>
        <w:t>Zielplatz</w:t>
      </w:r>
      <w:r>
        <w:t xml:space="preserve"> bearbeiten:</w:t>
      </w:r>
    </w:p>
    <w:p>
      <w:pPr>
        <w:pStyle w:val="ListBullet2"/>
      </w:pPr>
      <w:r>
        <w:rPr>
          <w:rFonts w:ascii="Consolas" w:hAnsi="Consolas" w:cs="Consolas" w:eastAsia="Consolas"/>
          <w:sz w:val="18"/>
        </w:rPr>
        <w:t>Einlagerungsreihenfolge von Zielplatz</w:t>
      </w:r>
      <w:r>
        <w:t>: Reihenfolge bei automatischer Zielplatzauswahl. Ohne Nummer = zuletzt.</w:t>
      </w:r>
    </w:p>
    <w:p>
      <w:pPr>
        <w:pStyle w:val="ListBullet2"/>
      </w:pPr>
      <w:r>
        <w:rPr>
          <w:b/>
        </w:rPr>
        <w:t>Uneingeschränkte Kapazität</w:t>
      </w:r>
      <w:r>
        <w:t>: aktivieren, wenn die Kapazität nicht begrenzt ist.</w:t>
      </w:r>
    </w:p>
    <w:p>
      <w:pPr>
        <w:pStyle w:val="ListBullet2"/>
      </w:pPr>
      <w:r>
        <w:rPr>
          <w:rFonts w:ascii="Consolas" w:hAnsi="Consolas" w:cs="Consolas" w:eastAsia="Consolas"/>
          <w:sz w:val="18"/>
        </w:rPr>
        <w:t>Zielplatzkennung</w:t>
      </w:r>
      <w:r>
        <w:t>: optional ein Name.</w:t>
      </w:r>
    </w:p>
    <w:p>
      <w:pPr>
        <w:pStyle w:val="ListBullet2"/>
      </w:pPr>
      <w:r>
        <w:t xml:space="preserve">Bereich </w:t>
      </w:r>
      <w:r>
        <w:rPr>
          <w:b/>
        </w:rPr>
        <w:t>Abmessung</w:t>
      </w:r>
      <w:r>
        <w:t>: Maße und Maßeinheit.</w:t>
      </w:r>
    </w:p>
    <w:p>
      <w:pPr>
        <w:pStyle w:val="ListBullet2"/>
      </w:pPr>
      <w:r>
        <w:t xml:space="preserve">Bereich </w:t>
      </w:r>
      <w:r>
        <w:rPr>
          <w:b/>
        </w:rPr>
        <w:t>Ladeeinheit</w:t>
      </w:r>
      <w:r>
        <w:t>: nur Anzeige der auf dem Zielplatz eingelagerten LE.</w:t>
      </w:r>
    </w:p>
    <w:p>
      <w:pPr>
        <w:tabs>
          <w:tab w:pos="425" w:val="left"/>
        </w:tabs>
        <w:spacing w:after="60"/>
        <w:ind w:left="425" w:hanging="425"/>
      </w:pPr>
      <w:r>
        <w:rPr>
          <w:b/>
        </w:rPr>
        <w:t>4.</w:t>
        <w:tab/>
      </w:r>
      <w:r>
        <w:rPr>
          <w:b/>
        </w:rPr>
        <w:t>Speichern</w:t>
      </w:r>
      <w:r>
        <w:t>.</w:t>
      </w:r>
    </w:p>
    <w:p>
      <w:pPr>
        <w:pStyle w:val="Quelle"/>
      </w:pPr>
      <w:r>
        <w:rPr>
          <w:b/>
        </w:rPr>
        <w:t xml:space="preserve">Quelle: </w:t>
      </w:r>
      <w:r>
        <w:rPr>
          <w:sz w:val="17"/>
        </w:rPr>
        <w:t>Administratorhandbuch 2.7, Kap. 3.1.11–3.1.11.1; Administrator Manual 2.8, Kap. 3.1.12–3.1.12.1 (inhaltsgleich)</w:t>
      </w:r>
    </w:p>
    <w:p>
      <w:pPr>
        <w:pStyle w:val="Heading2"/>
      </w:pPr>
      <w:r>
        <w:t>4.3 Zielplatz pflegen am Touch-Client (LM044)</w:t>
      </w:r>
    </w:p>
    <w:p>
      <w:r>
        <w:rPr>
          <w:b/>
        </w:rPr>
        <w:t>Tools</w:t>
      </w:r>
      <w:r>
        <w:t xml:space="preserve"> → </w:t>
      </w:r>
      <w:r>
        <w:rPr>
          <w:b/>
        </w:rPr>
        <w:t>LM044 Zielplätze</w:t>
      </w:r>
      <w:r>
        <w:t>. Die Funktionen der Symbolleiste zeigt Abb. 5 als Auszug aus der Icon-Liste.</w:t>
      </w:r>
    </w:p>
    <w:p>
      <w:pPr>
        <w:keepNext/>
      </w:pPr>
      <w:r>
        <w:drawing>
          <wp:inline xmlns:a="http://schemas.openxmlformats.org/drawingml/2006/main" xmlns:pic="http://schemas.openxmlformats.org/drawingml/2006/picture">
            <wp:extent cx="5040000" cy="2881455"/>
            <wp:docPr id="107" name="Picture 107"/>
            <wp:cNvGraphicFramePr>
              <a:graphicFrameLocks noChangeAspect="1"/>
            </wp:cNvGraphicFramePr>
            <a:graphic>
              <a:graphicData uri="http://schemas.openxmlformats.org/drawingml/2006/picture">
                <pic:pic>
                  <pic:nvPicPr>
                    <pic:cNvPr id="0" name="abb_icons_lm044.png"/>
                    <pic:cNvPicPr/>
                  </pic:nvPicPr>
                  <pic:blipFill>
                    <a:blip r:embed="rId17"/>
                    <a:stretch>
                      <a:fillRect/>
                    </a:stretch>
                  </pic:blipFill>
                  <pic:spPr>
                    <a:xfrm>
                      <a:off x="0" y="0"/>
                      <a:ext cx="5040000" cy="2881455"/>
                    </a:xfrm>
                    <a:prstGeom prst="rect"/>
                  </pic:spPr>
                </pic:pic>
              </a:graphicData>
            </a:graphic>
          </wp:inline>
        </w:drawing>
      </w:r>
    </w:p>
    <w:p>
      <w:pPr>
        <w:pStyle w:val="BeschriftungSSI"/>
      </w:pPr>
      <w:r>
        <w:t>Abb. 5: Icons von LM044 (Auszug aus der Icon-Liste, Benutzerhandbuch 2.7, S. 165; die Liste nennt die Plätze „externe Lagerplätze“)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54"/>
        <w:gridCol w:w="3735"/>
        <w:gridCol w:w="3735"/>
      </w:tblGrid>
      <w:tr>
        <w:trPr>
          <w:tblHeader w:val="true"/>
        </w:trPr>
        <w:tc>
          <w:tcPr>
            <w:tcW w:type="dxa" w:w="2054"/>
            <w:shd w:val="clear" w:color="auto" w:fill="FEEE19"/>
          </w:tcPr>
          <w:p>
            <w:pPr>
              <w:spacing w:after="0"/>
            </w:pPr>
            <w:r>
              <w:rPr>
                <w:b/>
                <w:sz w:val="17"/>
              </w:rPr>
              <w:t>Aufgabe</w:t>
            </w:r>
          </w:p>
        </w:tc>
        <w:tc>
          <w:tcPr>
            <w:tcW w:type="dxa" w:w="3735"/>
            <w:shd w:val="clear" w:color="auto" w:fill="FEEE19"/>
          </w:tcPr>
          <w:p>
            <w:pPr>
              <w:spacing w:after="0"/>
            </w:pPr>
            <w:r>
              <w:rPr>
                <w:b/>
                <w:sz w:val="17"/>
              </w:rPr>
              <w:t>Ablauf</w:t>
            </w:r>
          </w:p>
        </w:tc>
        <w:tc>
          <w:tcPr>
            <w:tcW w:type="dxa" w:w="3735"/>
            <w:shd w:val="clear" w:color="auto" w:fill="FEEE19"/>
          </w:tcPr>
          <w:p>
            <w:pPr>
              <w:spacing w:after="0"/>
            </w:pPr>
            <w:r>
              <w:rPr>
                <w:b/>
                <w:sz w:val="17"/>
              </w:rPr>
              <w:t>Ergebnis</w:t>
            </w:r>
          </w:p>
        </w:tc>
      </w:tr>
      <w:tr>
        <w:tc>
          <w:tcPr>
            <w:tcW w:type="dxa" w:w="2054"/>
          </w:tcPr>
          <w:p>
            <w:pPr>
              <w:spacing w:after="0" w:line="252" w:lineRule="auto"/>
            </w:pPr>
            <w:r>
              <w:rPr>
                <w:sz w:val="17"/>
              </w:rPr>
              <w:t>Platzgruppe zuordnen</w:t>
            </w:r>
          </w:p>
        </w:tc>
        <w:tc>
          <w:tcPr>
            <w:tcW w:type="dxa" w:w="3735"/>
          </w:tcPr>
          <w:p>
            <w:pPr>
              <w:spacing w:after="0" w:line="252" w:lineRule="auto"/>
            </w:pPr>
            <w:r>
              <w:rPr>
                <w:sz w:val="17"/>
              </w:rPr>
              <w:t xml:space="preserve">Zielplatz wählen → </w:t>
            </w:r>
            <w:r>
              <w:rPr>
                <w:b/>
                <w:sz w:val="17"/>
              </w:rPr>
              <w:t>Platzgruppe zuordnen</w:t>
            </w:r>
            <w:r>
              <w:rPr>
                <w:sz w:val="17"/>
              </w:rPr>
              <w:t xml:space="preserve"> → </w:t>
            </w:r>
            <w:r>
              <w:rPr>
                <w:b/>
                <w:sz w:val="17"/>
              </w:rPr>
              <w:t>LM046</w:t>
            </w:r>
            <w:r>
              <w:rPr>
                <w:sz w:val="17"/>
              </w:rPr>
              <w:t xml:space="preserve">: Zielplatzgruppe wählen → </w:t>
            </w:r>
            <w:r>
              <w:rPr>
                <w:b/>
                <w:sz w:val="17"/>
              </w:rPr>
              <w:t>Speichern</w:t>
            </w:r>
          </w:p>
        </w:tc>
        <w:tc>
          <w:tcPr>
            <w:tcW w:type="dxa" w:w="3735"/>
          </w:tcPr>
          <w:p>
            <w:pPr>
              <w:spacing w:after="0" w:line="252" w:lineRule="auto"/>
            </w:pPr>
            <w:r>
              <w:rPr>
                <w:sz w:val="17"/>
              </w:rPr>
              <w:t>Zielplatz gehört zur Gruppe und zu deren Zugriffsöffnung</w:t>
            </w:r>
          </w:p>
        </w:tc>
      </w:tr>
      <w:tr>
        <w:tc>
          <w:tcPr>
            <w:tcW w:type="dxa" w:w="2054"/>
          </w:tcPr>
          <w:p>
            <w:pPr>
              <w:spacing w:after="0" w:line="252" w:lineRule="auto"/>
            </w:pPr>
            <w:r>
              <w:rPr>
                <w:sz w:val="17"/>
              </w:rPr>
              <w:t>Lagerplatzkennung und Reihenfolge</w:t>
            </w:r>
          </w:p>
        </w:tc>
        <w:tc>
          <w:tcPr>
            <w:tcW w:type="dxa" w:w="3735"/>
          </w:tcPr>
          <w:p>
            <w:pPr>
              <w:spacing w:after="0" w:line="252" w:lineRule="auto"/>
            </w:pPr>
            <w:r>
              <w:rPr>
                <w:sz w:val="17"/>
              </w:rPr>
              <w:t xml:space="preserve">Zielplatz wählen → </w:t>
            </w:r>
            <w:r>
              <w:rPr>
                <w:b/>
                <w:sz w:val="17"/>
              </w:rPr>
              <w:t>Lagerplatzkennung zuordnen</w:t>
            </w:r>
            <w:r>
              <w:rPr>
                <w:sz w:val="17"/>
              </w:rPr>
              <w:t xml:space="preserve"> → </w:t>
            </w:r>
            <w:r>
              <w:rPr>
                <w:b/>
                <w:sz w:val="17"/>
              </w:rPr>
              <w:t>LM107</w:t>
            </w:r>
            <w:r>
              <w:rPr>
                <w:sz w:val="17"/>
              </w:rPr>
              <w:t xml:space="preserve">: </w:t>
            </w:r>
            <w:r>
              <w:rPr>
                <w:rFonts w:ascii="Consolas" w:hAnsi="Consolas" w:cs="Consolas" w:eastAsia="Consolas"/>
                <w:sz w:val="15"/>
              </w:rPr>
              <w:t>Lagerplatzkennung</w:t>
            </w:r>
            <w:r>
              <w:rPr>
                <w:sz w:val="17"/>
              </w:rPr>
              <w:t xml:space="preserve">, </w:t>
            </w:r>
            <w:r>
              <w:rPr>
                <w:rFonts w:ascii="Consolas" w:hAnsi="Consolas" w:cs="Consolas" w:eastAsia="Consolas"/>
                <w:sz w:val="15"/>
              </w:rPr>
              <w:t>Reihenfolge</w:t>
            </w:r>
            <w:r>
              <w:rPr>
                <w:sz w:val="17"/>
              </w:rPr>
              <w:t xml:space="preserve"> → </w:t>
            </w:r>
            <w:r>
              <w:rPr>
                <w:b/>
                <w:sz w:val="17"/>
              </w:rPr>
              <w:t>LE buchen</w:t>
            </w:r>
          </w:p>
        </w:tc>
        <w:tc>
          <w:tcPr>
            <w:tcW w:type="dxa" w:w="3735"/>
          </w:tcPr>
          <w:p>
            <w:pPr>
              <w:spacing w:after="0" w:line="252" w:lineRule="auto"/>
            </w:pPr>
            <w:r>
              <w:rPr>
                <w:sz w:val="17"/>
              </w:rPr>
              <w:t>Kennung und Reihenfolge gesetzt; die Reihenfolge wird „während der Einlagerung berücksichtigt“</w:t>
            </w:r>
          </w:p>
        </w:tc>
      </w:tr>
      <w:tr>
        <w:tc>
          <w:tcPr>
            <w:tcW w:type="dxa" w:w="2054"/>
          </w:tcPr>
          <w:p>
            <w:pPr>
              <w:spacing w:after="0" w:line="252" w:lineRule="auto"/>
            </w:pPr>
            <w:r>
              <w:rPr>
                <w:sz w:val="17"/>
              </w:rPr>
              <w:t>LE buchen</w:t>
            </w:r>
          </w:p>
        </w:tc>
        <w:tc>
          <w:tcPr>
            <w:tcW w:type="dxa" w:w="3735"/>
          </w:tcPr>
          <w:p>
            <w:pPr>
              <w:spacing w:after="0" w:line="252" w:lineRule="auto"/>
            </w:pPr>
            <w:r>
              <w:rPr>
                <w:b/>
                <w:sz w:val="17"/>
              </w:rPr>
              <w:t>Suche</w:t>
            </w:r>
            <w:r>
              <w:rPr>
                <w:sz w:val="17"/>
              </w:rPr>
              <w:t xml:space="preserve"> → Zielplatz wählen → </w:t>
            </w:r>
            <w:r>
              <w:rPr>
                <w:b/>
                <w:sz w:val="17"/>
              </w:rPr>
              <w:t>LE buchen</w:t>
            </w:r>
            <w:r>
              <w:rPr>
                <w:sz w:val="17"/>
              </w:rPr>
              <w:t xml:space="preserve"> → </w:t>
            </w:r>
            <w:r>
              <w:rPr>
                <w:b/>
                <w:sz w:val="17"/>
              </w:rPr>
              <w:t>LM107</w:t>
            </w:r>
            <w:r>
              <w:rPr>
                <w:sz w:val="17"/>
              </w:rPr>
              <w:t xml:space="preserve">: </w:t>
            </w:r>
            <w:r>
              <w:rPr>
                <w:rFonts w:ascii="Consolas" w:hAnsi="Consolas" w:cs="Consolas" w:eastAsia="Consolas"/>
                <w:sz w:val="15"/>
              </w:rPr>
              <w:t>LE-ID</w:t>
            </w:r>
            <w:r>
              <w:rPr>
                <w:sz w:val="17"/>
              </w:rPr>
              <w:t xml:space="preserve"> → </w:t>
            </w:r>
            <w:r>
              <w:rPr>
                <w:b/>
                <w:sz w:val="17"/>
              </w:rPr>
              <w:t>LE buchen</w:t>
            </w:r>
          </w:p>
        </w:tc>
        <w:tc>
          <w:tcPr>
            <w:tcW w:type="dxa" w:w="3735"/>
          </w:tcPr>
          <w:p>
            <w:pPr>
              <w:spacing w:after="0" w:line="252" w:lineRule="auto"/>
            </w:pPr>
            <w:r>
              <w:rPr>
                <w:sz w:val="17"/>
              </w:rPr>
              <w:t>LE steht auf dem Zielplatz</w:t>
            </w:r>
          </w:p>
        </w:tc>
      </w:tr>
      <w:tr>
        <w:tc>
          <w:tcPr>
            <w:tcW w:type="dxa" w:w="2054"/>
          </w:tcPr>
          <w:p>
            <w:pPr>
              <w:spacing w:after="0" w:line="252" w:lineRule="auto"/>
            </w:pPr>
            <w:r>
              <w:rPr>
                <w:sz w:val="17"/>
              </w:rPr>
              <w:t>LE entfernen</w:t>
            </w:r>
          </w:p>
        </w:tc>
        <w:tc>
          <w:tcPr>
            <w:tcW w:type="dxa" w:w="3735"/>
          </w:tcPr>
          <w:p>
            <w:pPr>
              <w:spacing w:after="0" w:line="252" w:lineRule="auto"/>
            </w:pPr>
            <w:r>
              <w:rPr>
                <w:sz w:val="17"/>
              </w:rPr>
              <w:t>Icon „Position einer LE von einem externen Lagerplatz entfernen“</w:t>
            </w:r>
          </w:p>
        </w:tc>
        <w:tc>
          <w:tcPr>
            <w:tcW w:type="dxa" w:w="3735"/>
          </w:tcPr>
          <w:p>
            <w:pPr>
              <w:spacing w:after="0" w:line="252" w:lineRule="auto"/>
            </w:pPr>
            <w:r>
              <w:rPr>
                <w:sz w:val="17"/>
              </w:rPr>
              <w:t>Nur in der Icon-Liste genannt, kein Ablauf beschrieben</w:t>
            </w:r>
          </w:p>
        </w:tc>
      </w:tr>
      <w:tr>
        <w:tc>
          <w:tcPr>
            <w:tcW w:type="dxa" w:w="2054"/>
          </w:tcPr>
          <w:p>
            <w:pPr>
              <w:spacing w:after="0" w:line="252" w:lineRule="auto"/>
            </w:pPr>
            <w:r>
              <w:rPr>
                <w:sz w:val="17"/>
              </w:rPr>
              <w:t>Etikett drucken</w:t>
            </w:r>
          </w:p>
        </w:tc>
        <w:tc>
          <w:tcPr>
            <w:tcW w:type="dxa" w:w="3735"/>
          </w:tcPr>
          <w:p>
            <w:pPr>
              <w:spacing w:after="0" w:line="252" w:lineRule="auto"/>
            </w:pPr>
            <w:r>
              <w:rPr>
                <w:sz w:val="17"/>
              </w:rPr>
              <w:t xml:space="preserve">Zielplatz wählen → </w:t>
            </w:r>
            <w:r>
              <w:rPr>
                <w:b/>
                <w:sz w:val="17"/>
              </w:rPr>
              <w:t>Drucken</w:t>
            </w:r>
          </w:p>
        </w:tc>
        <w:tc>
          <w:tcPr>
            <w:tcW w:type="dxa" w:w="3735"/>
          </w:tcPr>
          <w:p>
            <w:pPr>
              <w:spacing w:after="0" w:line="252" w:lineRule="auto"/>
            </w:pPr>
            <w:r>
              <w:rPr>
                <w:sz w:val="17"/>
              </w:rPr>
              <w:t>Lagerplatzetikett (Kapitel 7)</w:t>
            </w:r>
          </w:p>
        </w:tc>
      </w:tr>
    </w:tbl>
    <w:p>
      <w:pPr>
        <w:pStyle w:val="BeschriftungSSI"/>
      </w:pPr>
      <w:r>
        <w:t>Tab. 6: Funktionen in LM044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Button „LE buchen“ beim Zuordnen der Kennung</w:t>
            </w:r>
          </w:p>
          <w:p>
            <w:pPr>
              <w:spacing w:after="40"/>
            </w:pPr>
            <w:r>
              <w:rPr>
                <w:sz w:val="19"/>
              </w:rPr>
              <w:t xml:space="preserve">Laut BH 2.7, Kap. 5.4.4, bestätigt man die Lagerplatzkennung in LM107 mit dem Icon </w:t>
            </w:r>
            <w:r>
              <w:rPr>
                <w:b/>
                <w:sz w:val="19"/>
              </w:rPr>
              <w:t>LE buchen</w:t>
            </w:r>
            <w:r>
              <w:rPr>
                <w:sz w:val="19"/>
              </w:rPr>
              <w:t xml:space="preserve">. Das R2.4-Handbuch nennt an dieser Stelle </w:t>
            </w:r>
            <w:r>
              <w:rPr>
                <w:b/>
                <w:sz w:val="19"/>
              </w:rPr>
              <w:t>Speichern</w:t>
            </w:r>
            <w:r>
              <w:rPr>
                <w:sz w:val="19"/>
              </w:rPr>
              <w:t>. Im System prüfen, welches Icon in 2.7 erscheint.</w:t>
            </w:r>
          </w:p>
        </w:tc>
      </w:tr>
    </w:tbl>
    <w:p>
      <w:pPr>
        <w:spacing w:after="40"/>
      </w:pPr>
    </w:p>
    <w:p>
      <w:pPr>
        <w:pStyle w:val="Quelle"/>
      </w:pPr>
      <w:r>
        <w:rPr>
          <w:b/>
        </w:rPr>
        <w:t xml:space="preserve">Quelle: </w:t>
      </w:r>
      <w:r>
        <w:rPr>
          <w:sz w:val="17"/>
        </w:rPr>
        <w:t>Benutzerhandbuch 2.7, Kap. 5.4.3–5.4.5, 6.8.2.2, Icon-Liste S. 165; Benutzerhandbuch R2.4, Kap. 4.3.1, 4.4.2; User Manual 2.8, Kap. 5.4.3–5.4.5</w:t>
      </w:r>
    </w:p>
    <w:p>
      <w:pPr>
        <w:pStyle w:val="Heading1"/>
      </w:pPr>
      <w:r>
        <w:t>5 Viele Zielplätze generieren</w:t>
      </w:r>
    </w:p>
    <w:p>
      <w:pPr>
        <w:pStyle w:val="Heading2"/>
      </w:pPr>
      <w:r>
        <w:t>5.1 Am Desktop (LM064 Zielplatz-Generator)</w:t>
      </w:r>
    </w:p>
    <w:p>
      <w:pPr>
        <w:tabs>
          <w:tab w:pos="425" w:val="left"/>
        </w:tabs>
        <w:spacing w:after="60"/>
        <w:ind w:left="425" w:hanging="425"/>
      </w:pPr>
      <w:r>
        <w:rPr>
          <w:b/>
        </w:rPr>
        <w:t>1.</w:t>
        <w:tab/>
      </w:r>
      <w:r>
        <w:rPr>
          <w:b/>
        </w:rPr>
        <w:t>LM065 Übersicht Zielplatzgruppen</w:t>
      </w:r>
      <w:r>
        <w:t xml:space="preserve"> öffnen und mit den Suchoptionen suchen.</w:t>
      </w:r>
    </w:p>
    <w:p>
      <w:pPr>
        <w:tabs>
          <w:tab w:pos="425" w:val="left"/>
        </w:tabs>
        <w:spacing w:after="60"/>
        <w:ind w:left="425" w:hanging="425"/>
      </w:pPr>
      <w:r>
        <w:rPr>
          <w:b/>
        </w:rPr>
        <w:t>2.</w:t>
        <w:tab/>
      </w:r>
      <w:r>
        <w:t xml:space="preserve">Rechtsklick im Bereich </w:t>
      </w:r>
      <w:r>
        <w:rPr>
          <w:b/>
        </w:rPr>
        <w:t>Suchergebnis</w:t>
      </w:r>
      <w:r>
        <w:t xml:space="preserve"> → </w:t>
      </w:r>
      <w:r>
        <w:rPr>
          <w:b/>
        </w:rPr>
        <w:t>Gruppe generieren</w:t>
      </w:r>
      <w:r>
        <w:t xml:space="preserve"> → </w:t>
      </w:r>
      <w:r>
        <w:rPr>
          <w:b/>
        </w:rPr>
        <w:t>LM064 Zielplatz-Generator</w:t>
      </w:r>
      <w:r>
        <w:t>.</w:t>
      </w:r>
    </w:p>
    <w:p>
      <w:pPr>
        <w:tabs>
          <w:tab w:pos="425" w:val="left"/>
        </w:tabs>
        <w:spacing w:after="60"/>
        <w:ind w:left="425" w:hanging="425"/>
      </w:pPr>
      <w:r>
        <w:rPr>
          <w:b/>
        </w:rPr>
        <w:t>3.</w:t>
        <w:tab/>
      </w:r>
      <w:r>
        <w:t>Felder füllen:</w:t>
      </w:r>
    </w:p>
    <w:p>
      <w:pPr>
        <w:pStyle w:val="ListBullet2"/>
      </w:pPr>
      <w:r>
        <w:rPr>
          <w:rFonts w:ascii="Consolas" w:hAnsi="Consolas" w:cs="Consolas" w:eastAsia="Consolas"/>
          <w:sz w:val="18"/>
        </w:rPr>
        <w:t>WAMAS Lift &amp; Store-Zone</w:t>
      </w:r>
      <w:r>
        <w:t>: Lagerstandort und Zone.</w:t>
      </w:r>
    </w:p>
    <w:p>
      <w:pPr>
        <w:pStyle w:val="ListBullet2"/>
      </w:pPr>
      <w:r>
        <w:rPr>
          <w:rFonts w:ascii="Consolas" w:hAnsi="Consolas" w:cs="Consolas" w:eastAsia="Consolas"/>
          <w:sz w:val="18"/>
        </w:rPr>
        <w:t>Gruppenname</w:t>
      </w:r>
      <w:r>
        <w:t>: Name der Gruppe.</w:t>
      </w:r>
    </w:p>
    <w:p>
      <w:pPr>
        <w:pStyle w:val="ListBullet2"/>
      </w:pPr>
      <w:r>
        <w:rPr>
          <w:rFonts w:ascii="Consolas" w:hAnsi="Consolas" w:cs="Consolas" w:eastAsia="Consolas"/>
          <w:sz w:val="18"/>
        </w:rPr>
        <w:t>Spalten</w:t>
      </w:r>
      <w:r>
        <w:t xml:space="preserve"> und </w:t>
      </w:r>
      <w:r>
        <w:rPr>
          <w:rFonts w:ascii="Consolas" w:hAnsi="Consolas" w:cs="Consolas" w:eastAsia="Consolas"/>
          <w:sz w:val="18"/>
        </w:rPr>
        <w:t>Reihen</w:t>
      </w:r>
      <w:r>
        <w:t>: Anzahl; daraus ergibt sich die Anzahl der Zielplätze.</w:t>
      </w:r>
    </w:p>
    <w:p>
      <w:pPr>
        <w:pStyle w:val="ListBullet2"/>
      </w:pPr>
      <w:r>
        <w:t>Länge, Breite, Höhe mit Maßeinheit.</w:t>
      </w:r>
    </w:p>
    <w:p>
      <w:pPr>
        <w:pStyle w:val="ListBullet2"/>
      </w:pPr>
      <w:r>
        <w:rPr>
          <w:b/>
        </w:rPr>
        <w:t>Uneingeschränkte Kapazität</w:t>
      </w:r>
      <w:r>
        <w:t>, falls zutreffend.</w:t>
      </w:r>
    </w:p>
    <w:p>
      <w:pPr>
        <w:tabs>
          <w:tab w:pos="425" w:val="left"/>
        </w:tabs>
        <w:spacing w:after="60"/>
        <w:ind w:left="425" w:hanging="425"/>
      </w:pPr>
      <w:r>
        <w:rPr>
          <w:b/>
        </w:rPr>
        <w:t>4.</w:t>
        <w:tab/>
      </w:r>
      <w:r>
        <w:rPr>
          <w:b/>
        </w:rPr>
        <w:t>Zielplätze generieren</w:t>
      </w:r>
      <w:r>
        <w:t>. Der Generator schließt sich.</w:t>
      </w:r>
    </w:p>
    <w:p>
      <w:pPr>
        <w:tabs>
          <w:tab w:pos="425" w:val="left"/>
        </w:tabs>
        <w:spacing w:after="60"/>
        <w:ind w:left="425" w:hanging="425"/>
      </w:pPr>
      <w:r>
        <w:rPr>
          <w:b/>
        </w:rPr>
        <w:t>5.</w:t>
        <w:tab/>
      </w:r>
      <w:r>
        <w:t xml:space="preserve">Rechtsklick auf die neue Gruppe → </w:t>
      </w:r>
      <w:r>
        <w:rPr>
          <w:b/>
        </w:rPr>
        <w:t>Zugriffsöffnung zuordnen</w:t>
      </w:r>
      <w:r>
        <w:t xml:space="preserve"> → </w:t>
      </w:r>
      <w:r>
        <w:rPr>
          <w:b/>
        </w:rPr>
        <w:t>FW005 Datensatz auswählen</w:t>
      </w:r>
      <w:r>
        <w:t xml:space="preserve">: mindestens eine Zugriffsöffnung → </w:t>
      </w:r>
      <w:r>
        <w:rPr>
          <w:b/>
        </w:rPr>
        <w:t>Auswählen</w:t>
      </w:r>
      <w:r>
        <w:t>.</w:t>
      </w:r>
    </w:p>
    <w:p>
      <w:pPr>
        <w:tabs>
          <w:tab w:pos="425" w:val="left"/>
        </w:tabs>
        <w:spacing w:after="60"/>
        <w:ind w:left="425" w:hanging="425"/>
      </w:pPr>
      <w:r>
        <w:rPr>
          <w:b/>
        </w:rPr>
        <w:t>6.</w:t>
        <w:tab/>
      </w:r>
      <w:r>
        <w:t xml:space="preserve">Je Zielplatz in </w:t>
      </w:r>
      <w:r>
        <w:rPr>
          <w:b/>
        </w:rPr>
        <w:t>LM088</w:t>
      </w:r>
      <w:r>
        <w:t xml:space="preserve"> die </w:t>
      </w:r>
      <w:r>
        <w:rPr>
          <w:rFonts w:ascii="Consolas" w:hAnsi="Consolas" w:cs="Consolas" w:eastAsia="Consolas"/>
          <w:sz w:val="18"/>
        </w:rPr>
        <w:t>Einlagerungsreihenfolge von Zielplatz</w:t>
      </w:r>
      <w:r>
        <w:t xml:space="preserve"> und ggf. die </w:t>
      </w:r>
      <w:r>
        <w:rPr>
          <w:rFonts w:ascii="Consolas" w:hAnsi="Consolas" w:cs="Consolas" w:eastAsia="Consolas"/>
          <w:sz w:val="18"/>
        </w:rPr>
        <w:t>Zielplatzkennung</w:t>
      </w:r>
      <w:r>
        <w:t xml:space="preserve"> setzen.</w:t>
      </w:r>
    </w:p>
    <w:p>
      <w:pPr>
        <w:pStyle w:val="Quelle"/>
      </w:pPr>
      <w:r>
        <w:rPr>
          <w:b/>
        </w:rPr>
        <w:t xml:space="preserve">Quelle: </w:t>
      </w:r>
      <w:r>
        <w:rPr>
          <w:sz w:val="17"/>
        </w:rPr>
        <w:t>Administratorhandbuch 2.7, Kap. 3.1.12; Administrator Manual 2.8, Kap. 3.1.13</w:t>
      </w:r>
    </w:p>
    <w:p>
      <w:pPr>
        <w:pStyle w:val="Heading2"/>
      </w:pPr>
      <w:r>
        <w:t>5.2 Am Touch-Client (LM106 Zielplätze generieren)</w:t>
      </w:r>
    </w:p>
    <w:p>
      <w:pPr>
        <w:tabs>
          <w:tab w:pos="425" w:val="left"/>
        </w:tabs>
        <w:spacing w:after="60"/>
        <w:ind w:left="425" w:hanging="425"/>
      </w:pPr>
      <w:r>
        <w:rPr>
          <w:b/>
        </w:rPr>
        <w:t>1.</w:t>
        <w:tab/>
      </w:r>
      <w:r>
        <w:rPr>
          <w:b/>
        </w:rPr>
        <w:t>Tools</w:t>
      </w:r>
      <w:r>
        <w:t xml:space="preserve"> → </w:t>
      </w:r>
      <w:r>
        <w:rPr>
          <w:b/>
        </w:rPr>
        <w:t>LM044 Zielplätze</w:t>
      </w:r>
      <w:r>
        <w:t xml:space="preserve"> → Icon </w:t>
      </w:r>
      <w:r>
        <w:rPr>
          <w:b/>
        </w:rPr>
        <w:t>Generieren</w:t>
      </w:r>
      <w:r>
        <w:t xml:space="preserve"> → </w:t>
      </w:r>
      <w:r>
        <w:rPr>
          <w:b/>
        </w:rPr>
        <w:t>LM106</w:t>
      </w:r>
      <w:r>
        <w:t>.</w:t>
      </w:r>
    </w:p>
    <w:p>
      <w:pPr>
        <w:tabs>
          <w:tab w:pos="425" w:val="left"/>
        </w:tabs>
        <w:spacing w:after="60"/>
        <w:ind w:left="425" w:hanging="425"/>
      </w:pPr>
      <w:r>
        <w:rPr>
          <w:b/>
        </w:rPr>
        <w:t>2.</w:t>
        <w:tab/>
      </w:r>
      <w:r>
        <w:rPr>
          <w:rFonts w:ascii="Consolas" w:hAnsi="Consolas" w:cs="Consolas" w:eastAsia="Consolas"/>
          <w:sz w:val="18"/>
        </w:rPr>
        <w:t>Gruppenname</w:t>
      </w:r>
      <w:r>
        <w:t xml:space="preserve">, </w:t>
      </w:r>
      <w:r>
        <w:rPr>
          <w:rFonts w:ascii="Consolas" w:hAnsi="Consolas" w:cs="Consolas" w:eastAsia="Consolas"/>
          <w:sz w:val="18"/>
        </w:rPr>
        <w:t>Spalten</w:t>
      </w:r>
      <w:r>
        <w:t xml:space="preserve">, </w:t>
      </w:r>
      <w:r>
        <w:rPr>
          <w:rFonts w:ascii="Consolas" w:hAnsi="Consolas" w:cs="Consolas" w:eastAsia="Consolas"/>
          <w:sz w:val="18"/>
        </w:rPr>
        <w:t>Reihen</w:t>
      </w:r>
      <w:r>
        <w:t xml:space="preserve">, Länge/Breite/Höhe mit Maßeinheit, ggf. </w:t>
      </w:r>
      <w:r>
        <w:rPr>
          <w:b/>
        </w:rPr>
        <w:t>Uneingeschränkte Kapazität</w:t>
      </w:r>
      <w:r>
        <w:t>.</w:t>
      </w:r>
    </w:p>
    <w:p>
      <w:pPr>
        <w:tabs>
          <w:tab w:pos="425" w:val="left"/>
        </w:tabs>
        <w:spacing w:after="60"/>
        <w:ind w:left="425" w:hanging="425"/>
      </w:pPr>
      <w:r>
        <w:rPr>
          <w:b/>
        </w:rPr>
        <w:t>3.</w:t>
        <w:tab/>
      </w:r>
      <w:r>
        <w:t xml:space="preserve">Icon </w:t>
      </w:r>
      <w:r>
        <w:rPr>
          <w:b/>
        </w:rPr>
        <w:t>Generieren</w:t>
      </w:r>
      <w:r>
        <w:t xml:space="preserve">. Die Zielplätze sind angelegt und automatisch der </w:t>
      </w:r>
      <w:r>
        <w:rPr>
          <w:b/>
        </w:rPr>
        <w:t>aktiven Zugriffsöffnung</w:t>
      </w:r>
      <w:r>
        <w:t xml:space="preserve"> zugeordnet; die Zielplatzgruppe wird dabei automatisch angelegt.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Desktop oder Touch?</w:t>
            </w:r>
          </w:p>
          <w:p>
            <w:pPr>
              <w:spacing w:after="40"/>
            </w:pPr>
            <w:r>
              <w:rPr>
                <w:sz w:val="19"/>
              </w:rPr>
              <w:t>Am Touch-Client gibt es kein Feld für die Zone; die Zuordnung zur Zugriffsöffnung ergibt sich aus der Anmeldung. Für Anlagen mit mehreren Zugriffsöffnungen pro Zielplatzgruppe ist der Desktop-Weg (LM064 + FW005) der einzige dokumentierte Weg, mehrere Zugriffsöffnungen zuzuordnen.</w:t>
            </w:r>
          </w:p>
        </w:tc>
      </w:tr>
    </w:tbl>
    <w:p>
      <w:pPr>
        <w:spacing w:after="40"/>
      </w:pPr>
    </w:p>
    <w:p>
      <w:pPr>
        <w:pStyle w:val="Heading2"/>
      </w:pPr>
      <w:r>
        <w:t>5.3 Kommissionierwagen generieren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64"/>
        <w:gridCol w:w="4430"/>
        <w:gridCol w:w="4430"/>
      </w:tblGrid>
      <w:tr>
        <w:trPr>
          <w:tblHeader w:val="true"/>
        </w:trPr>
        <w:tc>
          <w:tcPr>
            <w:tcW w:type="dxa" w:w="664"/>
            <w:shd w:val="clear" w:color="auto" w:fill="FEEE19"/>
          </w:tcPr>
          <w:p>
            <w:pPr>
              <w:spacing w:after="0"/>
            </w:pPr>
            <w:r>
              <w:rPr>
                <w:b/>
                <w:sz w:val="17"/>
              </w:rPr>
            </w:r>
          </w:p>
        </w:tc>
        <w:tc>
          <w:tcPr>
            <w:tcW w:type="dxa" w:w="4430"/>
            <w:shd w:val="clear" w:color="auto" w:fill="FEEE19"/>
          </w:tcPr>
          <w:p>
            <w:pPr>
              <w:spacing w:after="0"/>
            </w:pPr>
            <w:r>
              <w:rPr>
                <w:b/>
                <w:sz w:val="17"/>
              </w:rPr>
              <w:t>Desktop</w:t>
            </w:r>
          </w:p>
        </w:tc>
        <w:tc>
          <w:tcPr>
            <w:tcW w:type="dxa" w:w="4430"/>
            <w:shd w:val="clear" w:color="auto" w:fill="FEEE19"/>
          </w:tcPr>
          <w:p>
            <w:pPr>
              <w:spacing w:after="0"/>
            </w:pPr>
            <w:r>
              <w:rPr>
                <w:b/>
                <w:sz w:val="17"/>
              </w:rPr>
              <w:t>Touch-Client</w:t>
            </w:r>
          </w:p>
        </w:tc>
      </w:tr>
      <w:tr>
        <w:tc>
          <w:tcPr>
            <w:tcW w:type="dxa" w:w="664"/>
          </w:tcPr>
          <w:p>
            <w:pPr>
              <w:spacing w:after="0" w:line="252" w:lineRule="auto"/>
            </w:pPr>
            <w:r>
              <w:rPr>
                <w:sz w:val="17"/>
              </w:rPr>
              <w:t>Einstieg</w:t>
            </w:r>
          </w:p>
        </w:tc>
        <w:tc>
          <w:tcPr>
            <w:tcW w:type="dxa" w:w="4430"/>
          </w:tcPr>
          <w:p>
            <w:pPr>
              <w:spacing w:after="0" w:line="252" w:lineRule="auto"/>
            </w:pPr>
            <w:r>
              <w:rPr>
                <w:b/>
                <w:sz w:val="17"/>
              </w:rPr>
              <w:t>LM065</w:t>
            </w:r>
            <w:r>
              <w:rPr>
                <w:sz w:val="17"/>
              </w:rPr>
              <w:t xml:space="preserve"> › Kontextmenü </w:t>
            </w:r>
            <w:r>
              <w:rPr>
                <w:b/>
                <w:sz w:val="17"/>
              </w:rPr>
              <w:t>Kommissionierwagen anlegen</w:t>
            </w:r>
            <w:r>
              <w:rPr>
                <w:sz w:val="17"/>
              </w:rPr>
              <w:t xml:space="preserve"> → </w:t>
            </w:r>
            <w:r>
              <w:rPr>
                <w:b/>
                <w:sz w:val="17"/>
              </w:rPr>
              <w:t>LM152</w:t>
            </w:r>
          </w:p>
        </w:tc>
        <w:tc>
          <w:tcPr>
            <w:tcW w:type="dxa" w:w="4430"/>
          </w:tcPr>
          <w:p>
            <w:pPr>
              <w:spacing w:after="0" w:line="252" w:lineRule="auto"/>
            </w:pPr>
            <w:r>
              <w:rPr>
                <w:b/>
                <w:sz w:val="17"/>
              </w:rPr>
              <w:t>LM040</w:t>
            </w:r>
            <w:r>
              <w:rPr>
                <w:sz w:val="17"/>
              </w:rPr>
              <w:t xml:space="preserve"> › Registerkarte </w:t>
            </w:r>
            <w:r>
              <w:rPr>
                <w:b/>
                <w:sz w:val="17"/>
              </w:rPr>
              <w:t>Übersicht Kommissionierwägen</w:t>
            </w:r>
            <w:r>
              <w:rPr>
                <w:sz w:val="17"/>
              </w:rPr>
              <w:t xml:space="preserve"> → </w:t>
            </w:r>
            <w:r>
              <w:rPr>
                <w:b/>
                <w:sz w:val="17"/>
              </w:rPr>
              <w:t>Kommissionierwagen anlegen</w:t>
            </w:r>
            <w:r>
              <w:rPr>
                <w:sz w:val="17"/>
              </w:rPr>
              <w:t xml:space="preserve"> → </w:t>
            </w:r>
            <w:r>
              <w:rPr>
                <w:b/>
                <w:sz w:val="17"/>
              </w:rPr>
              <w:t>LM153</w:t>
            </w:r>
          </w:p>
        </w:tc>
      </w:tr>
      <w:tr>
        <w:tc>
          <w:tcPr>
            <w:tcW w:type="dxa" w:w="664"/>
          </w:tcPr>
          <w:p>
            <w:pPr>
              <w:spacing w:after="0" w:line="252" w:lineRule="auto"/>
            </w:pPr>
            <w:r>
              <w:rPr>
                <w:sz w:val="17"/>
              </w:rPr>
              <w:t>Felder</w:t>
            </w:r>
          </w:p>
        </w:tc>
        <w:tc>
          <w:tcPr>
            <w:tcW w:type="dxa" w:w="4430"/>
          </w:tcPr>
          <w:p>
            <w:pPr>
              <w:spacing w:after="0" w:line="252" w:lineRule="auto"/>
            </w:pPr>
            <w:r>
              <w:rPr>
                <w:rFonts w:ascii="Consolas" w:hAnsi="Consolas" w:cs="Consolas" w:eastAsia="Consolas"/>
                <w:sz w:val="15"/>
              </w:rPr>
              <w:t>Gruppenname</w:t>
            </w:r>
            <w:r>
              <w:rPr>
                <w:sz w:val="17"/>
              </w:rPr>
              <w:t xml:space="preserve">, </w:t>
            </w:r>
            <w:r>
              <w:rPr>
                <w:rFonts w:ascii="Consolas" w:hAnsi="Consolas" w:cs="Consolas" w:eastAsia="Consolas"/>
                <w:sz w:val="15"/>
              </w:rPr>
              <w:t>Lagerfachträgertyp</w:t>
            </w:r>
            <w:r>
              <w:rPr>
                <w:sz w:val="17"/>
              </w:rPr>
              <w:t xml:space="preserve">, </w:t>
            </w:r>
            <w:r>
              <w:rPr>
                <w:rFonts w:ascii="Consolas" w:hAnsi="Consolas" w:cs="Consolas" w:eastAsia="Consolas"/>
                <w:sz w:val="15"/>
              </w:rPr>
              <w:t>Spalten</w:t>
            </w:r>
            <w:r>
              <w:rPr>
                <w:sz w:val="17"/>
              </w:rPr>
              <w:t xml:space="preserve">, </w:t>
            </w:r>
            <w:r>
              <w:rPr>
                <w:rFonts w:ascii="Consolas" w:hAnsi="Consolas" w:cs="Consolas" w:eastAsia="Consolas"/>
                <w:sz w:val="15"/>
              </w:rPr>
              <w:t>Reihen</w:t>
            </w:r>
            <w:r>
              <w:rPr>
                <w:sz w:val="17"/>
              </w:rPr>
              <w:t xml:space="preserve"> (nur Ganzzahlen), </w:t>
            </w:r>
            <w:r>
              <w:rPr>
                <w:rFonts w:ascii="Consolas" w:hAnsi="Consolas" w:cs="Consolas" w:eastAsia="Consolas"/>
                <w:sz w:val="15"/>
              </w:rPr>
              <w:t>LP-Tiefe (X)</w:t>
            </w:r>
            <w:r>
              <w:rPr>
                <w:sz w:val="17"/>
              </w:rPr>
              <w:t xml:space="preserve">, </w:t>
            </w:r>
            <w:r>
              <w:rPr>
                <w:rFonts w:ascii="Consolas" w:hAnsi="Consolas" w:cs="Consolas" w:eastAsia="Consolas"/>
                <w:sz w:val="15"/>
              </w:rPr>
              <w:t>LP-Breite (Y)</w:t>
            </w:r>
            <w:r>
              <w:rPr>
                <w:sz w:val="17"/>
              </w:rPr>
              <w:t xml:space="preserve">, </w:t>
            </w:r>
            <w:r>
              <w:rPr>
                <w:rFonts w:ascii="Consolas" w:hAnsi="Consolas" w:cs="Consolas" w:eastAsia="Consolas"/>
                <w:sz w:val="15"/>
              </w:rPr>
              <w:t>LP-Höhe (Z)</w:t>
            </w:r>
          </w:p>
        </w:tc>
        <w:tc>
          <w:tcPr>
            <w:tcW w:type="dxa" w:w="4430"/>
          </w:tcPr>
          <w:p>
            <w:pPr>
              <w:spacing w:after="0" w:line="252" w:lineRule="auto"/>
            </w:pPr>
            <w:r>
              <w:rPr>
                <w:rFonts w:ascii="Consolas" w:hAnsi="Consolas" w:cs="Consolas" w:eastAsia="Consolas"/>
                <w:sz w:val="15"/>
              </w:rPr>
              <w:t>Kommissionierwagenname</w:t>
            </w:r>
            <w:r>
              <w:rPr>
                <w:sz w:val="17"/>
              </w:rPr>
              <w:t xml:space="preserve">, </w:t>
            </w:r>
            <w:r>
              <w:rPr>
                <w:rFonts w:ascii="Consolas" w:hAnsi="Consolas" w:cs="Consolas" w:eastAsia="Consolas"/>
                <w:sz w:val="15"/>
              </w:rPr>
              <w:t>Lagerfachträgertyp</w:t>
            </w:r>
            <w:r>
              <w:rPr>
                <w:sz w:val="17"/>
              </w:rPr>
              <w:t xml:space="preserve">, </w:t>
            </w:r>
            <w:r>
              <w:rPr>
                <w:rFonts w:ascii="Consolas" w:hAnsi="Consolas" w:cs="Consolas" w:eastAsia="Consolas"/>
                <w:sz w:val="15"/>
              </w:rPr>
              <w:t>Spalten</w:t>
            </w:r>
            <w:r>
              <w:rPr>
                <w:sz w:val="17"/>
              </w:rPr>
              <w:t xml:space="preserve">, </w:t>
            </w:r>
            <w:r>
              <w:rPr>
                <w:rFonts w:ascii="Consolas" w:hAnsi="Consolas" w:cs="Consolas" w:eastAsia="Consolas"/>
                <w:sz w:val="15"/>
              </w:rPr>
              <w:t>Ebenen</w:t>
            </w:r>
            <w:r>
              <w:rPr>
                <w:sz w:val="17"/>
              </w:rPr>
              <w:t>, Länge/Breite/Höhe</w:t>
            </w:r>
          </w:p>
        </w:tc>
      </w:tr>
      <w:tr>
        <w:tc>
          <w:tcPr>
            <w:tcW w:type="dxa" w:w="664"/>
          </w:tcPr>
          <w:p>
            <w:pPr>
              <w:spacing w:after="0" w:line="252" w:lineRule="auto"/>
            </w:pPr>
            <w:r>
              <w:rPr>
                <w:sz w:val="17"/>
              </w:rPr>
              <w:t>Abschluss</w:t>
            </w:r>
          </w:p>
        </w:tc>
        <w:tc>
          <w:tcPr>
            <w:tcW w:type="dxa" w:w="4430"/>
          </w:tcPr>
          <w:p>
            <w:pPr>
              <w:spacing w:after="0" w:line="252" w:lineRule="auto"/>
            </w:pPr>
            <w:r>
              <w:rPr>
                <w:b/>
                <w:sz w:val="17"/>
              </w:rPr>
              <w:t>Kommissionierwagen anlegen</w:t>
            </w:r>
          </w:p>
        </w:tc>
        <w:tc>
          <w:tcPr>
            <w:tcW w:type="dxa" w:w="4430"/>
          </w:tcPr>
          <w:p>
            <w:pPr>
              <w:spacing w:after="0" w:line="252" w:lineRule="auto"/>
            </w:pPr>
            <w:r>
              <w:rPr>
                <w:b/>
                <w:sz w:val="17"/>
              </w:rPr>
              <w:t>Generieren</w:t>
            </w:r>
            <w:r>
              <w:rPr>
                <w:sz w:val="17"/>
              </w:rPr>
              <w:t xml:space="preserve">, danach </w:t>
            </w:r>
            <w:r>
              <w:rPr>
                <w:b/>
                <w:sz w:val="17"/>
              </w:rPr>
              <w:t>Kommissionierwagen freigeben</w:t>
            </w:r>
            <w:r>
              <w:rPr>
                <w:sz w:val="17"/>
              </w:rPr>
              <w:t xml:space="preserve"> → </w:t>
            </w:r>
            <w:r>
              <w:rPr>
                <w:b/>
                <w:sz w:val="17"/>
              </w:rPr>
              <w:t>Bestätigen</w:t>
            </w:r>
          </w:p>
        </w:tc>
      </w:tr>
    </w:tbl>
    <w:p>
      <w:pPr>
        <w:pStyle w:val="BeschriftungSSI"/>
      </w:pPr>
      <w:r>
        <w:t>Tab. 7: Kommissionierwagen anlegen</w:t>
      </w:r>
    </w:p>
    <w:p>
      <w:r>
        <w:t xml:space="preserve">Im Betrieb: </w:t>
      </w:r>
      <w:r>
        <w:rPr>
          <w:b/>
        </w:rPr>
        <w:t>LM151 Kommissionierwägen anzeigen</w:t>
      </w:r>
      <w:r>
        <w:t xml:space="preserve"> → Platz wählen → </w:t>
      </w:r>
      <w:r>
        <w:rPr>
          <w:b/>
        </w:rPr>
        <w:t>Bedarfe zuordnen</w:t>
      </w:r>
      <w:r>
        <w:t xml:space="preserve"> → </w:t>
      </w:r>
      <w:r>
        <w:rPr>
          <w:b/>
        </w:rPr>
        <w:t>LM154</w:t>
      </w:r>
      <w:r>
        <w:t xml:space="preserve">: </w:t>
      </w:r>
      <w:r>
        <w:rPr>
          <w:rFonts w:ascii="Consolas" w:hAnsi="Consolas" w:cs="Consolas" w:eastAsia="Consolas"/>
          <w:sz w:val="18"/>
        </w:rPr>
        <w:t>LE-ID</w:t>
      </w:r>
      <w:r>
        <w:t xml:space="preserve"> bestätigen, </w:t>
      </w:r>
      <w:r>
        <w:rPr>
          <w:rFonts w:ascii="Consolas" w:hAnsi="Consolas" w:cs="Consolas" w:eastAsia="Consolas"/>
          <w:sz w:val="18"/>
        </w:rPr>
        <w:t>Kommissionierbedarf</w:t>
      </w:r>
      <w:r>
        <w:t xml:space="preserve"> wählen → </w:t>
      </w:r>
      <w:r>
        <w:rPr>
          <w:b/>
        </w:rPr>
        <w:t>Speichern</w:t>
      </w:r>
      <w:r>
        <w:t xml:space="preserve">. Weitere Funktionen: </w:t>
      </w:r>
      <w:r>
        <w:rPr>
          <w:b/>
        </w:rPr>
        <w:t>LE entfernen</w:t>
      </w:r>
      <w:r>
        <w:t xml:space="preserve">, </w:t>
      </w:r>
      <w:r>
        <w:rPr>
          <w:b/>
        </w:rPr>
        <w:t>LE auffüllen</w:t>
      </w:r>
      <w:r>
        <w:t xml:space="preserve">, </w:t>
      </w:r>
      <w:r>
        <w:rPr>
          <w:b/>
        </w:rPr>
        <w:t>Kommissionierwagen übernehmen</w:t>
      </w:r>
      <w:r>
        <w:t xml:space="preserve"> / </w:t>
      </w:r>
      <w:r>
        <w:rPr>
          <w:b/>
        </w:rPr>
        <w:t>Zuordnung aufheben</w:t>
      </w:r>
      <w:r>
        <w:t xml:space="preserve"> (der Benutzer braucht Rechte für alle Bedarfe auf dem Wagen) und </w:t>
      </w:r>
      <w:r>
        <w:rPr>
          <w:b/>
        </w:rPr>
        <w:t>Kommissionierwagen abschließen</w:t>
      </w:r>
      <w:r>
        <w:t xml:space="preserve"> (schließt alle Plan-LE auf dem Wagen ab). Abhängig von der Parametrierung bleiben Plätze ohne Bedarf für Leer-LE frei (</w:t>
      </w:r>
      <w:r>
        <w:rPr>
          <w:rFonts w:ascii="Consolas" w:hAnsi="Consolas" w:cs="Consolas" w:eastAsia="Consolas"/>
          <w:sz w:val="18"/>
        </w:rPr>
        <w:t>logimat.picking.cart.full.reserve</w:t>
      </w:r>
      <w:r>
        <w:t>).</w:t>
      </w:r>
    </w:p>
    <w:p>
      <w:pPr>
        <w:keepNext/>
      </w:pPr>
      <w:r>
        <w:drawing>
          <wp:inline xmlns:a="http://schemas.openxmlformats.org/drawingml/2006/main" xmlns:pic="http://schemas.openxmlformats.org/drawingml/2006/picture">
            <wp:extent cx="5040000" cy="3319273"/>
            <wp:docPr id="108" name="Picture 108"/>
            <wp:cNvGraphicFramePr>
              <a:graphicFrameLocks noChangeAspect="1"/>
            </wp:cNvGraphicFramePr>
            <a:graphic>
              <a:graphicData uri="http://schemas.openxmlformats.org/drawingml/2006/picture">
                <pic:pic>
                  <pic:nvPicPr>
                    <pic:cNvPr id="0" name="abb_icons_kowa.png"/>
                    <pic:cNvPicPr/>
                  </pic:nvPicPr>
                  <pic:blipFill>
                    <a:blip r:embed="rId18"/>
                    <a:stretch>
                      <a:fillRect/>
                    </a:stretch>
                  </pic:blipFill>
                  <pic:spPr>
                    <a:xfrm>
                      <a:off x="0" y="0"/>
                      <a:ext cx="5040000" cy="3319273"/>
                    </a:xfrm>
                    <a:prstGeom prst="rect"/>
                  </pic:spPr>
                </pic:pic>
              </a:graphicData>
            </a:graphic>
          </wp:inline>
        </w:drawing>
      </w:r>
    </w:p>
    <w:p>
      <w:pPr>
        <w:pStyle w:val="BeschriftungSSI"/>
      </w:pPr>
      <w:r>
        <w:t>Abb. 6: Icons für Kommissionierwagen (Auszug aus der Icon-Liste, Benutzerhandbuch 2.7, S. 165)</w:t>
      </w:r>
    </w:p>
    <w:p>
      <w:pPr>
        <w:pStyle w:val="Quelle"/>
      </w:pPr>
      <w:r>
        <w:rPr>
          <w:b/>
        </w:rPr>
        <w:t xml:space="preserve">Quelle: </w:t>
      </w:r>
      <w:r>
        <w:rPr>
          <w:sz w:val="17"/>
        </w:rPr>
        <w:t>Administratorhandbuch 2.7, Kap. 3.1.17, 3.11.2; Benutzerhandbuch 2.7, Kap. 5.5.1–5.5.6, Icon-Liste S. 165; User Manual 2.8, Kap. 5.5</w:t>
      </w:r>
    </w:p>
    <w:p>
      <w:pPr>
        <w:pStyle w:val="Heading2"/>
      </w:pPr>
      <w:r>
        <w:t>5.4 Importieren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Import von Zielplätzen</w:t>
            </w:r>
          </w:p>
          <w:p>
            <w:pPr>
              <w:spacing w:after="40"/>
            </w:pPr>
            <w:r>
              <w:rPr>
                <w:sz w:val="19"/>
              </w:rPr>
              <w:t xml:space="preserve">Ein Import von Zielplätzen aus einer Datei ist in 2.7 und 2.8 nicht dokumentiert. Dokumentiert ist der Import nur für </w:t>
            </w:r>
            <w:r>
              <w:rPr>
                <w:b/>
                <w:sz w:val="19"/>
              </w:rPr>
              <w:t>externe Lagerplätze</w:t>
            </w:r>
            <w:r>
              <w:rPr>
                <w:sz w:val="19"/>
              </w:rPr>
              <w:t xml:space="preserve"> (</w:t>
            </w:r>
            <w:r>
              <w:rPr>
                <w:b/>
                <w:sz w:val="19"/>
              </w:rPr>
              <w:t>LM125</w:t>
            </w:r>
            <w:r>
              <w:rPr>
                <w:sz w:val="19"/>
              </w:rPr>
              <w:t xml:space="preserve"> › </w:t>
            </w:r>
            <w:r>
              <w:rPr>
                <w:b/>
                <w:sz w:val="19"/>
              </w:rPr>
              <w:t>Externe Lagerplätze importieren</w:t>
            </w:r>
            <w:r>
              <w:rPr>
                <w:sz w:val="19"/>
              </w:rPr>
              <w:t xml:space="preserve"> → </w:t>
            </w:r>
            <w:r>
              <w:rPr>
                <w:b/>
                <w:sz w:val="19"/>
              </w:rPr>
              <w:t>FW010</w:t>
            </w:r>
            <w:r>
              <w:rPr>
                <w:sz w:val="19"/>
              </w:rPr>
              <w:t xml:space="preserve">, Beispieldatei </w:t>
            </w:r>
            <w:r>
              <w:rPr>
                <w:rFonts w:ascii="Consolas" w:hAnsi="Consolas" w:cs="Consolas" w:eastAsia="Consolas"/>
                <w:sz w:val="17"/>
              </w:rPr>
              <w:t>Import_ExternalLocation_NK_FORUM_example.csv</w:t>
            </w:r>
            <w:r>
              <w:rPr>
                <w:sz w:val="19"/>
              </w:rPr>
              <w:t>). Ob dieser Import auch Zielplatzgruppen anlegen kann, ist offen. Für viele Plätze bleibt laut Doku der Generator (Spalten × Reihen).</w:t>
            </w:r>
          </w:p>
        </w:tc>
      </w:tr>
    </w:tbl>
    <w:p>
      <w:pPr>
        <w:spacing w:after="40"/>
      </w:pPr>
    </w:p>
    <w:p>
      <w:pPr>
        <w:pStyle w:val="Quelle"/>
      </w:pPr>
      <w:r>
        <w:rPr>
          <w:b/>
        </w:rPr>
        <w:t xml:space="preserve">Quelle: </w:t>
      </w:r>
      <w:r>
        <w:rPr>
          <w:sz w:val="17"/>
        </w:rPr>
        <w:t>Administratorhandbuch 2.7, Kap. 3.1.12, 3.1.13; How-to „Externe Lagerprozesse“ v1.0, Kap. 4.2</w:t>
      </w:r>
    </w:p>
    <w:p>
      <w:pPr>
        <w:pStyle w:val="Heading1"/>
      </w:pPr>
      <w:r>
        <w:t>6 Ändern, Deaktivieren und Abbauen</w:t>
      </w:r>
    </w:p>
    <w:p>
      <w:pPr>
        <w:pStyle w:val="Heading2"/>
      </w:pPr>
      <w:r>
        <w:t>6.1 Ändern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112"/>
        <w:gridCol w:w="3237"/>
      </w:tblGrid>
      <w:tr>
        <w:trPr>
          <w:tblHeader w:val="true"/>
        </w:trPr>
        <w:tc>
          <w:tcPr>
            <w:tcW w:type="dxa" w:w="3175"/>
            <w:shd w:val="clear" w:color="auto" w:fill="FEEE19"/>
          </w:tcPr>
          <w:p>
            <w:pPr>
              <w:spacing w:after="0"/>
            </w:pPr>
            <w:r>
              <w:rPr>
                <w:b/>
                <w:sz w:val="17"/>
              </w:rPr>
              <w:t>Was</w:t>
            </w:r>
          </w:p>
        </w:tc>
        <w:tc>
          <w:tcPr>
            <w:tcW w:type="dxa" w:w="3113"/>
            <w:shd w:val="clear" w:color="auto" w:fill="FEEE19"/>
          </w:tcPr>
          <w:p>
            <w:pPr>
              <w:spacing w:after="0"/>
            </w:pPr>
            <w:r>
              <w:rPr>
                <w:b/>
                <w:sz w:val="17"/>
              </w:rPr>
              <w:t>Wo</w:t>
            </w:r>
          </w:p>
        </w:tc>
        <w:tc>
          <w:tcPr>
            <w:tcW w:type="dxa" w:w="3237"/>
            <w:shd w:val="clear" w:color="auto" w:fill="FEEE19"/>
          </w:tcPr>
          <w:p>
            <w:pPr>
              <w:spacing w:after="0"/>
            </w:pPr>
            <w:r>
              <w:rPr>
                <w:b/>
                <w:sz w:val="17"/>
              </w:rPr>
              <w:t>Hinweis</w:t>
            </w:r>
          </w:p>
        </w:tc>
      </w:tr>
      <w:tr>
        <w:tc>
          <w:tcPr>
            <w:tcW w:type="dxa" w:w="3175"/>
          </w:tcPr>
          <w:p>
            <w:pPr>
              <w:spacing w:after="0" w:line="252" w:lineRule="auto"/>
            </w:pPr>
            <w:r>
              <w:rPr>
                <w:sz w:val="17"/>
              </w:rPr>
              <w:t>Reihenfolge, Kapazität, Kennung, Maße eines Platzes</w:t>
            </w:r>
          </w:p>
        </w:tc>
        <w:tc>
          <w:tcPr>
            <w:tcW w:type="dxa" w:w="3113"/>
          </w:tcPr>
          <w:p>
            <w:pPr>
              <w:spacing w:after="0" w:line="252" w:lineRule="auto"/>
            </w:pPr>
            <w:r>
              <w:rPr>
                <w:b/>
                <w:sz w:val="17"/>
              </w:rPr>
              <w:t>LM088</w:t>
            </w:r>
            <w:r>
              <w:rPr>
                <w:sz w:val="17"/>
              </w:rPr>
              <w:t xml:space="preserve"> › Registerkarte </w:t>
            </w:r>
            <w:r>
              <w:rPr>
                <w:b/>
                <w:sz w:val="17"/>
              </w:rPr>
              <w:t>Zielplatz</w:t>
            </w:r>
          </w:p>
        </w:tc>
        <w:tc>
          <w:tcPr>
            <w:tcW w:type="dxa" w:w="3237"/>
          </w:tcPr>
          <w:p>
            <w:pPr>
              <w:spacing w:after="0" w:line="252" w:lineRule="auto"/>
            </w:pPr>
            <w:r>
              <w:rPr>
                <w:sz w:val="17"/>
              </w:rPr>
              <w:t>Desktop</w:t>
            </w:r>
          </w:p>
        </w:tc>
      </w:tr>
      <w:tr>
        <w:tc>
          <w:tcPr>
            <w:tcW w:type="dxa" w:w="3175"/>
          </w:tcPr>
          <w:p>
            <w:pPr>
              <w:spacing w:after="0" w:line="252" w:lineRule="auto"/>
            </w:pPr>
            <w:r>
              <w:rPr>
                <w:sz w:val="17"/>
              </w:rPr>
              <w:t>Kennung und Reihenfolge</w:t>
            </w:r>
          </w:p>
        </w:tc>
        <w:tc>
          <w:tcPr>
            <w:tcW w:type="dxa" w:w="3113"/>
          </w:tcPr>
          <w:p>
            <w:pPr>
              <w:spacing w:after="0" w:line="252" w:lineRule="auto"/>
            </w:pPr>
            <w:r>
              <w:rPr>
                <w:b/>
                <w:sz w:val="17"/>
              </w:rPr>
              <w:t>LM044</w:t>
            </w:r>
            <w:r>
              <w:rPr>
                <w:sz w:val="17"/>
              </w:rPr>
              <w:t xml:space="preserve"> › </w:t>
            </w:r>
            <w:r>
              <w:rPr>
                <w:b/>
                <w:sz w:val="17"/>
              </w:rPr>
              <w:t>Lagerplatzkennung zuordnen</w:t>
            </w:r>
            <w:r>
              <w:rPr>
                <w:sz w:val="17"/>
              </w:rPr>
              <w:t xml:space="preserve"> (LM107)</w:t>
            </w:r>
          </w:p>
        </w:tc>
        <w:tc>
          <w:tcPr>
            <w:tcW w:type="dxa" w:w="3237"/>
          </w:tcPr>
          <w:p>
            <w:pPr>
              <w:spacing w:after="0" w:line="252" w:lineRule="auto"/>
            </w:pPr>
            <w:r>
              <w:rPr>
                <w:sz w:val="17"/>
              </w:rPr>
              <w:t>Touch-Client</w:t>
            </w:r>
          </w:p>
        </w:tc>
      </w:tr>
      <w:tr>
        <w:tc>
          <w:tcPr>
            <w:tcW w:type="dxa" w:w="3175"/>
          </w:tcPr>
          <w:p>
            <w:pPr>
              <w:spacing w:after="0" w:line="252" w:lineRule="auto"/>
            </w:pPr>
            <w:r>
              <w:rPr>
                <w:sz w:val="17"/>
              </w:rPr>
              <w:t>Gruppe eines Platzes</w:t>
            </w:r>
          </w:p>
        </w:tc>
        <w:tc>
          <w:tcPr>
            <w:tcW w:type="dxa" w:w="3113"/>
          </w:tcPr>
          <w:p>
            <w:pPr>
              <w:spacing w:after="0" w:line="252" w:lineRule="auto"/>
            </w:pPr>
            <w:r>
              <w:rPr>
                <w:b/>
                <w:sz w:val="17"/>
              </w:rPr>
              <w:t>LM044</w:t>
            </w:r>
            <w:r>
              <w:rPr>
                <w:sz w:val="17"/>
              </w:rPr>
              <w:t xml:space="preserve"> › </w:t>
            </w:r>
            <w:r>
              <w:rPr>
                <w:b/>
                <w:sz w:val="17"/>
              </w:rPr>
              <w:t>Platzgruppe zuordnen</w:t>
            </w:r>
            <w:r>
              <w:rPr>
                <w:sz w:val="17"/>
              </w:rPr>
              <w:t xml:space="preserve"> (LM046)</w:t>
            </w:r>
          </w:p>
        </w:tc>
        <w:tc>
          <w:tcPr>
            <w:tcW w:type="dxa" w:w="3237"/>
          </w:tcPr>
          <w:p>
            <w:pPr>
              <w:spacing w:after="0" w:line="252" w:lineRule="auto"/>
            </w:pPr>
            <w:r>
              <w:rPr>
                <w:sz w:val="17"/>
              </w:rPr>
              <w:t>Platz übernimmt die Zugriffsöffnung der neuen Gruppe</w:t>
            </w:r>
          </w:p>
        </w:tc>
      </w:tr>
      <w:tr>
        <w:tc>
          <w:tcPr>
            <w:tcW w:type="dxa" w:w="3175"/>
          </w:tcPr>
          <w:p>
            <w:pPr>
              <w:spacing w:after="0" w:line="252" w:lineRule="auto"/>
            </w:pPr>
            <w:r>
              <w:rPr>
                <w:sz w:val="17"/>
              </w:rPr>
              <w:t>Zugriffsöffnung einer Gruppe</w:t>
            </w:r>
          </w:p>
        </w:tc>
        <w:tc>
          <w:tcPr>
            <w:tcW w:type="dxa" w:w="3113"/>
          </w:tcPr>
          <w:p>
            <w:pPr>
              <w:spacing w:after="0" w:line="252" w:lineRule="auto"/>
            </w:pPr>
            <w:r>
              <w:rPr>
                <w:b/>
                <w:sz w:val="17"/>
              </w:rPr>
              <w:t>LM065</w:t>
            </w:r>
            <w:r>
              <w:rPr>
                <w:sz w:val="17"/>
              </w:rPr>
              <w:t xml:space="preserve"> › </w:t>
            </w:r>
            <w:r>
              <w:rPr>
                <w:b/>
                <w:sz w:val="17"/>
              </w:rPr>
              <w:t>Zugriffsöffnung zuordnen</w:t>
            </w:r>
            <w:r>
              <w:rPr>
                <w:sz w:val="17"/>
              </w:rPr>
              <w:t xml:space="preserve"> (FW005)</w:t>
            </w:r>
          </w:p>
        </w:tc>
        <w:tc>
          <w:tcPr>
            <w:tcW w:type="dxa" w:w="3237"/>
          </w:tcPr>
          <w:p>
            <w:pPr>
              <w:spacing w:after="0" w:line="252" w:lineRule="auto"/>
            </w:pPr>
            <w:r>
              <w:rPr>
                <w:sz w:val="17"/>
              </w:rPr>
              <w:t>Entfernen einer Zuordnung ist nicht beschrieben</w:t>
            </w:r>
          </w:p>
        </w:tc>
      </w:tr>
      <w:tr>
        <w:tc>
          <w:tcPr>
            <w:tcW w:type="dxa" w:w="3175"/>
          </w:tcPr>
          <w:p>
            <w:pPr>
              <w:spacing w:after="0" w:line="252" w:lineRule="auto"/>
            </w:pPr>
            <w:r>
              <w:rPr>
                <w:sz w:val="17"/>
              </w:rPr>
              <w:t>Externe LE-ID nach Freigabe (nur 2.8)</w:t>
            </w:r>
          </w:p>
        </w:tc>
        <w:tc>
          <w:tcPr>
            <w:tcW w:type="dxa" w:w="3113"/>
          </w:tcPr>
          <w:p>
            <w:pPr>
              <w:spacing w:after="0" w:line="252" w:lineRule="auto"/>
            </w:pPr>
            <w:r>
              <w:rPr>
                <w:b/>
                <w:sz w:val="17"/>
              </w:rPr>
              <w:t>LM045</w:t>
            </w:r>
            <w:r>
              <w:rPr>
                <w:sz w:val="17"/>
              </w:rPr>
              <w:t xml:space="preserve"> › </w:t>
            </w:r>
            <w:r>
              <w:rPr>
                <w:b/>
                <w:sz w:val="17"/>
              </w:rPr>
              <w:t>LM108</w:t>
            </w:r>
            <w:r>
              <w:rPr>
                <w:sz w:val="17"/>
              </w:rPr>
              <w:t xml:space="preserve"> bzw. </w:t>
            </w:r>
            <w:r>
              <w:rPr>
                <w:b/>
                <w:sz w:val="17"/>
              </w:rPr>
              <w:t>LM071</w:t>
            </w:r>
            <w:r>
              <w:rPr>
                <w:sz w:val="17"/>
              </w:rPr>
              <w:t xml:space="preserve"> › </w:t>
            </w:r>
            <w:r>
              <w:rPr>
                <w:b/>
                <w:sz w:val="17"/>
              </w:rPr>
              <w:t>LM165</w:t>
            </w:r>
          </w:p>
        </w:tc>
        <w:tc>
          <w:tcPr>
            <w:tcW w:type="dxa" w:w="3237"/>
          </w:tcPr>
          <w:p>
            <w:pPr>
              <w:spacing w:after="0" w:line="252" w:lineRule="auto"/>
            </w:pPr>
            <w:r>
              <w:rPr>
                <w:sz w:val="17"/>
              </w:rPr>
              <w:t>Bedarf erhält neue externe LE</w:t>
            </w:r>
          </w:p>
        </w:tc>
      </w:tr>
    </w:tbl>
    <w:p>
      <w:pPr>
        <w:pStyle w:val="BeschriftungSSI"/>
      </w:pPr>
      <w:r>
        <w:t>Tab. 8: Ändern</w:t>
      </w:r>
    </w:p>
    <w:p>
      <w:pPr>
        <w:pStyle w:val="Heading2"/>
      </w:pPr>
      <w:r>
        <w:t>6.2 Deaktivieren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Zielplatz sperren oder deaktivieren</w:t>
            </w:r>
          </w:p>
          <w:p>
            <w:pPr>
              <w:spacing w:after="40"/>
            </w:pPr>
            <w:r>
              <w:rPr>
                <w:sz w:val="19"/>
              </w:rPr>
              <w:t xml:space="preserve">Für Zielplätze und Zielplatzgruppen ist weder ein Sperrkennzeichen noch ein </w:t>
            </w:r>
            <w:r>
              <w:rPr>
                <w:rFonts w:ascii="Consolas" w:hAnsi="Consolas" w:cs="Consolas" w:eastAsia="Consolas"/>
                <w:sz w:val="17"/>
              </w:rPr>
              <w:t>Stammdatenstatus</w:t>
            </w:r>
            <w:r>
              <w:rPr>
                <w:sz w:val="19"/>
              </w:rPr>
              <w:t xml:space="preserve"> dokumentiert. Indirekte Möglichkeiten laut Doku: Am Kommissionierbedarfstyp </w:t>
            </w:r>
            <w:r>
              <w:rPr>
                <w:b/>
                <w:sz w:val="19"/>
              </w:rPr>
              <w:t>PTL deaktivieren</w:t>
            </w:r>
            <w:r>
              <w:rPr>
                <w:sz w:val="19"/>
              </w:rPr>
              <w:t xml:space="preserve"> oder </w:t>
            </w:r>
            <w:r>
              <w:rPr>
                <w:b/>
                <w:sz w:val="19"/>
              </w:rPr>
              <w:t>Zielplatz automatisch auswählen</w:t>
            </w:r>
            <w:r>
              <w:rPr>
                <w:sz w:val="19"/>
              </w:rPr>
              <w:t xml:space="preserve"> abschalten; Plätze mit </w:t>
            </w:r>
            <w:r>
              <w:rPr>
                <w:rFonts w:ascii="Consolas" w:hAnsi="Consolas" w:cs="Consolas" w:eastAsia="Consolas"/>
                <w:sz w:val="17"/>
              </w:rPr>
              <w:t>logimat.picking.externalloc.reserve</w:t>
            </w:r>
            <w:r>
              <w:rPr>
                <w:sz w:val="19"/>
              </w:rPr>
              <w:t xml:space="preserve"> für kleine Aufträge freihalten. Ein echtes Deaktivieren einzelner Plätze ist nicht beschrieben.</w:t>
            </w:r>
          </w:p>
        </w:tc>
      </w:tr>
    </w:tbl>
    <w:p>
      <w:pPr>
        <w:spacing w:after="40"/>
      </w:pPr>
    </w:p>
    <w:p>
      <w:pPr>
        <w:pStyle w:val="Heading2"/>
      </w:pPr>
      <w:r>
        <w:t>6.3 Löschen und Abbauen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02"/>
        <w:gridCol w:w="4111"/>
        <w:gridCol w:w="4111"/>
      </w:tblGrid>
      <w:tr>
        <w:trPr>
          <w:tblHeader w:val="true"/>
        </w:trPr>
        <w:tc>
          <w:tcPr>
            <w:tcW w:type="dxa" w:w="1302"/>
            <w:shd w:val="clear" w:color="auto" w:fill="FEEE19"/>
          </w:tcPr>
          <w:p>
            <w:pPr>
              <w:spacing w:after="0"/>
            </w:pPr>
            <w:r>
              <w:rPr>
                <w:b/>
                <w:sz w:val="17"/>
              </w:rPr>
              <w:t>Weg</w:t>
            </w:r>
          </w:p>
        </w:tc>
        <w:tc>
          <w:tcPr>
            <w:tcW w:type="dxa" w:w="4111"/>
            <w:shd w:val="clear" w:color="auto" w:fill="FEEE19"/>
          </w:tcPr>
          <w:p>
            <w:pPr>
              <w:spacing w:after="0"/>
            </w:pPr>
            <w:r>
              <w:rPr>
                <w:b/>
                <w:sz w:val="17"/>
              </w:rPr>
              <w:t>Ablauf</w:t>
            </w:r>
          </w:p>
        </w:tc>
        <w:tc>
          <w:tcPr>
            <w:tcW w:type="dxa" w:w="4111"/>
            <w:shd w:val="clear" w:color="auto" w:fill="FEEE19"/>
          </w:tcPr>
          <w:p>
            <w:pPr>
              <w:spacing w:after="0"/>
            </w:pPr>
            <w:r>
              <w:rPr>
                <w:b/>
                <w:sz w:val="17"/>
              </w:rPr>
              <w:t>Wirkung laut Handbuch</w:t>
            </w:r>
          </w:p>
        </w:tc>
      </w:tr>
      <w:tr>
        <w:tc>
          <w:tcPr>
            <w:tcW w:type="dxa" w:w="1302"/>
          </w:tcPr>
          <w:p>
            <w:pPr>
              <w:spacing w:after="0" w:line="252" w:lineRule="auto"/>
            </w:pPr>
            <w:r>
              <w:rPr>
                <w:sz w:val="17"/>
              </w:rPr>
              <w:t>Desktop</w:t>
            </w:r>
          </w:p>
        </w:tc>
        <w:tc>
          <w:tcPr>
            <w:tcW w:type="dxa" w:w="4111"/>
          </w:tcPr>
          <w:p>
            <w:pPr>
              <w:spacing w:after="0" w:line="252" w:lineRule="auto"/>
            </w:pPr>
            <w:r>
              <w:rPr>
                <w:b/>
                <w:sz w:val="17"/>
              </w:rPr>
              <w:t>LM065</w:t>
            </w:r>
            <w:r>
              <w:rPr>
                <w:sz w:val="17"/>
              </w:rPr>
              <w:t xml:space="preserve"> → Rechtsklick auf die Gruppe → </w:t>
            </w:r>
            <w:r>
              <w:rPr>
                <w:b/>
                <w:sz w:val="17"/>
              </w:rPr>
              <w:t>Zielplatzgruppe löschen</w:t>
            </w:r>
          </w:p>
        </w:tc>
        <w:tc>
          <w:tcPr>
            <w:tcW w:type="dxa" w:w="4111"/>
          </w:tcPr>
          <w:p>
            <w:pPr>
              <w:spacing w:after="0" w:line="252" w:lineRule="auto"/>
            </w:pPr>
            <w:r>
              <w:rPr>
                <w:sz w:val="17"/>
              </w:rPr>
              <w:t>Löscht die vorhandenen Zielplätze der Gruppe</w:t>
            </w:r>
          </w:p>
        </w:tc>
      </w:tr>
      <w:tr>
        <w:tc>
          <w:tcPr>
            <w:tcW w:type="dxa" w:w="1302"/>
          </w:tcPr>
          <w:p>
            <w:pPr>
              <w:spacing w:after="0" w:line="252" w:lineRule="auto"/>
            </w:pPr>
            <w:r>
              <w:rPr>
                <w:sz w:val="17"/>
              </w:rPr>
              <w:t>Touch-Client</w:t>
            </w:r>
          </w:p>
        </w:tc>
        <w:tc>
          <w:tcPr>
            <w:tcW w:type="dxa" w:w="4111"/>
          </w:tcPr>
          <w:p>
            <w:pPr>
              <w:spacing w:after="0" w:line="252" w:lineRule="auto"/>
            </w:pPr>
            <w:r>
              <w:rPr>
                <w:b/>
                <w:sz w:val="17"/>
              </w:rPr>
              <w:t>LM044</w:t>
            </w:r>
            <w:r>
              <w:rPr>
                <w:sz w:val="17"/>
              </w:rPr>
              <w:t xml:space="preserve"> → </w:t>
            </w:r>
            <w:r>
              <w:rPr>
                <w:b/>
                <w:sz w:val="17"/>
              </w:rPr>
              <w:t>Alle entfernen</w:t>
            </w:r>
            <w:r>
              <w:rPr>
                <w:sz w:val="17"/>
              </w:rPr>
              <w:t xml:space="preserve"> → </w:t>
            </w:r>
            <w:r>
              <w:rPr>
                <w:b/>
                <w:sz w:val="17"/>
              </w:rPr>
              <w:t>Ja</w:t>
            </w:r>
          </w:p>
        </w:tc>
        <w:tc>
          <w:tcPr>
            <w:tcW w:type="dxa" w:w="4111"/>
          </w:tcPr>
          <w:p>
            <w:pPr>
              <w:spacing w:after="0" w:line="252" w:lineRule="auto"/>
            </w:pPr>
            <w:r>
              <w:rPr>
                <w:sz w:val="17"/>
              </w:rPr>
              <w:t>„Alle Zielplätze sind entfernt.“ R2.4: Vorbedingung „mindestens ein Zielplatz vorhanden“</w:t>
            </w:r>
          </w:p>
        </w:tc>
      </w:tr>
      <w:tr>
        <w:tc>
          <w:tcPr>
            <w:tcW w:type="dxa" w:w="1302"/>
          </w:tcPr>
          <w:p>
            <w:pPr>
              <w:spacing w:after="0" w:line="252" w:lineRule="auto"/>
            </w:pPr>
            <w:r>
              <w:rPr>
                <w:sz w:val="17"/>
              </w:rPr>
              <w:t>LE vom Platz nehmen</w:t>
            </w:r>
          </w:p>
        </w:tc>
        <w:tc>
          <w:tcPr>
            <w:tcW w:type="dxa" w:w="4111"/>
          </w:tcPr>
          <w:p>
            <w:pPr>
              <w:spacing w:after="0" w:line="252" w:lineRule="auto"/>
            </w:pPr>
            <w:r>
              <w:rPr>
                <w:b/>
                <w:sz w:val="17"/>
              </w:rPr>
              <w:t>LM044</w:t>
            </w:r>
            <w:r>
              <w:rPr>
                <w:sz w:val="17"/>
              </w:rPr>
              <w:t xml:space="preserve">, Icon „Position einer LE … entfernen“; Kommissionierwagen: </w:t>
            </w:r>
            <w:r>
              <w:rPr>
                <w:b/>
                <w:sz w:val="17"/>
              </w:rPr>
              <w:t>LM151</w:t>
            </w:r>
            <w:r>
              <w:rPr>
                <w:sz w:val="17"/>
              </w:rPr>
              <w:t xml:space="preserve"> › </w:t>
            </w:r>
            <w:r>
              <w:rPr>
                <w:b/>
                <w:sz w:val="17"/>
              </w:rPr>
              <w:t>LE entfernen</w:t>
            </w:r>
          </w:p>
        </w:tc>
        <w:tc>
          <w:tcPr>
            <w:tcW w:type="dxa" w:w="4111"/>
          </w:tcPr>
          <w:p>
            <w:pPr>
              <w:spacing w:after="0" w:line="252" w:lineRule="auto"/>
            </w:pPr>
            <w:r>
              <w:rPr>
                <w:sz w:val="17"/>
              </w:rPr>
              <w:t>LE ist nicht mehr auf dem Platz gebucht</w:t>
            </w:r>
          </w:p>
        </w:tc>
      </w:tr>
    </w:tbl>
    <w:p>
      <w:pPr>
        <w:pStyle w:val="BeschriftungSSI"/>
      </w:pPr>
      <w:r>
        <w:t>Tab. 9: Abbauen</w:t>
      </w:r>
    </w:p>
    <w:p>
      <w:r>
        <w:t>Empfohlene Reihenfolge, abgeleitet aus den Abhängigkeiten (keine Herstellervorgabe):</w:t>
      </w:r>
    </w:p>
    <w:p>
      <w:pPr>
        <w:tabs>
          <w:tab w:pos="425" w:val="left"/>
        </w:tabs>
        <w:spacing w:after="60"/>
        <w:ind w:left="425" w:hanging="425"/>
      </w:pPr>
      <w:r>
        <w:rPr>
          <w:b/>
        </w:rPr>
        <w:t>1.</w:t>
        <w:tab/>
      </w:r>
      <w:r>
        <w:t>Kommissionierbedarfe dieser Zone/Zugriffsöffnung fertigstellen oder organisatorisch abschließen; keine Bedarfe mehr freigeben.</w:t>
      </w:r>
    </w:p>
    <w:p>
      <w:pPr>
        <w:tabs>
          <w:tab w:pos="425" w:val="left"/>
        </w:tabs>
        <w:spacing w:after="60"/>
        <w:ind w:left="425" w:hanging="425"/>
      </w:pPr>
      <w:r>
        <w:rPr>
          <w:b/>
        </w:rPr>
        <w:t>2.</w:t>
        <w:tab/>
      </w:r>
      <w:r>
        <w:t xml:space="preserve">In </w:t>
      </w:r>
      <w:r>
        <w:rPr>
          <w:b/>
        </w:rPr>
        <w:t>LM044</w:t>
      </w:r>
      <w:r>
        <w:t xml:space="preserve"> › </w:t>
      </w:r>
      <w:r>
        <w:rPr>
          <w:b/>
        </w:rPr>
        <w:t>Suche</w:t>
      </w:r>
      <w:r>
        <w:t xml:space="preserve"> bzw. in </w:t>
      </w:r>
      <w:r>
        <w:rPr>
          <w:b/>
        </w:rPr>
        <w:t>LM088</w:t>
      </w:r>
      <w:r>
        <w:t xml:space="preserve"> (Bereich </w:t>
      </w:r>
      <w:r>
        <w:rPr>
          <w:b/>
        </w:rPr>
        <w:t>Ladeeinheit</w:t>
      </w:r>
      <w:r>
        <w:t xml:space="preserve">) prüfen, ob noch LE auf den Plätzen stehen; Plan-LE in </w:t>
      </w:r>
      <w:r>
        <w:rPr>
          <w:b/>
        </w:rPr>
        <w:t>LM074</w:t>
      </w:r>
      <w:r>
        <w:t xml:space="preserve"> bzw. </w:t>
      </w:r>
      <w:r>
        <w:rPr>
          <w:b/>
        </w:rPr>
        <w:t>LM045</w:t>
      </w:r>
      <w:r>
        <w:t xml:space="preserve"> prüfen; Kommissionierwagen abschließen.</w:t>
      </w:r>
    </w:p>
    <w:p>
      <w:pPr>
        <w:tabs>
          <w:tab w:pos="425" w:val="left"/>
        </w:tabs>
        <w:spacing w:after="60"/>
        <w:ind w:left="425" w:hanging="425"/>
      </w:pPr>
      <w:r>
        <w:rPr>
          <w:b/>
        </w:rPr>
        <w:t>3.</w:t>
        <w:tab/>
      </w:r>
      <w:r>
        <w:t>LE von den Plätzen entfernen bzw. weitergeben.</w:t>
      </w:r>
    </w:p>
    <w:p>
      <w:pPr>
        <w:tabs>
          <w:tab w:pos="425" w:val="left"/>
        </w:tabs>
        <w:spacing w:after="60"/>
        <w:ind w:left="425" w:hanging="425"/>
      </w:pPr>
      <w:r>
        <w:rPr>
          <w:b/>
        </w:rPr>
        <w:t>4.</w:t>
        <w:tab/>
      </w:r>
      <w:r>
        <w:t xml:space="preserve">Zielplatzgruppe in </w:t>
      </w:r>
      <w:r>
        <w:rPr>
          <w:b/>
        </w:rPr>
        <w:t>LM065</w:t>
      </w:r>
      <w:r>
        <w:t xml:space="preserve"> löschen oder in </w:t>
      </w:r>
      <w:r>
        <w:rPr>
          <w:b/>
        </w:rPr>
        <w:t>LM044</w:t>
      </w:r>
      <w:r>
        <w:t xml:space="preserve"> </w:t>
      </w:r>
      <w:r>
        <w:rPr>
          <w:b/>
        </w:rPr>
        <w:t>Alle entfernen</w:t>
      </w:r>
      <w:r>
        <w:t>.</w:t>
      </w:r>
    </w:p>
    <w:p>
      <w:pPr>
        <w:tabs>
          <w:tab w:pos="425" w:val="left"/>
        </w:tabs>
        <w:spacing w:after="60"/>
        <w:ind w:left="425" w:hanging="425"/>
      </w:pPr>
      <w:r>
        <w:rPr>
          <w:b/>
        </w:rPr>
        <w:t>5.</w:t>
        <w:tab/>
      </w:r>
      <w:r>
        <w:t>Kommissionierbedarfstyp anpassen (</w:t>
      </w:r>
      <w:r>
        <w:rPr>
          <w:b/>
        </w:rPr>
        <w:t>Zielplatz automatisch auswählen</w:t>
      </w:r>
      <w:r>
        <w:t xml:space="preserve">, </w:t>
      </w:r>
      <w:r>
        <w:rPr>
          <w:b/>
        </w:rPr>
        <w:t>Bedarfsaktivierung … begrenzen</w:t>
      </w:r>
      <w:r>
        <w:t>), sonst warten neue Bedarfe auf freie Zielplätze.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Was das Löschen verhindert</w:t>
            </w:r>
          </w:p>
          <w:p>
            <w:pPr>
              <w:spacing w:after="40"/>
            </w:pPr>
            <w:r>
              <w:rPr>
                <w:sz w:val="19"/>
              </w:rPr>
              <w:t xml:space="preserve">Ob WAMAS das Löschen verweigert, wenn noch eine LE gebucht ist, eine Kommissionier-Plan-LE offen ist oder Bestand in der Ziel-LE liegt, ist in 2.7 und 2.8 nicht beschrieben. Ebenso offen: ob </w:t>
            </w:r>
            <w:r>
              <w:rPr>
                <w:b/>
                <w:sz w:val="19"/>
              </w:rPr>
              <w:t>Alle entfernen</w:t>
            </w:r>
            <w:r>
              <w:rPr>
                <w:sz w:val="19"/>
              </w:rPr>
              <w:t xml:space="preserve"> nur die Plätze der aktiven Zugriffsöffnung oder alle Zielplätze des Systems entfernt. Vor dem ersten Einsatz in einem Testsystem prüfen.</w:t>
            </w:r>
          </w:p>
        </w:tc>
      </w:tr>
    </w:tbl>
    <w:p>
      <w:pPr>
        <w:spacing w:after="40"/>
      </w:pPr>
    </w:p>
    <w:p>
      <w:pPr>
        <w:pStyle w:val="Quelle"/>
      </w:pPr>
      <w:r>
        <w:rPr>
          <w:b/>
        </w:rPr>
        <w:t xml:space="preserve">Quelle: </w:t>
      </w:r>
      <w:r>
        <w:rPr>
          <w:sz w:val="17"/>
        </w:rPr>
        <w:t>Administratorhandbuch 2.7, Kap. 3.1.12 (Schritt 6), 3.6.1.10, 3.11.2; Benutzerhandbuch 2.7, Kap. 5.4.2, 5.5.3, 5.5.6, Icon-Liste S. 165; Benutzerhandbuch R2.4, Kap. 4.3.1 (Tab. 12); User Manual 2.8, Kap. 5.4.2, 6.2.5.3</w:t>
      </w:r>
    </w:p>
    <w:p>
      <w:pPr>
        <w:pStyle w:val="Heading1"/>
      </w:pPr>
      <w:r>
        <w:t>7 Zielplätze etikettieren</w:t>
      </w:r>
    </w:p>
    <w:p>
      <w:pPr>
        <w:pStyle w:val="ListBullet"/>
      </w:pPr>
      <w:r>
        <w:rPr>
          <w:b/>
        </w:rPr>
        <w:t>Touch-Client:</w:t>
      </w:r>
      <w:r>
        <w:t xml:space="preserve"> </w:t>
      </w:r>
      <w:r>
        <w:rPr>
          <w:b/>
        </w:rPr>
        <w:t>LM044 Zielplätze</w:t>
      </w:r>
      <w:r>
        <w:t xml:space="preserve"> öffnen → Lagerplatz wählen → Icon </w:t>
      </w:r>
      <w:r>
        <w:rPr>
          <w:b/>
        </w:rPr>
        <w:t>Drucken</w:t>
      </w:r>
      <w:r>
        <w:t>. Eine Benachrichtigung bestätigt den Druck.</w:t>
      </w:r>
    </w:p>
    <w:p>
      <w:pPr>
        <w:pStyle w:val="ListBullet"/>
      </w:pPr>
      <w:r>
        <w:t>Lagerplatzetiketten enthalten laut Handbuch „i. d. R. einen scanbaren Barcode mit Informationen zum Lagerplatz“.</w:t>
      </w:r>
    </w:p>
    <w:p>
      <w:pPr>
        <w:pStyle w:val="ListBullet"/>
      </w:pPr>
      <w:r>
        <w:rPr>
          <w:b/>
        </w:rPr>
        <w:t>Desktop:</w:t>
      </w:r>
      <w:r>
        <w:t xml:space="preserve"> Lagerplatzetiketten über </w:t>
      </w:r>
      <w:r>
        <w:rPr>
          <w:b/>
        </w:rPr>
        <w:t>WH004 Übersicht Lagerplätze</w:t>
      </w:r>
      <w:r>
        <w:t xml:space="preserve"> oder </w:t>
      </w:r>
      <w:r>
        <w:rPr>
          <w:b/>
        </w:rPr>
        <w:t>LM069</w:t>
      </w:r>
      <w:r>
        <w:t xml:space="preserve"> › Registerkarte </w:t>
      </w:r>
      <w:r>
        <w:rPr>
          <w:b/>
        </w:rPr>
        <w:t>Externer Lagerplatz</w:t>
      </w:r>
      <w:r>
        <w:t xml:space="preserve"> → Kontextmenü </w:t>
      </w:r>
      <w:r>
        <w:rPr>
          <w:b/>
        </w:rPr>
        <w:t>Lagerplatzetiketten drucken</w:t>
      </w:r>
      <w:r>
        <w:t xml:space="preserve"> → </w:t>
      </w:r>
      <w:r>
        <w:rPr>
          <w:b/>
        </w:rPr>
        <w:t>RM001 Dokument erzeugen</w:t>
      </w:r>
      <w:r>
        <w:t xml:space="preserve"> (Berichtsformat, Sprache, Kanal). Ob WH004 auch Zielplätze listet, ist nicht beschrieben.</w:t>
      </w:r>
    </w:p>
    <w:p>
      <w:pPr>
        <w:pStyle w:val="ListBullet"/>
      </w:pPr>
      <w:r>
        <w:rPr>
          <w:b/>
        </w:rPr>
        <w:t>Etikett der Ziel-LE:</w:t>
      </w:r>
      <w:r>
        <w:t xml:space="preserve"> </w:t>
      </w:r>
      <w:r>
        <w:rPr>
          <w:b/>
        </w:rPr>
        <w:t>LM045</w:t>
      </w:r>
      <w:r>
        <w:t xml:space="preserve"> → LE wählen → </w:t>
      </w:r>
      <w:r>
        <w:rPr>
          <w:b/>
        </w:rPr>
        <w:t>Drucken</w:t>
      </w:r>
      <w:r>
        <w:t xml:space="preserve">, bzw. automatisch mit </w:t>
      </w:r>
      <w:r>
        <w:rPr>
          <w:rFonts w:ascii="Consolas" w:hAnsi="Consolas" w:cs="Consolas" w:eastAsia="Consolas"/>
          <w:sz w:val="18"/>
        </w:rPr>
        <w:t>logimat.picking.externalluid.print</w:t>
      </w:r>
      <w:r>
        <w:t xml:space="preserve"> = </w:t>
      </w:r>
      <w:r>
        <w:rPr>
          <w:rFonts w:ascii="Consolas" w:hAnsi="Consolas" w:cs="Consolas" w:eastAsia="Consolas"/>
          <w:sz w:val="18"/>
        </w:rPr>
        <w:t>AUTOMATIC</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Etiketteninhalt</w:t>
            </w:r>
          </w:p>
          <w:p>
            <w:pPr>
              <w:spacing w:after="40"/>
            </w:pPr>
            <w:r>
              <w:rPr>
                <w:sz w:val="19"/>
              </w:rPr>
              <w:t xml:space="preserve">Welche Felder das Lagerplatzetikett eines Zielplatzes zeigt (z. B. </w:t>
            </w:r>
            <w:r>
              <w:rPr>
                <w:rFonts w:ascii="Consolas" w:hAnsi="Consolas" w:cs="Consolas" w:eastAsia="Consolas"/>
                <w:sz w:val="17"/>
              </w:rPr>
              <w:t>Zielplatzkennung</w:t>
            </w:r>
            <w:r>
              <w:rPr>
                <w:sz w:val="19"/>
              </w:rPr>
              <w:t xml:space="preserve"> oder Lagerplatz-ID als Barcode) und welches Berichtslayout am Touch-Client verwendet wird, ist nicht dokumentiert. Details zur Druckerzuordnung im How-to „Dokumente drucken“.</w:t>
            </w:r>
          </w:p>
        </w:tc>
      </w:tr>
    </w:tbl>
    <w:p>
      <w:pPr>
        <w:spacing w:after="40"/>
      </w:pPr>
    </w:p>
    <w:p>
      <w:pPr>
        <w:pStyle w:val="Quelle"/>
      </w:pPr>
      <w:r>
        <w:rPr>
          <w:b/>
        </w:rPr>
        <w:t xml:space="preserve">Quelle: </w:t>
      </w:r>
      <w:r>
        <w:rPr>
          <w:sz w:val="17"/>
        </w:rPr>
        <w:t>Benutzerhandbuch 2.7, Kap. 6.7.1.2, 6.8.1.3, 6.8.2.2; Administratorhandbuch 2.7, Kap. 3.11.2; How-to „Dokumente drucken“ v1.0</w:t>
      </w:r>
    </w:p>
    <w:p>
      <w:pPr>
        <w:pStyle w:val="Heading1"/>
      </w:pPr>
      <w:r>
        <w:t>8 Einstellungen und Parameter</w:t>
      </w:r>
    </w:p>
    <w:p>
      <w:pPr>
        <w:pStyle w:val="Heading2"/>
      </w:pPr>
      <w:r>
        <w:t>8.1 Kommissionierbedarfstyp (MD017)</w:t>
      </w:r>
    </w:p>
    <w:p>
      <w:r>
        <w:rPr>
          <w:b/>
        </w:rPr>
        <w:t>MD017</w:t>
      </w:r>
      <w:r>
        <w:t xml:space="preserve"> › Registerkarte </w:t>
      </w:r>
      <w:r>
        <w:rPr>
          <w:b/>
        </w:rPr>
        <w:t>Kommissionierbedarfstyp</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Feld / Checkbox</w:t>
            </w:r>
          </w:p>
        </w:tc>
        <w:tc>
          <w:tcPr>
            <w:tcW w:type="dxa" w:w="4762"/>
            <w:shd w:val="clear" w:color="auto" w:fill="FEEE19"/>
          </w:tcPr>
          <w:p>
            <w:pPr>
              <w:spacing w:after="0"/>
            </w:pPr>
            <w:r>
              <w:rPr>
                <w:b/>
                <w:sz w:val="17"/>
              </w:rPr>
              <w:t>Wirkung laut AH 2.7</w:t>
            </w:r>
          </w:p>
        </w:tc>
      </w:tr>
      <w:tr>
        <w:tc>
          <w:tcPr>
            <w:tcW w:type="dxa" w:w="4762"/>
          </w:tcPr>
          <w:p>
            <w:pPr>
              <w:spacing w:after="0" w:line="252" w:lineRule="auto"/>
            </w:pPr>
            <w:r>
              <w:rPr>
                <w:b/>
                <w:sz w:val="17"/>
              </w:rPr>
              <w:t>Batchkommissionierung Put to Light</w:t>
            </w:r>
          </w:p>
        </w:tc>
        <w:tc>
          <w:tcPr>
            <w:tcW w:type="dxa" w:w="4762"/>
          </w:tcPr>
          <w:p>
            <w:pPr>
              <w:spacing w:after="0" w:line="252" w:lineRule="auto"/>
            </w:pPr>
            <w:r>
              <w:rPr>
                <w:sz w:val="17"/>
              </w:rPr>
              <w:t>Batchkommissionierung mit Put to Light ist verfügbar</w:t>
            </w:r>
          </w:p>
        </w:tc>
      </w:tr>
      <w:tr>
        <w:tc>
          <w:tcPr>
            <w:tcW w:type="dxa" w:w="4762"/>
          </w:tcPr>
          <w:p>
            <w:pPr>
              <w:spacing w:after="0" w:line="252" w:lineRule="auto"/>
            </w:pPr>
            <w:r>
              <w:rPr>
                <w:b/>
                <w:sz w:val="17"/>
              </w:rPr>
              <w:t>Zielplatz automatisch auswählen</w:t>
            </w:r>
          </w:p>
        </w:tc>
        <w:tc>
          <w:tcPr>
            <w:tcW w:type="dxa" w:w="4762"/>
          </w:tcPr>
          <w:p>
            <w:pPr>
              <w:spacing w:after="0" w:line="252" w:lineRule="auto"/>
            </w:pPr>
            <w:r>
              <w:rPr>
                <w:sz w:val="17"/>
              </w:rPr>
              <w:t>Zielplätze werden automatisch gewählt, wenn der Bedarf vom Benutzer manuell aktiviert wird</w:t>
            </w:r>
          </w:p>
        </w:tc>
      </w:tr>
      <w:tr>
        <w:tc>
          <w:tcPr>
            <w:tcW w:type="dxa" w:w="4762"/>
          </w:tcPr>
          <w:p>
            <w:pPr>
              <w:spacing w:after="0" w:line="252" w:lineRule="auto"/>
            </w:pPr>
            <w:r>
              <w:rPr>
                <w:b/>
                <w:sz w:val="17"/>
              </w:rPr>
              <w:t>PTL deaktivieren</w:t>
            </w:r>
          </w:p>
        </w:tc>
        <w:tc>
          <w:tcPr>
            <w:tcW w:type="dxa" w:w="4762"/>
          </w:tcPr>
          <w:p>
            <w:pPr>
              <w:spacing w:after="0" w:line="252" w:lineRule="auto"/>
            </w:pPr>
            <w:r>
              <w:rPr>
                <w:sz w:val="17"/>
              </w:rPr>
              <w:t>Put-to-Light-Kommissionierung ist abgeschaltet</w:t>
            </w:r>
          </w:p>
        </w:tc>
      </w:tr>
      <w:tr>
        <w:tc>
          <w:tcPr>
            <w:tcW w:type="dxa" w:w="4762"/>
          </w:tcPr>
          <w:p>
            <w:pPr>
              <w:spacing w:after="0" w:line="252" w:lineRule="auto"/>
            </w:pPr>
            <w:r>
              <w:rPr>
                <w:b/>
                <w:sz w:val="17"/>
              </w:rPr>
              <w:t>Bedarfsaktivierung durch freien, externen Lagerplatz begrenzen</w:t>
            </w:r>
          </w:p>
        </w:tc>
        <w:tc>
          <w:tcPr>
            <w:tcW w:type="dxa" w:w="4762"/>
          </w:tcPr>
          <w:p>
            <w:pPr>
              <w:spacing w:after="0" w:line="252" w:lineRule="auto"/>
            </w:pPr>
            <w:r>
              <w:rPr>
                <w:sz w:val="17"/>
              </w:rPr>
              <w:t>Aktivierung nur auf Basis der verfügbaren Plätze (Schulung: aktive Bedarfe ≤ Zielplätze)</w:t>
            </w:r>
          </w:p>
        </w:tc>
      </w:tr>
      <w:tr>
        <w:tc>
          <w:tcPr>
            <w:tcW w:type="dxa" w:w="4762"/>
          </w:tcPr>
          <w:p>
            <w:pPr>
              <w:spacing w:after="0" w:line="252" w:lineRule="auto"/>
            </w:pPr>
            <w:r>
              <w:rPr>
                <w:b/>
                <w:sz w:val="17"/>
              </w:rPr>
              <w:t>Mit Kommissionierwagen verwendet</w:t>
            </w:r>
          </w:p>
        </w:tc>
        <w:tc>
          <w:tcPr>
            <w:tcW w:type="dxa" w:w="4762"/>
          </w:tcPr>
          <w:p>
            <w:pPr>
              <w:spacing w:after="0" w:line="252" w:lineRule="auto"/>
            </w:pPr>
            <w:r>
              <w:rPr>
                <w:sz w:val="17"/>
              </w:rPr>
              <w:t>Bedarfstyp wird mit Kommissionierwägen verwendet</w:t>
            </w:r>
          </w:p>
        </w:tc>
      </w:tr>
      <w:tr>
        <w:tc>
          <w:tcPr>
            <w:tcW w:type="dxa" w:w="4762"/>
          </w:tcPr>
          <w:p>
            <w:pPr>
              <w:spacing w:after="0" w:line="252" w:lineRule="auto"/>
            </w:pPr>
            <w:r>
              <w:rPr>
                <w:b/>
                <w:sz w:val="17"/>
              </w:rPr>
              <w:t>Bevorzugtes Ladehilfsmittel</w:t>
            </w:r>
            <w:r>
              <w:rPr>
                <w:sz w:val="17"/>
              </w:rPr>
              <w:t xml:space="preserve">, </w:t>
            </w:r>
            <w:r>
              <w:rPr>
                <w:b/>
                <w:sz w:val="17"/>
              </w:rPr>
              <w:t>Bevorzugte Kubatur</w:t>
            </w:r>
          </w:p>
        </w:tc>
        <w:tc>
          <w:tcPr>
            <w:tcW w:type="dxa" w:w="4762"/>
          </w:tcPr>
          <w:p>
            <w:pPr>
              <w:spacing w:after="0" w:line="252" w:lineRule="auto"/>
            </w:pPr>
            <w:r>
              <w:rPr>
                <w:sz w:val="17"/>
              </w:rPr>
              <w:t>Vorgabe für die Ziel-LE</w:t>
            </w:r>
          </w:p>
        </w:tc>
      </w:tr>
      <w:tr>
        <w:tc>
          <w:tcPr>
            <w:tcW w:type="dxa" w:w="4762"/>
          </w:tcPr>
          <w:p>
            <w:pPr>
              <w:spacing w:after="0" w:line="252" w:lineRule="auto"/>
            </w:pPr>
            <w:r>
              <w:rPr>
                <w:b/>
                <w:sz w:val="17"/>
              </w:rPr>
              <w:t>Kann von jedem Benutzer ausgeführt werden</w:t>
            </w:r>
          </w:p>
        </w:tc>
        <w:tc>
          <w:tcPr>
            <w:tcW w:type="dxa" w:w="4762"/>
          </w:tcPr>
          <w:p>
            <w:pPr>
              <w:spacing w:after="0" w:line="252" w:lineRule="auto"/>
            </w:pPr>
            <w:r>
              <w:rPr>
                <w:sz w:val="17"/>
              </w:rPr>
              <w:t>Mehrere Benutzer gleichzeitig</w:t>
            </w:r>
          </w:p>
        </w:tc>
      </w:tr>
      <w:tr>
        <w:tc>
          <w:tcPr>
            <w:tcW w:type="dxa" w:w="4762"/>
          </w:tcPr>
          <w:p>
            <w:pPr>
              <w:spacing w:after="0" w:line="252" w:lineRule="auto"/>
            </w:pPr>
            <w:r>
              <w:rPr>
                <w:b/>
                <w:sz w:val="17"/>
              </w:rPr>
              <w:t>Leere Box nach Kommissionierung entfernen</w:t>
            </w:r>
            <w:r>
              <w:rPr>
                <w:sz w:val="17"/>
              </w:rPr>
              <w:t xml:space="preserve">, </w:t>
            </w:r>
            <w:r>
              <w:rPr>
                <w:b/>
                <w:sz w:val="17"/>
              </w:rPr>
              <w:t>Kommissionierlieferschein drucken</w:t>
            </w:r>
            <w:r>
              <w:rPr>
                <w:sz w:val="17"/>
              </w:rPr>
              <w:t xml:space="preserve">, </w:t>
            </w:r>
            <w:r>
              <w:rPr>
                <w:b/>
                <w:sz w:val="17"/>
              </w:rPr>
              <w:t>Packliste drucken</w:t>
            </w:r>
            <w:r>
              <w:rPr>
                <w:sz w:val="17"/>
              </w:rPr>
              <w:t xml:space="preserve">, </w:t>
            </w:r>
            <w:r>
              <w:rPr>
                <w:rFonts w:ascii="Consolas" w:hAnsi="Consolas" w:cs="Consolas" w:eastAsia="Consolas"/>
                <w:sz w:val="15"/>
              </w:rPr>
              <w:t>Optionen für Drucken von Kommissionieretiketten</w:t>
            </w:r>
          </w:p>
        </w:tc>
        <w:tc>
          <w:tcPr>
            <w:tcW w:type="dxa" w:w="4762"/>
          </w:tcPr>
          <w:p>
            <w:pPr>
              <w:spacing w:after="0" w:line="252" w:lineRule="auto"/>
            </w:pPr>
            <w:r>
              <w:rPr>
                <w:sz w:val="17"/>
              </w:rPr>
              <w:t>Abschluss und Dokumente</w:t>
            </w:r>
          </w:p>
        </w:tc>
      </w:tr>
    </w:tbl>
    <w:p>
      <w:pPr>
        <w:pStyle w:val="BeschriftungSSI"/>
      </w:pPr>
      <w:r>
        <w:t>Tab. 10: Zielplatzrelevante Felder am Kommissionierbedarfstyp</w:t>
      </w:r>
    </w:p>
    <w:p>
      <w:pPr>
        <w:pStyle w:val="Heading2"/>
      </w:pPr>
      <w:r>
        <w:t>8.2 Globale Parameter (FW028)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95"/>
        <w:gridCol w:w="903"/>
        <w:gridCol w:w="4927"/>
      </w:tblGrid>
      <w:tr>
        <w:trPr>
          <w:tblHeader w:val="true"/>
        </w:trPr>
        <w:tc>
          <w:tcPr>
            <w:tcW w:type="dxa" w:w="3695"/>
            <w:shd w:val="clear" w:color="auto" w:fill="FEEE19"/>
          </w:tcPr>
          <w:p>
            <w:pPr>
              <w:spacing w:after="0"/>
            </w:pPr>
            <w:r>
              <w:rPr>
                <w:b/>
                <w:sz w:val="17"/>
              </w:rPr>
              <w:t>Parameter</w:t>
            </w:r>
          </w:p>
        </w:tc>
        <w:tc>
          <w:tcPr>
            <w:tcW w:type="dxa" w:w="903"/>
            <w:shd w:val="clear" w:color="auto" w:fill="FEEE19"/>
          </w:tcPr>
          <w:p>
            <w:pPr>
              <w:spacing w:after="0"/>
            </w:pPr>
            <w:r>
              <w:rPr>
                <w:b/>
                <w:sz w:val="17"/>
              </w:rPr>
              <w:t>Typ</w:t>
            </w:r>
          </w:p>
        </w:tc>
        <w:tc>
          <w:tcPr>
            <w:tcW w:type="dxa" w:w="4926"/>
            <w:shd w:val="clear" w:color="auto" w:fill="FEEE19"/>
          </w:tcPr>
          <w:p>
            <w:pPr>
              <w:spacing w:after="0"/>
            </w:pPr>
            <w:r>
              <w:rPr>
                <w:b/>
                <w:sz w:val="17"/>
              </w:rPr>
              <w:t>Bedeutung laut AH 2.7</w:t>
            </w:r>
          </w:p>
        </w:tc>
      </w:tr>
      <w:tr>
        <w:tc>
          <w:tcPr>
            <w:tcW w:type="dxa" w:w="3695"/>
          </w:tcPr>
          <w:p>
            <w:pPr>
              <w:spacing w:after="0" w:line="252" w:lineRule="auto"/>
            </w:pPr>
            <w:r>
              <w:rPr>
                <w:rFonts w:ascii="Consolas" w:hAnsi="Consolas" w:cs="Consolas" w:eastAsia="Consolas"/>
                <w:sz w:val="15"/>
              </w:rPr>
              <w:t>logimat.picking.askBookLuOnExternalLocation</w:t>
            </w:r>
          </w:p>
        </w:tc>
        <w:tc>
          <w:tcPr>
            <w:tcW w:type="dxa" w:w="903"/>
          </w:tcPr>
          <w:p>
            <w:pPr>
              <w:spacing w:after="0" w:line="252" w:lineRule="auto"/>
            </w:pPr>
            <w:r>
              <w:rPr>
                <w:sz w:val="17"/>
              </w:rPr>
              <w:t>Boolean</w:t>
            </w:r>
          </w:p>
        </w:tc>
        <w:tc>
          <w:tcPr>
            <w:tcW w:type="dxa" w:w="4926"/>
          </w:tcPr>
          <w:p>
            <w:pPr>
              <w:spacing w:after="0" w:line="252" w:lineRule="auto"/>
            </w:pPr>
            <w:r>
              <w:rPr>
                <w:rFonts w:ascii="Consolas" w:hAnsi="Consolas" w:cs="Consolas" w:eastAsia="Consolas"/>
                <w:sz w:val="15"/>
              </w:rPr>
              <w:t>true</w:t>
            </w:r>
            <w:r>
              <w:rPr>
                <w:sz w:val="17"/>
              </w:rPr>
              <w:t xml:space="preserve">: LE wird beim Scannen der Ziel-LE auf den externen Platz gebucht, Benutzer bringt die Artikel dorthin; </w:t>
            </w:r>
            <w:r>
              <w:rPr>
                <w:rFonts w:ascii="Consolas" w:hAnsi="Consolas" w:cs="Consolas" w:eastAsia="Consolas"/>
                <w:sz w:val="15"/>
              </w:rPr>
              <w:t>false</w:t>
            </w:r>
            <w:r>
              <w:rPr>
                <w:sz w:val="17"/>
              </w:rPr>
              <w:t>: keine Buchung. Schulung: „Ask operator to assign destination location for every picking demand“</w:t>
            </w:r>
          </w:p>
        </w:tc>
      </w:tr>
      <w:tr>
        <w:tc>
          <w:tcPr>
            <w:tcW w:type="dxa" w:w="3695"/>
          </w:tcPr>
          <w:p>
            <w:pPr>
              <w:spacing w:after="0" w:line="252" w:lineRule="auto"/>
            </w:pPr>
            <w:r>
              <w:rPr>
                <w:rFonts w:ascii="Consolas" w:hAnsi="Consolas" w:cs="Consolas" w:eastAsia="Consolas"/>
                <w:sz w:val="15"/>
              </w:rPr>
              <w:t>logimat.picking.externalloc.reserve</w:t>
            </w:r>
          </w:p>
        </w:tc>
        <w:tc>
          <w:tcPr>
            <w:tcW w:type="dxa" w:w="903"/>
          </w:tcPr>
          <w:p>
            <w:pPr>
              <w:spacing w:after="0" w:line="252" w:lineRule="auto"/>
            </w:pPr>
            <w:r>
              <w:rPr>
                <w:sz w:val="17"/>
              </w:rPr>
              <w:t>Integer</w:t>
            </w:r>
          </w:p>
        </w:tc>
        <w:tc>
          <w:tcPr>
            <w:tcW w:type="dxa" w:w="4926"/>
          </w:tcPr>
          <w:p>
            <w:pPr>
              <w:spacing w:after="0" w:line="252" w:lineRule="auto"/>
            </w:pPr>
            <w:r>
              <w:rPr>
                <w:sz w:val="17"/>
              </w:rPr>
              <w:t>Anzahl Plätze, die für kleine Aufträge reserviert sind (Schulung: für Express-Bedarfe)</w:t>
            </w:r>
          </w:p>
        </w:tc>
      </w:tr>
      <w:tr>
        <w:tc>
          <w:tcPr>
            <w:tcW w:type="dxa" w:w="3695"/>
          </w:tcPr>
          <w:p>
            <w:pPr>
              <w:spacing w:after="0" w:line="252" w:lineRule="auto"/>
            </w:pPr>
            <w:r>
              <w:rPr>
                <w:rFonts w:ascii="Consolas" w:hAnsi="Consolas" w:cs="Consolas" w:eastAsia="Consolas"/>
                <w:sz w:val="15"/>
              </w:rPr>
              <w:t>logimat.picking.cart.full.reserve</w:t>
            </w:r>
          </w:p>
        </w:tc>
        <w:tc>
          <w:tcPr>
            <w:tcW w:type="dxa" w:w="903"/>
          </w:tcPr>
          <w:p>
            <w:pPr>
              <w:spacing w:after="0" w:line="252" w:lineRule="auto"/>
            </w:pPr>
            <w:r>
              <w:rPr>
                <w:sz w:val="17"/>
              </w:rPr>
              <w:t>Integer</w:t>
            </w:r>
          </w:p>
        </w:tc>
        <w:tc>
          <w:tcPr>
            <w:tcW w:type="dxa" w:w="4926"/>
          </w:tcPr>
          <w:p>
            <w:pPr>
              <w:spacing w:after="0" w:line="252" w:lineRule="auto"/>
            </w:pPr>
            <w:r>
              <w:rPr>
                <w:sz w:val="17"/>
              </w:rPr>
              <w:t>Kommissionierwagenplätze, reserviert für volle Plan-LE</w:t>
            </w:r>
          </w:p>
        </w:tc>
      </w:tr>
      <w:tr>
        <w:tc>
          <w:tcPr>
            <w:tcW w:type="dxa" w:w="3695"/>
          </w:tcPr>
          <w:p>
            <w:pPr>
              <w:spacing w:after="0" w:line="252" w:lineRule="auto"/>
            </w:pPr>
            <w:r>
              <w:rPr>
                <w:rFonts w:ascii="Consolas" w:hAnsi="Consolas" w:cs="Consolas" w:eastAsia="Consolas"/>
                <w:sz w:val="15"/>
              </w:rPr>
              <w:t>logimat.picking.ptl.concurrentOperations</w:t>
            </w:r>
          </w:p>
        </w:tc>
        <w:tc>
          <w:tcPr>
            <w:tcW w:type="dxa" w:w="903"/>
          </w:tcPr>
          <w:p>
            <w:pPr>
              <w:spacing w:after="0" w:line="252" w:lineRule="auto"/>
            </w:pPr>
            <w:r>
              <w:rPr>
                <w:sz w:val="17"/>
              </w:rPr>
              <w:t>Enumeration</w:t>
            </w:r>
          </w:p>
        </w:tc>
        <w:tc>
          <w:tcPr>
            <w:tcW w:type="dxa" w:w="4926"/>
          </w:tcPr>
          <w:p>
            <w:pPr>
              <w:spacing w:after="0" w:line="252" w:lineRule="auto"/>
            </w:pPr>
            <w:r>
              <w:rPr>
                <w:rFonts w:ascii="Consolas" w:hAnsi="Consolas" w:cs="Consolas" w:eastAsia="Consolas"/>
                <w:sz w:val="15"/>
              </w:rPr>
              <w:t>ONE_PER_GROUP</w:t>
            </w:r>
            <w:r>
              <w:rPr>
                <w:sz w:val="17"/>
              </w:rPr>
              <w:t xml:space="preserve"> oder </w:t>
            </w:r>
            <w:r>
              <w:rPr>
                <w:rFonts w:ascii="Consolas" w:hAnsi="Consolas" w:cs="Consolas" w:eastAsia="Consolas"/>
                <w:sz w:val="15"/>
              </w:rPr>
              <w:t>ONE_PER_LOCATION</w:t>
            </w:r>
          </w:p>
        </w:tc>
      </w:tr>
      <w:tr>
        <w:tc>
          <w:tcPr>
            <w:tcW w:type="dxa" w:w="3695"/>
          </w:tcPr>
          <w:p>
            <w:pPr>
              <w:spacing w:after="0" w:line="252" w:lineRule="auto"/>
            </w:pPr>
            <w:r>
              <w:rPr>
                <w:rFonts w:ascii="Consolas" w:hAnsi="Consolas" w:cs="Consolas" w:eastAsia="Consolas"/>
                <w:sz w:val="15"/>
              </w:rPr>
              <w:t>logimat.picking.batchSize</w:t>
            </w:r>
          </w:p>
        </w:tc>
        <w:tc>
          <w:tcPr>
            <w:tcW w:type="dxa" w:w="903"/>
          </w:tcPr>
          <w:p>
            <w:pPr>
              <w:spacing w:after="0" w:line="252" w:lineRule="auto"/>
            </w:pPr>
            <w:r>
              <w:rPr>
                <w:sz w:val="17"/>
              </w:rPr>
              <w:t>Integer</w:t>
            </w:r>
          </w:p>
        </w:tc>
        <w:tc>
          <w:tcPr>
            <w:tcW w:type="dxa" w:w="4926"/>
          </w:tcPr>
          <w:p>
            <w:pPr>
              <w:spacing w:after="0" w:line="252" w:lineRule="auto"/>
            </w:pPr>
            <w:r>
              <w:rPr>
                <w:sz w:val="17"/>
              </w:rPr>
              <w:t xml:space="preserve">Batchgröße; </w:t>
            </w:r>
            <w:r>
              <w:rPr>
                <w:rFonts w:ascii="Consolas" w:hAnsi="Consolas" w:cs="Consolas" w:eastAsia="Consolas"/>
                <w:sz w:val="15"/>
              </w:rPr>
              <w:t>0</w:t>
            </w:r>
            <w:r>
              <w:rPr>
                <w:sz w:val="17"/>
              </w:rPr>
              <w:t xml:space="preserve"> = unbegrenzt</w:t>
            </w:r>
          </w:p>
        </w:tc>
      </w:tr>
      <w:tr>
        <w:tc>
          <w:tcPr>
            <w:tcW w:type="dxa" w:w="3695"/>
          </w:tcPr>
          <w:p>
            <w:pPr>
              <w:spacing w:after="0" w:line="252" w:lineRule="auto"/>
            </w:pPr>
            <w:r>
              <w:rPr>
                <w:rFonts w:ascii="Consolas" w:hAnsi="Consolas" w:cs="Consolas" w:eastAsia="Consolas"/>
                <w:sz w:val="15"/>
              </w:rPr>
              <w:t>logimat.picking.externalluid.generate</w:t>
            </w:r>
          </w:p>
        </w:tc>
        <w:tc>
          <w:tcPr>
            <w:tcW w:type="dxa" w:w="903"/>
          </w:tcPr>
          <w:p>
            <w:pPr>
              <w:spacing w:after="0" w:line="252" w:lineRule="auto"/>
            </w:pPr>
            <w:r>
              <w:rPr>
                <w:sz w:val="17"/>
              </w:rPr>
              <w:t>Boolean</w:t>
            </w:r>
          </w:p>
        </w:tc>
        <w:tc>
          <w:tcPr>
            <w:tcW w:type="dxa" w:w="4926"/>
          </w:tcPr>
          <w:p>
            <w:pPr>
              <w:spacing w:after="0" w:line="252" w:lineRule="auto"/>
            </w:pPr>
            <w:r>
              <w:rPr>
                <w:rFonts w:ascii="Consolas" w:hAnsi="Consolas" w:cs="Consolas" w:eastAsia="Consolas"/>
                <w:sz w:val="15"/>
              </w:rPr>
              <w:t>true</w:t>
            </w:r>
            <w:r>
              <w:rPr>
                <w:sz w:val="17"/>
              </w:rPr>
              <w:t xml:space="preserve">: WAMAS erzeugt neue Referenz-LE-IDs; </w:t>
            </w:r>
            <w:r>
              <w:rPr>
                <w:rFonts w:ascii="Consolas" w:hAnsi="Consolas" w:cs="Consolas" w:eastAsia="Consolas"/>
                <w:sz w:val="15"/>
              </w:rPr>
              <w:t>false</w:t>
            </w:r>
            <w:r>
              <w:rPr>
                <w:sz w:val="17"/>
              </w:rPr>
              <w:t>: externe LE-IDs werden verwendet</w:t>
            </w:r>
          </w:p>
        </w:tc>
      </w:tr>
      <w:tr>
        <w:tc>
          <w:tcPr>
            <w:tcW w:type="dxa" w:w="3695"/>
          </w:tcPr>
          <w:p>
            <w:pPr>
              <w:spacing w:after="0" w:line="252" w:lineRule="auto"/>
            </w:pPr>
            <w:r>
              <w:rPr>
                <w:rFonts w:ascii="Consolas" w:hAnsi="Consolas" w:cs="Consolas" w:eastAsia="Consolas"/>
                <w:sz w:val="15"/>
              </w:rPr>
              <w:t>logimat.picking.externalluid.print</w:t>
            </w:r>
          </w:p>
        </w:tc>
        <w:tc>
          <w:tcPr>
            <w:tcW w:type="dxa" w:w="903"/>
          </w:tcPr>
          <w:p>
            <w:pPr>
              <w:spacing w:after="0" w:line="252" w:lineRule="auto"/>
            </w:pPr>
            <w:r>
              <w:rPr>
                <w:sz w:val="17"/>
              </w:rPr>
              <w:t>–</w:t>
            </w:r>
          </w:p>
        </w:tc>
        <w:tc>
          <w:tcPr>
            <w:tcW w:type="dxa" w:w="4926"/>
          </w:tcPr>
          <w:p>
            <w:pPr>
              <w:spacing w:after="0" w:line="252" w:lineRule="auto"/>
            </w:pPr>
            <w:r>
              <w:rPr>
                <w:rFonts w:ascii="Consolas" w:hAnsi="Consolas" w:cs="Consolas" w:eastAsia="Consolas"/>
                <w:sz w:val="15"/>
              </w:rPr>
              <w:t>AUTOMATIC</w:t>
            </w:r>
            <w:r>
              <w:rPr>
                <w:sz w:val="17"/>
              </w:rPr>
              <w:t xml:space="preserve"> / </w:t>
            </w:r>
            <w:r>
              <w:rPr>
                <w:rFonts w:ascii="Consolas" w:hAnsi="Consolas" w:cs="Consolas" w:eastAsia="Consolas"/>
                <w:sz w:val="15"/>
              </w:rPr>
              <w:t>MANUAL</w:t>
            </w:r>
            <w:r>
              <w:rPr>
                <w:sz w:val="17"/>
              </w:rPr>
              <w:t xml:space="preserve"> (Etikett der Ziel-LE)</w:t>
            </w:r>
          </w:p>
        </w:tc>
      </w:tr>
      <w:tr>
        <w:tc>
          <w:tcPr>
            <w:tcW w:type="dxa" w:w="3695"/>
          </w:tcPr>
          <w:p>
            <w:pPr>
              <w:spacing w:after="0" w:line="252" w:lineRule="auto"/>
            </w:pPr>
            <w:r>
              <w:rPr>
                <w:rFonts w:ascii="Consolas" w:hAnsi="Consolas" w:cs="Consolas" w:eastAsia="Consolas"/>
                <w:sz w:val="15"/>
              </w:rPr>
              <w:t>logimat.logimatExt.timeout</w:t>
            </w:r>
          </w:p>
        </w:tc>
        <w:tc>
          <w:tcPr>
            <w:tcW w:type="dxa" w:w="903"/>
          </w:tcPr>
          <w:p>
            <w:pPr>
              <w:spacing w:after="0" w:line="252" w:lineRule="auto"/>
            </w:pPr>
            <w:r>
              <w:rPr>
                <w:sz w:val="17"/>
              </w:rPr>
              <w:t>Integer</w:t>
            </w:r>
          </w:p>
        </w:tc>
        <w:tc>
          <w:tcPr>
            <w:tcW w:type="dxa" w:w="4926"/>
          </w:tcPr>
          <w:p>
            <w:pPr>
              <w:spacing w:after="0" w:line="252" w:lineRule="auto"/>
            </w:pPr>
            <w:r>
              <w:rPr>
                <w:sz w:val="17"/>
              </w:rPr>
              <w:t>Wie lange Reservierungen auf LE, die auf externe Plätze gebucht sind, erhalten bleiben</w:t>
            </w:r>
          </w:p>
        </w:tc>
      </w:tr>
      <w:tr>
        <w:tc>
          <w:tcPr>
            <w:tcW w:type="dxa" w:w="3695"/>
          </w:tcPr>
          <w:p>
            <w:pPr>
              <w:spacing w:after="0" w:line="252" w:lineRule="auto"/>
            </w:pPr>
            <w:r>
              <w:rPr>
                <w:rFonts w:ascii="Consolas" w:hAnsi="Consolas" w:cs="Consolas" w:eastAsia="Consolas"/>
                <w:sz w:val="15"/>
              </w:rPr>
              <w:t>logimat.mobile.picking.skipTargetScan</w:t>
            </w:r>
          </w:p>
        </w:tc>
        <w:tc>
          <w:tcPr>
            <w:tcW w:type="dxa" w:w="903"/>
          </w:tcPr>
          <w:p>
            <w:pPr>
              <w:spacing w:after="0" w:line="252" w:lineRule="auto"/>
            </w:pPr>
            <w:r>
              <w:rPr>
                <w:sz w:val="17"/>
              </w:rPr>
              <w:t>Boolean</w:t>
            </w:r>
          </w:p>
        </w:tc>
        <w:tc>
          <w:tcPr>
            <w:tcW w:type="dxa" w:w="4926"/>
          </w:tcPr>
          <w:p>
            <w:pPr>
              <w:spacing w:after="0" w:line="252" w:lineRule="auto"/>
            </w:pPr>
            <w:r>
              <w:rPr>
                <w:sz w:val="17"/>
              </w:rPr>
              <w:t>Mobilterminal: Scan der Ziel-LE überspringen, temporäre LE-ID verwenden</w:t>
            </w:r>
          </w:p>
        </w:tc>
      </w:tr>
    </w:tbl>
    <w:p>
      <w:pPr>
        <w:pStyle w:val="BeschriftungSSI"/>
      </w:pPr>
      <w:r>
        <w:t>Tab. 11: Parameter</w:t>
      </w:r>
    </w:p>
    <w:p>
      <w:r>
        <w:t>Die Parameterliste ist in 2.8 für diese Parameter unverändert (Abgleich der Parameternamen AH 2.7/2.8).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Einheiten und Standardwerte</w:t>
            </w:r>
          </w:p>
          <w:p>
            <w:pPr>
              <w:spacing w:after="40"/>
            </w:pPr>
            <w:r>
              <w:rPr>
                <w:sz w:val="19"/>
              </w:rPr>
              <w:t xml:space="preserve">Für </w:t>
            </w:r>
            <w:r>
              <w:rPr>
                <w:rFonts w:ascii="Consolas" w:hAnsi="Consolas" w:cs="Consolas" w:eastAsia="Consolas"/>
                <w:sz w:val="17"/>
              </w:rPr>
              <w:t>logimatExt.timeout</w:t>
            </w:r>
            <w:r>
              <w:rPr>
                <w:sz w:val="19"/>
              </w:rPr>
              <w:t xml:space="preserve">, </w:t>
            </w:r>
            <w:r>
              <w:rPr>
                <w:rFonts w:ascii="Consolas" w:hAnsi="Consolas" w:cs="Consolas" w:eastAsia="Consolas"/>
                <w:sz w:val="17"/>
              </w:rPr>
              <w:t>externalloc.reserve</w:t>
            </w:r>
            <w:r>
              <w:rPr>
                <w:sz w:val="19"/>
              </w:rPr>
              <w:t xml:space="preserve"> und </w:t>
            </w:r>
            <w:r>
              <w:rPr>
                <w:rFonts w:ascii="Consolas" w:hAnsi="Consolas" w:cs="Consolas" w:eastAsia="Consolas"/>
                <w:sz w:val="17"/>
              </w:rPr>
              <w:t>cart.full.reserve</w:t>
            </w:r>
            <w:r>
              <w:rPr>
                <w:sz w:val="19"/>
              </w:rPr>
              <w:t xml:space="preserve"> nennt das Handbuch weder Einheit noch Standardwert.</w:t>
            </w:r>
          </w:p>
        </w:tc>
      </w:tr>
    </w:tbl>
    <w:p>
      <w:pPr>
        <w:spacing w:after="40"/>
      </w:pPr>
    </w:p>
    <w:p>
      <w:pPr>
        <w:pStyle w:val="Quelle"/>
      </w:pPr>
      <w:r>
        <w:rPr>
          <w:b/>
        </w:rPr>
        <w:t xml:space="preserve">Quelle: </w:t>
      </w:r>
      <w:r>
        <w:rPr>
          <w:sz w:val="17"/>
        </w:rPr>
        <w:t>Administratorhandbuch 2.7, Kap. 3.6.1.10, 3.11.2; Administrator Manual 2.8, Kap. 3.6.1.10, 3.11.2; Consultant Training Part 1 (12.01.2024), „Client Configuration (2)“, „Global parameters – Demand parameters“</w:t>
      </w:r>
    </w:p>
    <w:p>
      <w:pPr>
        <w:pStyle w:val="Heading1"/>
      </w:pPr>
      <w:r>
        <w:t>9 Stolperfallen</w:t>
      </w:r>
    </w:p>
    <w:p>
      <w:pPr>
        <w:pStyle w:val="ListBullet"/>
      </w:pPr>
      <w:r>
        <w:rPr>
          <w:b/>
        </w:rPr>
        <w:t>„Externer Lagerplatz“ heißt oft „Zielplatz“:</w:t>
      </w:r>
      <w:r>
        <w:t xml:space="preserve"> LM064, LM106, LM107, Icon-Liste und </w:t>
      </w:r>
      <w:r>
        <w:rPr>
          <w:rFonts w:ascii="Consolas" w:hAnsi="Consolas" w:cs="Consolas" w:eastAsia="Consolas"/>
          <w:sz w:val="18"/>
        </w:rPr>
        <w:t>askBookLuOnExternalLocation</w:t>
      </w:r>
      <w:r>
        <w:t>.</w:t>
      </w:r>
    </w:p>
    <w:p>
      <w:pPr>
        <w:pStyle w:val="ListBullet"/>
      </w:pPr>
      <w:r>
        <w:rPr>
          <w:b/>
        </w:rPr>
        <w:t>Touch-Generierung bindet an die aktive Zugriffsöffnung.</w:t>
      </w:r>
      <w:r>
        <w:t xml:space="preserve"> Wer am falschen Arbeitsplatz angemeldet ist, erzeugt Plätze für die falsche Öffnung.</w:t>
      </w:r>
    </w:p>
    <w:p>
      <w:pPr>
        <w:pStyle w:val="ListBullet"/>
      </w:pPr>
      <w:r>
        <w:rPr>
          <w:b/>
        </w:rPr>
        <w:t>Reihenfolge fehlt:</w:t>
      </w:r>
      <w:r>
        <w:t xml:space="preserve"> Plätze ohne </w:t>
      </w:r>
      <w:r>
        <w:rPr>
          <w:rFonts w:ascii="Consolas" w:hAnsi="Consolas" w:cs="Consolas" w:eastAsia="Consolas"/>
          <w:sz w:val="18"/>
        </w:rPr>
        <w:t>Einlagerungsreihenfolge von Zielplatz</w:t>
      </w:r>
      <w:r>
        <w:t xml:space="preserve"> werden zuletzt gewählt.</w:t>
      </w:r>
    </w:p>
    <w:p>
      <w:pPr>
        <w:pStyle w:val="ListBullet"/>
      </w:pPr>
      <w:r>
        <w:rPr>
          <w:b/>
        </w:rPr>
        <w:t>Begrenzung aktiv, keine Plätze frei:</w:t>
      </w:r>
      <w:r>
        <w:t xml:space="preserve"> Mit </w:t>
      </w:r>
      <w:r>
        <w:rPr>
          <w:b/>
        </w:rPr>
        <w:t>Bedarfsaktivierung … begrenzen</w:t>
      </w:r>
      <w:r>
        <w:t xml:space="preserve"> werden Bedarfe nicht aktiviert, solange keine Zielplätze frei sind, auch wenn Plätze nur per </w:t>
      </w:r>
      <w:r>
        <w:rPr>
          <w:rFonts w:ascii="Consolas" w:hAnsi="Consolas" w:cs="Consolas" w:eastAsia="Consolas"/>
          <w:sz w:val="18"/>
        </w:rPr>
        <w:t>externalloc.reserve</w:t>
      </w:r>
      <w:r>
        <w:t xml:space="preserve"> reserviert sind.</w:t>
      </w:r>
    </w:p>
    <w:p>
      <w:pPr>
        <w:pStyle w:val="ListBullet"/>
      </w:pPr>
      <w:r>
        <w:rPr>
          <w:b/>
        </w:rPr>
        <w:t>„Alle entfernen“</w:t>
      </w:r>
      <w:r>
        <w:t xml:space="preserve"> fragt nur einmal nach und hat laut Doku keine Auswahl.</w:t>
      </w:r>
    </w:p>
    <w:p>
      <w:pPr>
        <w:pStyle w:val="ListBullet"/>
      </w:pPr>
      <w:r>
        <w:rPr>
          <w:b/>
        </w:rPr>
        <w:t>Kein Import, kein Deaktivieren</w:t>
      </w:r>
      <w:r>
        <w:t xml:space="preserve"> für Zielplätze dokumentiert.</w:t>
      </w:r>
    </w:p>
    <w:p>
      <w:pPr>
        <w:pStyle w:val="ListBullet"/>
      </w:pPr>
      <w:r>
        <w:rPr>
          <w:b/>
        </w:rPr>
        <w:t>`WLSP2LACK001` vs. `WLSP2LACK002`:</w:t>
      </w:r>
      <w:r>
        <w:t xml:space="preserve"> Handbuch 2.7 und Telegrammbeispiele 2.7.0 widersprechen sich.</w:t>
      </w:r>
    </w:p>
    <w:p>
      <w:pPr>
        <w:pStyle w:val="ListBullet"/>
      </w:pPr>
      <w:r>
        <w:rPr>
          <w:b/>
        </w:rPr>
        <w:t>`destStoLoc`</w:t>
      </w:r>
      <w:r>
        <w:t xml:space="preserve"> ist im Interface Manual als „source storage location“ beschrieben; im Beispiel steht der Zielplatz (</w:t>
      </w:r>
      <w:r>
        <w:rPr>
          <w:rFonts w:ascii="Consolas" w:hAnsi="Consolas" w:cs="Consolas" w:eastAsia="Consolas"/>
          <w:sz w:val="18"/>
        </w:rPr>
        <w:t>LogiShpLoc</w:t>
      </w:r>
      <w:r>
        <w:t>).</w:t>
      </w:r>
    </w:p>
    <w:p>
      <w:pPr>
        <w:pStyle w:val="ListBullet"/>
      </w:pPr>
      <w:r>
        <w:rPr>
          <w:b/>
        </w:rPr>
        <w:t>LM164 nur in 2.8:</w:t>
      </w:r>
      <w:r>
        <w:t xml:space="preserve"> In 2.7 gibt es bei der Freigabe keine Abfrage der externen LE-ID.</w:t>
      </w:r>
    </w:p>
    <w:p>
      <w:pPr>
        <w:pStyle w:val="ListBullet"/>
      </w:pPr>
      <w:r>
        <w:rPr>
          <w:b/>
        </w:rPr>
        <w:t>KBS-PTL in 2.8:</w:t>
      </w:r>
      <w:r>
        <w:t xml:space="preserve"> Zielplatzgruppen müssen zusätzlich den KBS-Pickfaces zugeordnet sein (LM301, Registerkarte </w:t>
      </w:r>
      <w:r>
        <w:rPr>
          <w:b/>
        </w:rPr>
        <w:t>DC-LC Pick Face</w:t>
      </w:r>
      <w:r>
        <w:t xml:space="preserve">, Feld </w:t>
      </w:r>
      <w:r>
        <w:rPr>
          <w:rFonts w:ascii="Consolas" w:hAnsi="Consolas" w:cs="Consolas" w:eastAsia="Consolas"/>
          <w:sz w:val="18"/>
        </w:rPr>
        <w:t>Storage location</w:t>
      </w:r>
      <w:r>
        <w:t>).</w:t>
      </w:r>
    </w:p>
    <w:p>
      <w:pPr>
        <w:pStyle w:val="Quelle"/>
      </w:pPr>
      <w:r>
        <w:rPr>
          <w:b/>
        </w:rPr>
        <w:t xml:space="preserve">Quelle: </w:t>
      </w:r>
      <w:r>
        <w:rPr>
          <w:sz w:val="17"/>
        </w:rPr>
        <w:t>Zusammenstellung aus Kapitel 2–8</w:t>
      </w:r>
    </w:p>
    <w:p>
      <w:pPr>
        <w:pStyle w:val="Heading1"/>
      </w:pPr>
      <w:r>
        <w:t>10 Praxisbeispiele</w:t>
      </w:r>
    </w:p>
    <w:p>
      <w:pPr>
        <w:pStyle w:val="Heading2"/>
      </w:pPr>
      <w:r>
        <w:t>10.1 Put-to-Light-Regal an zwei Zugriffsöffnungen auf- und abbauen</w:t>
      </w:r>
    </w:p>
    <w:p>
      <w:r>
        <w:t xml:space="preserve">Beispiel (konstruiert, bitte prüfen): Am SSI LOGIMAT </w:t>
      </w:r>
      <w:r>
        <w:rPr>
          <w:rFonts w:ascii="Consolas" w:hAnsi="Consolas" w:cs="Consolas" w:eastAsia="Consolas"/>
          <w:sz w:val="18"/>
        </w:rPr>
        <w:t>A1</w:t>
      </w:r>
      <w:r>
        <w:t xml:space="preserve"> (Zone </w:t>
      </w:r>
      <w:r>
        <w:rPr>
          <w:rFonts w:ascii="Consolas" w:hAnsi="Consolas" w:cs="Consolas" w:eastAsia="Consolas"/>
          <w:sz w:val="18"/>
        </w:rPr>
        <w:t>ZONE1</w:t>
      </w:r>
      <w:r>
        <w:t xml:space="preserve">, wie in den Telegrammbeispielen) steht zwischen Zugriffsöffnung 1 und 2 ein Regal mit 3 Spalten × 4 Reihen für Versandkartons 600 × 400 × 300 mm. Beide Öffnungen sollen das Regal nutzen; zwei Plätze bleiben für Express-Aufträge frei. Nach sechs Monaten wird das Regal abgebaut. </w:t>
      </w:r>
      <w:r>
        <w:rPr>
          <w:b/>
        </w:rPr>
        <w:t>Aufbau</w:t>
      </w:r>
    </w:p>
    <w:p>
      <w:pPr>
        <w:tabs>
          <w:tab w:pos="425" w:val="left"/>
        </w:tabs>
        <w:spacing w:after="60"/>
        <w:ind w:left="425" w:hanging="425"/>
      </w:pPr>
      <w:r>
        <w:rPr>
          <w:b/>
        </w:rPr>
        <w:t>1.</w:t>
        <w:tab/>
      </w:r>
      <w:r>
        <w:rPr>
          <w:b/>
        </w:rPr>
        <w:t>LM065</w:t>
      </w:r>
      <w:r>
        <w:t xml:space="preserve"> → </w:t>
      </w:r>
      <w:r>
        <w:rPr>
          <w:b/>
        </w:rPr>
        <w:t>Gruppe generieren</w:t>
      </w:r>
      <w:r>
        <w:t xml:space="preserve"> → </w:t>
      </w:r>
      <w:r>
        <w:rPr>
          <w:b/>
        </w:rPr>
        <w:t>LM064</w:t>
      </w:r>
      <w:r>
        <w:t xml:space="preserve">: Zone </w:t>
      </w:r>
      <w:r>
        <w:rPr>
          <w:rFonts w:ascii="Consolas" w:hAnsi="Consolas" w:cs="Consolas" w:eastAsia="Consolas"/>
          <w:sz w:val="18"/>
        </w:rPr>
        <w:t>ZONE1</w:t>
      </w:r>
      <w:r>
        <w:t xml:space="preserve">, </w:t>
      </w:r>
      <w:r>
        <w:rPr>
          <w:rFonts w:ascii="Consolas" w:hAnsi="Consolas" w:cs="Consolas" w:eastAsia="Consolas"/>
          <w:sz w:val="18"/>
        </w:rPr>
        <w:t>Gruppenname</w:t>
      </w:r>
      <w:r>
        <w:t xml:space="preserve"> </w:t>
      </w:r>
      <w:r>
        <w:rPr>
          <w:rFonts w:ascii="Consolas" w:hAnsi="Consolas" w:cs="Consolas" w:eastAsia="Consolas"/>
          <w:sz w:val="18"/>
        </w:rPr>
        <w:t>PTL_A1</w:t>
      </w:r>
      <w:r>
        <w:t xml:space="preserve">, </w:t>
      </w:r>
      <w:r>
        <w:rPr>
          <w:rFonts w:ascii="Consolas" w:hAnsi="Consolas" w:cs="Consolas" w:eastAsia="Consolas"/>
          <w:sz w:val="18"/>
        </w:rPr>
        <w:t>Spalten</w:t>
      </w:r>
      <w:r>
        <w:t xml:space="preserve"> 3, </w:t>
      </w:r>
      <w:r>
        <w:rPr>
          <w:rFonts w:ascii="Consolas" w:hAnsi="Consolas" w:cs="Consolas" w:eastAsia="Consolas"/>
          <w:sz w:val="18"/>
        </w:rPr>
        <w:t>Reihen</w:t>
      </w:r>
      <w:r>
        <w:t xml:space="preserve"> 4, Länge 600, Breite 400, Höhe 300 mm → </w:t>
      </w:r>
      <w:r>
        <w:rPr>
          <w:b/>
        </w:rPr>
        <w:t>Zielplätze generieren</w:t>
      </w:r>
      <w:r>
        <w:t>. Ergebnis: 12 Zielplätze.</w:t>
      </w:r>
    </w:p>
    <w:p>
      <w:pPr>
        <w:tabs>
          <w:tab w:pos="425" w:val="left"/>
        </w:tabs>
        <w:spacing w:after="60"/>
        <w:ind w:left="425" w:hanging="425"/>
      </w:pPr>
      <w:r>
        <w:rPr>
          <w:b/>
        </w:rPr>
        <w:t>2.</w:t>
        <w:tab/>
      </w:r>
      <w:r>
        <w:t xml:space="preserve">LM065 → </w:t>
      </w:r>
      <w:r>
        <w:rPr>
          <w:b/>
        </w:rPr>
        <w:t>Zugriffsöffnung zuordnen</w:t>
      </w:r>
      <w:r>
        <w:t xml:space="preserve"> → FW005: Zugriffsöffnung 1 </w:t>
      </w:r>
      <w:r>
        <w:rPr>
          <w:b/>
        </w:rPr>
        <w:t>und</w:t>
      </w:r>
      <w:r>
        <w:t xml:space="preserve"> 2 → </w:t>
      </w:r>
      <w:r>
        <w:rPr>
          <w:b/>
        </w:rPr>
        <w:t>Auswählen</w:t>
      </w:r>
      <w:r>
        <w:t xml:space="preserve"> (nur am Desktop möglich, Kapitel 5.2).</w:t>
      </w:r>
    </w:p>
    <w:p>
      <w:pPr>
        <w:tabs>
          <w:tab w:pos="425" w:val="left"/>
        </w:tabs>
        <w:spacing w:after="60"/>
        <w:ind w:left="425" w:hanging="425"/>
      </w:pPr>
      <w:r>
        <w:rPr>
          <w:b/>
        </w:rPr>
        <w:t>3.</w:t>
        <w:tab/>
      </w:r>
      <w:r>
        <w:rPr>
          <w:b/>
        </w:rPr>
        <w:t>LM088</w:t>
      </w:r>
      <w:r>
        <w:t xml:space="preserve">: </w:t>
      </w:r>
      <w:r>
        <w:rPr>
          <w:rFonts w:ascii="Consolas" w:hAnsi="Consolas" w:cs="Consolas" w:eastAsia="Consolas"/>
          <w:sz w:val="18"/>
        </w:rPr>
        <w:t>Einlagerungsreihenfolge von Zielplatz</w:t>
      </w:r>
      <w:r>
        <w:t xml:space="preserve"> 1–12 von oben links nach unten rechts; </w:t>
      </w:r>
      <w:r>
        <w:rPr>
          <w:rFonts w:ascii="Consolas" w:hAnsi="Consolas" w:cs="Consolas" w:eastAsia="Consolas"/>
          <w:sz w:val="18"/>
        </w:rPr>
        <w:t>Zielplatzkennung</w:t>
      </w:r>
      <w:r>
        <w:t xml:space="preserve"> z. B. </w:t>
      </w:r>
      <w:r>
        <w:rPr>
          <w:rFonts w:ascii="Consolas" w:hAnsi="Consolas" w:cs="Consolas" w:eastAsia="Consolas"/>
          <w:sz w:val="18"/>
        </w:rPr>
        <w:t>PTL-A1-01</w:t>
      </w:r>
      <w:r>
        <w:t xml:space="preserve"> … </w:t>
      </w:r>
      <w:r>
        <w:rPr>
          <w:rFonts w:ascii="Consolas" w:hAnsi="Consolas" w:cs="Consolas" w:eastAsia="Consolas"/>
          <w:sz w:val="18"/>
        </w:rPr>
        <w:t>PTL-A1-12</w:t>
      </w:r>
      <w:r>
        <w:t>.</w:t>
      </w:r>
    </w:p>
    <w:p>
      <w:pPr>
        <w:tabs>
          <w:tab w:pos="425" w:val="left"/>
        </w:tabs>
        <w:spacing w:after="60"/>
        <w:ind w:left="425" w:hanging="425"/>
      </w:pPr>
      <w:r>
        <w:rPr>
          <w:b/>
        </w:rPr>
        <w:t>4.</w:t>
        <w:tab/>
      </w:r>
      <w:r>
        <w:rPr>
          <w:b/>
        </w:rPr>
        <w:t>LM044</w:t>
      </w:r>
      <w:r>
        <w:t xml:space="preserve"> → je Platz </w:t>
      </w:r>
      <w:r>
        <w:rPr>
          <w:b/>
        </w:rPr>
        <w:t>Drucken</w:t>
      </w:r>
      <w:r>
        <w:t>; Etiketten anbringen.</w:t>
      </w:r>
    </w:p>
    <w:p>
      <w:pPr>
        <w:tabs>
          <w:tab w:pos="425" w:val="left"/>
        </w:tabs>
        <w:spacing w:after="60"/>
        <w:ind w:left="425" w:hanging="425"/>
      </w:pPr>
      <w:r>
        <w:rPr>
          <w:b/>
        </w:rPr>
        <w:t>5.</w:t>
        <w:tab/>
      </w:r>
      <w:r>
        <w:rPr>
          <w:b/>
        </w:rPr>
        <w:t>MD017</w:t>
      </w:r>
      <w:r>
        <w:t xml:space="preserve"> › Kommissionierbedarfstyp </w:t>
      </w:r>
      <w:r>
        <w:rPr>
          <w:rFonts w:ascii="Consolas" w:hAnsi="Consolas" w:cs="Consolas" w:eastAsia="Consolas"/>
          <w:sz w:val="18"/>
        </w:rPr>
        <w:t>SHPG</w:t>
      </w:r>
      <w:r>
        <w:t xml:space="preserve">: </w:t>
      </w:r>
      <w:r>
        <w:rPr>
          <w:b/>
        </w:rPr>
        <w:t>Batchkommissionierung Put to Light</w:t>
      </w:r>
      <w:r>
        <w:t xml:space="preserve">, </w:t>
      </w:r>
      <w:r>
        <w:rPr>
          <w:b/>
        </w:rPr>
        <w:t>Zielplatz automatisch auswählen</w:t>
      </w:r>
      <w:r>
        <w:t xml:space="preserve">, </w:t>
      </w:r>
      <w:r>
        <w:rPr>
          <w:b/>
        </w:rPr>
        <w:t>Bedarfsaktivierung durch freien, externen Lagerplatz begrenzen</w:t>
      </w:r>
      <w:r>
        <w:t xml:space="preserve">; </w:t>
      </w:r>
      <w:r>
        <w:rPr>
          <w:rFonts w:ascii="Consolas" w:hAnsi="Consolas" w:cs="Consolas" w:eastAsia="Consolas"/>
          <w:sz w:val="18"/>
        </w:rPr>
        <w:t>Bevorzugtes Ladehilfsmittel</w:t>
      </w:r>
      <w:r>
        <w:t xml:space="preserve"> = Versandkarton.</w:t>
      </w:r>
    </w:p>
    <w:p>
      <w:pPr>
        <w:tabs>
          <w:tab w:pos="425" w:val="left"/>
        </w:tabs>
        <w:spacing w:after="60"/>
        <w:ind w:left="425" w:hanging="425"/>
      </w:pPr>
      <w:r>
        <w:rPr>
          <w:b/>
        </w:rPr>
        <w:t>6.</w:t>
        <w:tab/>
      </w:r>
      <w:r>
        <w:rPr>
          <w:b/>
        </w:rPr>
        <w:t>FW028</w:t>
      </w:r>
      <w:r>
        <w:t xml:space="preserve">: </w:t>
      </w:r>
      <w:r>
        <w:rPr>
          <w:rFonts w:ascii="Consolas" w:hAnsi="Consolas" w:cs="Consolas" w:eastAsia="Consolas"/>
          <w:sz w:val="18"/>
        </w:rPr>
        <w:t>logimat.picking.externalloc.reserve</w:t>
      </w:r>
      <w:r>
        <w:t xml:space="preserve"> = 2, </w:t>
      </w:r>
      <w:r>
        <w:rPr>
          <w:rFonts w:ascii="Consolas" w:hAnsi="Consolas" w:cs="Consolas" w:eastAsia="Consolas"/>
          <w:sz w:val="18"/>
        </w:rPr>
        <w:t>logimat.picking.ptl.concurrentOperations</w:t>
      </w:r>
      <w:r>
        <w:t xml:space="preserve"> = </w:t>
      </w:r>
      <w:r>
        <w:rPr>
          <w:rFonts w:ascii="Consolas" w:hAnsi="Consolas" w:cs="Consolas" w:eastAsia="Consolas"/>
          <w:sz w:val="18"/>
        </w:rPr>
        <w:t>ONE_PER_LOCATION</w:t>
      </w:r>
      <w:r>
        <w:t xml:space="preserve">, </w:t>
      </w:r>
      <w:r>
        <w:rPr>
          <w:rFonts w:ascii="Consolas" w:hAnsi="Consolas" w:cs="Consolas" w:eastAsia="Consolas"/>
          <w:sz w:val="18"/>
        </w:rPr>
        <w:t>logimat.picking.askBookLuOnExternalLocation</w:t>
      </w:r>
      <w:r>
        <w:t xml:space="preserve"> = </w:t>
      </w:r>
      <w:r>
        <w:rPr>
          <w:rFonts w:ascii="Consolas" w:hAnsi="Consolas" w:cs="Consolas" w:eastAsia="Consolas"/>
          <w:sz w:val="18"/>
        </w:rPr>
        <w:t>true</w:t>
      </w:r>
      <w:r>
        <w:t>.</w:t>
      </w:r>
    </w:p>
    <w:p>
      <w:pPr>
        <w:tabs>
          <w:tab w:pos="425" w:val="left"/>
        </w:tabs>
        <w:spacing w:after="60"/>
        <w:ind w:left="425" w:hanging="425"/>
      </w:pPr>
      <w:r>
        <w:rPr>
          <w:b/>
        </w:rPr>
        <w:t>7.</w:t>
        <w:tab/>
      </w:r>
      <w:r>
        <w:rPr>
          <w:b/>
        </w:rPr>
        <w:t>MD021</w:t>
      </w:r>
      <w:r>
        <w:t xml:space="preserve"> › </w:t>
      </w:r>
      <w:r>
        <w:rPr>
          <w:b/>
        </w:rPr>
        <w:t>Kommissionierbedarfsquittierung</w:t>
      </w:r>
      <w:r>
        <w:t xml:space="preserve">: </w:t>
      </w:r>
      <w:r>
        <w:rPr>
          <w:rFonts w:ascii="Consolas" w:hAnsi="Consolas" w:cs="Consolas" w:eastAsia="Consolas"/>
          <w:sz w:val="18"/>
        </w:rPr>
        <w:t>Kommissionierquittierungsmodus</w:t>
      </w:r>
      <w:r>
        <w:t xml:space="preserve"> = </w:t>
      </w:r>
      <w:r>
        <w:rPr>
          <w:b/>
        </w:rPr>
        <w:t>Wenn Ziel voll</w:t>
      </w:r>
      <w:r>
        <w:t>.</w:t>
      </w:r>
    </w:p>
    <w:p>
      <w:pPr>
        <w:tabs>
          <w:tab w:pos="425" w:val="left"/>
        </w:tabs>
        <w:spacing w:after="60"/>
        <w:ind w:left="425" w:hanging="425"/>
      </w:pPr>
      <w:r>
        <w:rPr>
          <w:b/>
        </w:rPr>
        <w:t>8.</w:t>
        <w:tab/>
      </w:r>
      <w:r>
        <w:t xml:space="preserve">Test: 12 Bedarfe mit </w:t>
      </w:r>
      <w:r>
        <w:rPr>
          <w:rFonts w:ascii="Consolas" w:hAnsi="Consolas" w:cs="Consolas" w:eastAsia="Consolas"/>
          <w:sz w:val="18"/>
        </w:rPr>
        <w:t>zone</w:t>
      </w:r>
      <w:r>
        <w:t xml:space="preserve"> = </w:t>
      </w:r>
      <w:r>
        <w:rPr>
          <w:rFonts w:ascii="Consolas" w:hAnsi="Consolas" w:cs="Consolas" w:eastAsia="Consolas"/>
          <w:sz w:val="18"/>
        </w:rPr>
        <w:t>ZONE1</w:t>
      </w:r>
      <w:r>
        <w:t xml:space="preserve"> senden. Erwartung laut Doku: höchstens so viele aktive Bedarfe wie freie Plätze; Ziel-LE-Quittierung wie in Abb. 4.</w:t>
      </w:r>
    </w:p>
    <w:p>
      <w:r>
        <w:rPr>
          <w:b/>
        </w:rPr>
        <w:t>Abbau</w:t>
      </w:r>
    </w:p>
    <w:p>
      <w:pPr>
        <w:tabs>
          <w:tab w:pos="425" w:val="left"/>
        </w:tabs>
        <w:spacing w:after="60"/>
        <w:ind w:left="425" w:hanging="425"/>
      </w:pPr>
      <w:r>
        <w:rPr>
          <w:b/>
        </w:rPr>
        <w:t>1.</w:t>
        <w:tab/>
      </w:r>
      <w:r>
        <w:t xml:space="preserve">Keine neuen Bedarfe für </w:t>
      </w:r>
      <w:r>
        <w:rPr>
          <w:rFonts w:ascii="Consolas" w:hAnsi="Consolas" w:cs="Consolas" w:eastAsia="Consolas"/>
          <w:sz w:val="18"/>
        </w:rPr>
        <w:t>SHPG</w:t>
      </w:r>
      <w:r>
        <w:t xml:space="preserve"> freigeben; offene Bedarfe abschließen.</w:t>
      </w:r>
    </w:p>
    <w:p>
      <w:pPr>
        <w:tabs>
          <w:tab w:pos="425" w:val="left"/>
        </w:tabs>
        <w:spacing w:after="60"/>
        <w:ind w:left="425" w:hanging="425"/>
      </w:pPr>
      <w:r>
        <w:rPr>
          <w:b/>
        </w:rPr>
        <w:t>2.</w:t>
        <w:tab/>
      </w:r>
      <w:r>
        <w:rPr>
          <w:b/>
        </w:rPr>
        <w:t>LM044</w:t>
      </w:r>
      <w:r>
        <w:t xml:space="preserve"> › </w:t>
      </w:r>
      <w:r>
        <w:rPr>
          <w:b/>
        </w:rPr>
        <w:t>Suche</w:t>
      </w:r>
      <w:r>
        <w:t>: Sind noch LE gebucht? Ggf. weitergeben und vom Platz entfernen.</w:t>
      </w:r>
    </w:p>
    <w:p>
      <w:pPr>
        <w:tabs>
          <w:tab w:pos="425" w:val="left"/>
        </w:tabs>
        <w:spacing w:after="60"/>
        <w:ind w:left="425" w:hanging="425"/>
      </w:pPr>
      <w:r>
        <w:rPr>
          <w:b/>
        </w:rPr>
        <w:t>3.</w:t>
        <w:tab/>
      </w:r>
      <w:r>
        <w:rPr>
          <w:b/>
        </w:rPr>
        <w:t>LM065</w:t>
      </w:r>
      <w:r>
        <w:t xml:space="preserve"> → </w:t>
      </w:r>
      <w:r>
        <w:rPr>
          <w:b/>
        </w:rPr>
        <w:t>Zielplatzgruppe löschen</w:t>
      </w:r>
      <w:r>
        <w:t xml:space="preserve"> (</w:t>
      </w:r>
      <w:r>
        <w:rPr>
          <w:rFonts w:ascii="Consolas" w:hAnsi="Consolas" w:cs="Consolas" w:eastAsia="Consolas"/>
          <w:sz w:val="18"/>
        </w:rPr>
        <w:t>PTL_A1</w:t>
      </w:r>
      <w:r>
        <w:t>).</w:t>
      </w:r>
    </w:p>
    <w:p>
      <w:pPr>
        <w:tabs>
          <w:tab w:pos="425" w:val="left"/>
        </w:tabs>
        <w:spacing w:after="60"/>
        <w:ind w:left="425" w:hanging="425"/>
      </w:pPr>
      <w:r>
        <w:rPr>
          <w:b/>
        </w:rPr>
        <w:t>4.</w:t>
        <w:tab/>
      </w:r>
      <w:r>
        <w:rPr>
          <w:b/>
        </w:rPr>
        <w:t>MD017</w:t>
      </w:r>
      <w:r>
        <w:t>: Zielplatz-Optionen am Bedarfstyp abschalten.</w:t>
      </w:r>
    </w:p>
    <w:p>
      <w:pPr>
        <w:tabs>
          <w:tab w:pos="425" w:val="left"/>
        </w:tabs>
        <w:spacing w:after="60"/>
        <w:ind w:left="425" w:hanging="425"/>
      </w:pPr>
      <w:r>
        <w:rPr>
          <w:b/>
        </w:rPr>
        <w:t>5.</w:t>
        <w:tab/>
      </w:r>
      <w:r>
        <w:t>Prüfen, ob das Löschen bei gebuchter LE verweigert wird (Lücke in Kap. 6.3), Ergebnis hier nachtragen.</w:t>
      </w:r>
    </w:p>
    <w:p>
      <w:pPr>
        <w:pStyle w:val="Quelle"/>
      </w:pPr>
      <w:r>
        <w:rPr>
          <w:b/>
        </w:rPr>
        <w:t xml:space="preserve">Quelle: </w:t>
      </w:r>
      <w:r>
        <w:rPr>
          <w:sz w:val="17"/>
        </w:rPr>
        <w:t>Vorgehen nach Administratorhandbuch 2.7, Kap. 3.1.11–3.1.12, 3.5.1.6.1, 3.6.1.10, 3.11.2; Benutzerhandbuch 2.7, Kap. 5.4, 6.8.2.2; Werte konstruiert</w:t>
      </w:r>
    </w:p>
    <w:p>
      <w:pPr>
        <w:pStyle w:val="Heading2"/>
      </w:pPr>
      <w:r>
        <w:t>10.2 Kommissionierwagen mit sechs Plätzen</w:t>
      </w:r>
    </w:p>
    <w:p>
      <w:r>
        <w:t>Beispiel (konstruiert, bitte prüfen): Ein Kommissionierwagen mit 3 Spalten × 2 Ebenen soll bis zu fünf Kommissionierbedarfe parallel aufnehmen; ein Platz bleibt für eine Leer-LE frei, falls ein Karton voll wird.</w:t>
      </w:r>
    </w:p>
    <w:p>
      <w:pPr>
        <w:tabs>
          <w:tab w:pos="425" w:val="left"/>
        </w:tabs>
        <w:spacing w:after="60"/>
        <w:ind w:left="425" w:hanging="425"/>
      </w:pPr>
      <w:r>
        <w:rPr>
          <w:b/>
        </w:rPr>
        <w:t>1.</w:t>
        <w:tab/>
      </w:r>
      <w:r>
        <w:rPr>
          <w:b/>
        </w:rPr>
        <w:t>WH025</w:t>
      </w:r>
      <w:r>
        <w:t xml:space="preserve">: Lagerfachträgertyp </w:t>
      </w:r>
      <w:r>
        <w:rPr>
          <w:rFonts w:ascii="Consolas" w:hAnsi="Consolas" w:cs="Consolas" w:eastAsia="Consolas"/>
          <w:sz w:val="18"/>
        </w:rPr>
        <w:t>KOWA_KARTON</w:t>
      </w:r>
      <w:r>
        <w:t xml:space="preserve"> mit dem zulässigen Ladehilfsmittel Versandkarton.</w:t>
      </w:r>
    </w:p>
    <w:p>
      <w:pPr>
        <w:tabs>
          <w:tab w:pos="425" w:val="left"/>
        </w:tabs>
        <w:spacing w:after="60"/>
        <w:ind w:left="425" w:hanging="425"/>
      </w:pPr>
      <w:r>
        <w:rPr>
          <w:b/>
        </w:rPr>
        <w:t>2.</w:t>
        <w:tab/>
      </w:r>
      <w:r>
        <w:rPr>
          <w:b/>
        </w:rPr>
        <w:t>LM065</w:t>
      </w:r>
      <w:r>
        <w:t xml:space="preserve"> → </w:t>
      </w:r>
      <w:r>
        <w:rPr>
          <w:b/>
        </w:rPr>
        <w:t>Kommissionierwagen anlegen</w:t>
      </w:r>
      <w:r>
        <w:t xml:space="preserve"> → </w:t>
      </w:r>
      <w:r>
        <w:rPr>
          <w:b/>
        </w:rPr>
        <w:t>LM152</w:t>
      </w:r>
      <w:r>
        <w:t xml:space="preserve">: </w:t>
      </w:r>
      <w:r>
        <w:rPr>
          <w:rFonts w:ascii="Consolas" w:hAnsi="Consolas" w:cs="Consolas" w:eastAsia="Consolas"/>
          <w:sz w:val="18"/>
        </w:rPr>
        <w:t>Gruppenname</w:t>
      </w:r>
      <w:r>
        <w:t xml:space="preserve"> </w:t>
      </w:r>
      <w:r>
        <w:rPr>
          <w:rFonts w:ascii="Consolas" w:hAnsi="Consolas" w:cs="Consolas" w:eastAsia="Consolas"/>
          <w:sz w:val="18"/>
        </w:rPr>
        <w:t>KOWA01</w:t>
      </w:r>
      <w:r>
        <w:t xml:space="preserve">, </w:t>
      </w:r>
      <w:r>
        <w:rPr>
          <w:rFonts w:ascii="Consolas" w:hAnsi="Consolas" w:cs="Consolas" w:eastAsia="Consolas"/>
          <w:sz w:val="18"/>
        </w:rPr>
        <w:t>Lagerfachträgertyp</w:t>
      </w:r>
      <w:r>
        <w:t xml:space="preserve"> </w:t>
      </w:r>
      <w:r>
        <w:rPr>
          <w:rFonts w:ascii="Consolas" w:hAnsi="Consolas" w:cs="Consolas" w:eastAsia="Consolas"/>
          <w:sz w:val="18"/>
        </w:rPr>
        <w:t>KOWA_KARTON</w:t>
      </w:r>
      <w:r>
        <w:t xml:space="preserve">, </w:t>
      </w:r>
      <w:r>
        <w:rPr>
          <w:rFonts w:ascii="Consolas" w:hAnsi="Consolas" w:cs="Consolas" w:eastAsia="Consolas"/>
          <w:sz w:val="18"/>
        </w:rPr>
        <w:t>Spalten</w:t>
      </w:r>
      <w:r>
        <w:t xml:space="preserve"> 3, </w:t>
      </w:r>
      <w:r>
        <w:rPr>
          <w:rFonts w:ascii="Consolas" w:hAnsi="Consolas" w:cs="Consolas" w:eastAsia="Consolas"/>
          <w:sz w:val="18"/>
        </w:rPr>
        <w:t>Reihen</w:t>
      </w:r>
      <w:r>
        <w:t xml:space="preserve"> 2, Lagerplatzmaße.</w:t>
      </w:r>
    </w:p>
    <w:p>
      <w:pPr>
        <w:tabs>
          <w:tab w:pos="425" w:val="left"/>
        </w:tabs>
        <w:spacing w:after="60"/>
        <w:ind w:left="425" w:hanging="425"/>
      </w:pPr>
      <w:r>
        <w:rPr>
          <w:b/>
        </w:rPr>
        <w:t>3.</w:t>
        <w:tab/>
      </w:r>
      <w:r>
        <w:rPr>
          <w:b/>
        </w:rPr>
        <w:t>MD017</w:t>
      </w:r>
      <w:r>
        <w:t xml:space="preserve">: Kommissionierbedarfstyp mit </w:t>
      </w:r>
      <w:r>
        <w:rPr>
          <w:b/>
        </w:rPr>
        <w:t>Mit Kommissionierwagen verwendet</w:t>
      </w:r>
      <w:r>
        <w:t>.</w:t>
      </w:r>
    </w:p>
    <w:p>
      <w:pPr>
        <w:tabs>
          <w:tab w:pos="425" w:val="left"/>
        </w:tabs>
        <w:spacing w:after="60"/>
        <w:ind w:left="425" w:hanging="425"/>
      </w:pPr>
      <w:r>
        <w:rPr>
          <w:b/>
        </w:rPr>
        <w:t>4.</w:t>
        <w:tab/>
      </w:r>
      <w:r>
        <w:rPr>
          <w:b/>
        </w:rPr>
        <w:t>FW028</w:t>
      </w:r>
      <w:r>
        <w:t xml:space="preserve">: </w:t>
      </w:r>
      <w:r>
        <w:rPr>
          <w:rFonts w:ascii="Consolas" w:hAnsi="Consolas" w:cs="Consolas" w:eastAsia="Consolas"/>
          <w:sz w:val="18"/>
        </w:rPr>
        <w:t>logimat.picking.cart.full.reserve</w:t>
      </w:r>
      <w:r>
        <w:t xml:space="preserve"> = 1.</w:t>
      </w:r>
    </w:p>
    <w:p>
      <w:pPr>
        <w:tabs>
          <w:tab w:pos="425" w:val="left"/>
        </w:tabs>
        <w:spacing w:after="60"/>
        <w:ind w:left="425" w:hanging="425"/>
      </w:pPr>
      <w:r>
        <w:rPr>
          <w:b/>
        </w:rPr>
        <w:t>5.</w:t>
        <w:tab/>
      </w:r>
      <w:r>
        <w:t xml:space="preserve">Touch </w:t>
      </w:r>
      <w:r>
        <w:rPr>
          <w:b/>
        </w:rPr>
        <w:t>LM040</w:t>
      </w:r>
      <w:r>
        <w:t xml:space="preserve"> › </w:t>
      </w:r>
      <w:r>
        <w:rPr>
          <w:b/>
        </w:rPr>
        <w:t>Übersicht Kommissionierwägen</w:t>
      </w:r>
      <w:r>
        <w:t xml:space="preserve">: Wagen freigeben, </w:t>
      </w:r>
      <w:r>
        <w:rPr>
          <w:b/>
        </w:rPr>
        <w:t>Kommissionierwagen übernehmen</w:t>
      </w:r>
      <w:r>
        <w:t>.</w:t>
      </w:r>
    </w:p>
    <w:p>
      <w:pPr>
        <w:tabs>
          <w:tab w:pos="425" w:val="left"/>
        </w:tabs>
        <w:spacing w:after="60"/>
        <w:ind w:left="425" w:hanging="425"/>
      </w:pPr>
      <w:r>
        <w:rPr>
          <w:b/>
        </w:rPr>
        <w:t>6.</w:t>
        <w:tab/>
      </w:r>
      <w:r>
        <w:rPr>
          <w:b/>
        </w:rPr>
        <w:t>LM151</w:t>
      </w:r>
      <w:r>
        <w:t xml:space="preserve"> → Platz wählen → </w:t>
      </w:r>
      <w:r>
        <w:rPr>
          <w:b/>
        </w:rPr>
        <w:t>Bedarfe zuordnen</w:t>
      </w:r>
      <w:r>
        <w:t xml:space="preserve"> → </w:t>
      </w:r>
      <w:r>
        <w:rPr>
          <w:b/>
        </w:rPr>
        <w:t>LM154</w:t>
      </w:r>
      <w:r>
        <w:t xml:space="preserve">: LE-ID des Kartons scannen, Bedarf wählen → </w:t>
      </w:r>
      <w:r>
        <w:rPr>
          <w:b/>
        </w:rPr>
        <w:t>Speichern</w:t>
      </w:r>
      <w:r>
        <w:t>; für fünf Plätze wiederholen.</w:t>
      </w:r>
    </w:p>
    <w:p>
      <w:pPr>
        <w:tabs>
          <w:tab w:pos="425" w:val="left"/>
        </w:tabs>
        <w:spacing w:after="60"/>
        <w:ind w:left="425" w:hanging="425"/>
      </w:pPr>
      <w:r>
        <w:rPr>
          <w:b/>
        </w:rPr>
        <w:t>7.</w:t>
        <w:tab/>
      </w:r>
      <w:r>
        <w:t xml:space="preserve">Nach der Kommissionierung: </w:t>
      </w:r>
      <w:r>
        <w:rPr>
          <w:b/>
        </w:rPr>
        <w:t>Kommissionierwagen abschließen</w:t>
      </w:r>
      <w:r>
        <w:t>. Alle Plan-LE auf dem Wagen werden abgeschlossen.</w:t>
      </w:r>
    </w:p>
    <w:p>
      <w:pPr>
        <w:pStyle w:val="Quelle"/>
      </w:pPr>
      <w:r>
        <w:rPr>
          <w:b/>
        </w:rPr>
        <w:t xml:space="preserve">Quelle: </w:t>
      </w:r>
      <w:r>
        <w:rPr>
          <w:sz w:val="17"/>
        </w:rPr>
        <w:t>Vorgehen nach Administratorhandbuch 2.7, Kap. 3.1.17, 3.4.2, 3.6.1.10, 3.11.2; Benutzerhandbuch 2.7, Kap. 5.5; Werte konstruiert</w:t>
      </w:r>
    </w:p>
    <w:p>
      <w:pPr>
        <w:pStyle w:val="Heading1"/>
      </w:pPr>
      <w:r>
        <w:t>11 Fehlende Screenshots</w:t>
      </w:r>
    </w:p>
    <w:p>
      <w:r>
        <w:t>Die Handbücher 2.7 und 2.8 enthalten zu Zielplätzen nur Text und Icons. Folgende Screenshots sollten im Testsystem aufgenommen und hier eingefügt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 xml:space="preserve">1. Desktop </w:t>
            </w:r>
            <w:r>
              <w:rPr>
                <w:b/>
                <w:sz w:val="19"/>
              </w:rPr>
              <w:t>LM065 Übersicht Zielplatzgruppen</w:t>
            </w:r>
            <w:r>
              <w:rPr>
                <w:sz w:val="19"/>
              </w:rPr>
              <w:t xml:space="preserve"> mit geöffnetem Kontextmenü (</w:t>
            </w:r>
            <w:r>
              <w:rPr>
                <w:b/>
                <w:sz w:val="19"/>
              </w:rPr>
              <w:t>Gruppe generieren</w:t>
            </w:r>
            <w:r>
              <w:rPr>
                <w:sz w:val="19"/>
              </w:rPr>
              <w:t xml:space="preserve">, </w:t>
            </w:r>
            <w:r>
              <w:rPr>
                <w:b/>
                <w:sz w:val="19"/>
              </w:rPr>
              <w:t>Zugriffsöffnung zuordnen</w:t>
            </w:r>
            <w:r>
              <w:rPr>
                <w:sz w:val="19"/>
              </w:rPr>
              <w:t xml:space="preserve">, </w:t>
            </w:r>
            <w:r>
              <w:rPr>
                <w:b/>
                <w:sz w:val="19"/>
              </w:rPr>
              <w:t>Kommissionierwagen anlegen</w:t>
            </w:r>
            <w:r>
              <w:rPr>
                <w:sz w:val="19"/>
              </w:rPr>
              <w:t xml:space="preserve">, </w:t>
            </w:r>
            <w:r>
              <w:rPr>
                <w:b/>
                <w:sz w:val="19"/>
              </w:rPr>
              <w:t>Zielplatzgruppe löschen</w:t>
            </w:r>
            <w:r>
              <w:rPr>
                <w:sz w:val="19"/>
              </w:rPr>
              <w:t>).</w:t>
            </w:r>
          </w:p>
          <w:p>
            <w:pPr>
              <w:spacing w:after="40"/>
            </w:pPr>
            <w:r>
              <w:rPr>
                <w:sz w:val="19"/>
              </w:rPr>
              <w:t xml:space="preserve">2. Desktop </w:t>
            </w:r>
            <w:r>
              <w:rPr>
                <w:b/>
                <w:sz w:val="19"/>
              </w:rPr>
              <w:t>LM064 Zielplatz-Generator</w:t>
            </w:r>
            <w:r>
              <w:rPr>
                <w:sz w:val="19"/>
              </w:rPr>
              <w:t xml:space="preserve"> mit ausgefüllten Feldern.</w:t>
            </w:r>
          </w:p>
          <w:p>
            <w:pPr>
              <w:spacing w:after="40"/>
            </w:pPr>
            <w:r>
              <w:rPr>
                <w:sz w:val="19"/>
              </w:rPr>
              <w:t xml:space="preserve">3. Desktop </w:t>
            </w:r>
            <w:r>
              <w:rPr>
                <w:b/>
                <w:sz w:val="19"/>
              </w:rPr>
              <w:t>FW005 Datensatz auswählen</w:t>
            </w:r>
            <w:r>
              <w:rPr>
                <w:sz w:val="19"/>
              </w:rPr>
              <w:t xml:space="preserve"> mit zwei Zugriffsöffnungen.</w:t>
            </w:r>
          </w:p>
          <w:p>
            <w:pPr>
              <w:spacing w:after="40"/>
            </w:pPr>
            <w:r>
              <w:rPr>
                <w:sz w:val="19"/>
              </w:rPr>
              <w:t xml:space="preserve">4. Desktop </w:t>
            </w:r>
            <w:r>
              <w:rPr>
                <w:b/>
                <w:sz w:val="19"/>
              </w:rPr>
              <w:t>LM088 Zielplatz pflegen</w:t>
            </w:r>
            <w:r>
              <w:rPr>
                <w:sz w:val="19"/>
              </w:rPr>
              <w:t xml:space="preserve">, Registerkarte </w:t>
            </w:r>
            <w:r>
              <w:rPr>
                <w:b/>
                <w:sz w:val="19"/>
              </w:rPr>
              <w:t>Zielplatz</w:t>
            </w:r>
            <w:r>
              <w:rPr>
                <w:sz w:val="19"/>
              </w:rPr>
              <w:t xml:space="preserve"> mit Bereich </w:t>
            </w:r>
            <w:r>
              <w:rPr>
                <w:b/>
                <w:sz w:val="19"/>
              </w:rPr>
              <w:t>Ladeeinheit</w:t>
            </w:r>
            <w:r>
              <w:rPr>
                <w:sz w:val="19"/>
              </w:rPr>
              <w:t>.</w:t>
            </w:r>
          </w:p>
          <w:p>
            <w:pPr>
              <w:spacing w:after="40"/>
            </w:pPr>
            <w:r>
              <w:rPr>
                <w:sz w:val="19"/>
              </w:rPr>
              <w:t xml:space="preserve">5. Touch </w:t>
            </w:r>
            <w:r>
              <w:rPr>
                <w:b/>
                <w:sz w:val="19"/>
              </w:rPr>
              <w:t>LM044 Zielplätze</w:t>
            </w:r>
            <w:r>
              <w:rPr>
                <w:sz w:val="19"/>
              </w:rPr>
              <w:t xml:space="preserve"> mit Symbolleiste und Suchergebnis.</w:t>
            </w:r>
          </w:p>
          <w:p>
            <w:pPr>
              <w:spacing w:after="40"/>
            </w:pPr>
            <w:r>
              <w:rPr>
                <w:sz w:val="19"/>
              </w:rPr>
              <w:t xml:space="preserve">6. Touch </w:t>
            </w:r>
            <w:r>
              <w:rPr>
                <w:b/>
                <w:sz w:val="19"/>
              </w:rPr>
              <w:t>LM106 Zielplätze generieren</w:t>
            </w:r>
            <w:r>
              <w:rPr>
                <w:sz w:val="19"/>
              </w:rPr>
              <w:t xml:space="preserve">, </w:t>
            </w:r>
            <w:r>
              <w:rPr>
                <w:b/>
                <w:sz w:val="19"/>
              </w:rPr>
              <w:t>LM046 Platzgruppe zuordnen</w:t>
            </w:r>
            <w:r>
              <w:rPr>
                <w:sz w:val="19"/>
              </w:rPr>
              <w:t xml:space="preserve"> und </w:t>
            </w:r>
            <w:r>
              <w:rPr>
                <w:b/>
                <w:sz w:val="19"/>
              </w:rPr>
              <w:t>LM107 LE auf externem Lagerplatz verwalten</w:t>
            </w:r>
            <w:r>
              <w:rPr>
                <w:sz w:val="19"/>
              </w:rPr>
              <w:t>.</w:t>
            </w:r>
          </w:p>
          <w:p>
            <w:pPr>
              <w:spacing w:after="40"/>
            </w:pPr>
            <w:r>
              <w:rPr>
                <w:sz w:val="19"/>
              </w:rPr>
              <w:t xml:space="preserve">7. Desktop </w:t>
            </w:r>
            <w:r>
              <w:rPr>
                <w:b/>
                <w:sz w:val="19"/>
              </w:rPr>
              <w:t>MD017</w:t>
            </w:r>
            <w:r>
              <w:rPr>
                <w:sz w:val="19"/>
              </w:rPr>
              <w:t xml:space="preserve"> › Registerkarte </w:t>
            </w:r>
            <w:r>
              <w:rPr>
                <w:b/>
                <w:sz w:val="19"/>
              </w:rPr>
              <w:t>Kommissionierbedarfstyp</w:t>
            </w:r>
            <w:r>
              <w:rPr>
                <w:sz w:val="19"/>
              </w:rPr>
              <w:t xml:space="preserve"> mit den Zielplatz-Checkboxen.</w:t>
            </w:r>
          </w:p>
          <w:p>
            <w:pPr>
              <w:spacing w:after="40"/>
            </w:pPr>
            <w:r>
              <w:rPr>
                <w:sz w:val="19"/>
              </w:rPr>
              <w:t xml:space="preserve">8. Desktop </w:t>
            </w:r>
            <w:r>
              <w:rPr>
                <w:b/>
                <w:sz w:val="19"/>
              </w:rPr>
              <w:t>LM152</w:t>
            </w:r>
            <w:r>
              <w:rPr>
                <w:sz w:val="19"/>
              </w:rPr>
              <w:t xml:space="preserve"> und Touch </w:t>
            </w:r>
            <w:r>
              <w:rPr>
                <w:b/>
                <w:sz w:val="19"/>
              </w:rPr>
              <w:t>LM151</w:t>
            </w:r>
            <w:r>
              <w:rPr>
                <w:sz w:val="19"/>
              </w:rPr>
              <w:t xml:space="preserve"> / </w:t>
            </w:r>
            <w:r>
              <w:rPr>
                <w:b/>
                <w:sz w:val="19"/>
              </w:rPr>
              <w:t>LM154</w:t>
            </w:r>
            <w:r>
              <w:rPr>
                <w:sz w:val="19"/>
              </w:rPr>
              <w:t xml:space="preserve"> (Kommissionierwagen).</w:t>
            </w:r>
          </w:p>
          <w:p>
            <w:pPr>
              <w:spacing w:after="40"/>
            </w:pPr>
            <w:r>
              <w:rPr>
                <w:sz w:val="19"/>
              </w:rPr>
              <w:t xml:space="preserve">9. Desktop </w:t>
            </w:r>
            <w:r>
              <w:rPr>
                <w:b/>
                <w:sz w:val="19"/>
              </w:rPr>
              <w:t>MD021</w:t>
            </w:r>
            <w:r>
              <w:rPr>
                <w:sz w:val="19"/>
              </w:rPr>
              <w:t xml:space="preserve"> › Registerkarte </w:t>
            </w:r>
            <w:r>
              <w:rPr>
                <w:b/>
                <w:sz w:val="19"/>
              </w:rPr>
              <w:t>Kommissionierbedarfsquittierung</w:t>
            </w:r>
            <w:r>
              <w:rPr>
                <w:sz w:val="19"/>
              </w:rPr>
              <w:t xml:space="preserve"> mit </w:t>
            </w:r>
            <w:r>
              <w:rPr>
                <w:b/>
                <w:sz w:val="19"/>
              </w:rPr>
              <w:t>Wenn Ziel voll</w:t>
            </w:r>
            <w:r>
              <w:rPr>
                <w:sz w:val="19"/>
              </w:rPr>
              <w:t>.</w:t>
            </w:r>
          </w:p>
          <w:p>
            <w:pPr>
              <w:spacing w:after="40"/>
            </w:pPr>
            <w:r>
              <w:rPr>
                <w:sz w:val="19"/>
              </w:rPr>
              <w:t xml:space="preserve">10. 2.8: </w:t>
            </w:r>
            <w:r>
              <w:rPr>
                <w:b/>
                <w:sz w:val="19"/>
              </w:rPr>
              <w:t>LM164 Release Picking Demand</w:t>
            </w:r>
            <w:r>
              <w:rPr>
                <w:sz w:val="19"/>
              </w:rPr>
              <w:t xml:space="preserve">, </w:t>
            </w:r>
            <w:r>
              <w:rPr>
                <w:b/>
                <w:sz w:val="19"/>
              </w:rPr>
              <w:t>LM108</w:t>
            </w:r>
            <w:r>
              <w:rPr>
                <w:sz w:val="19"/>
              </w:rPr>
              <w:t xml:space="preserve"> / </w:t>
            </w:r>
            <w:r>
              <w:rPr>
                <w:b/>
                <w:sz w:val="19"/>
              </w:rPr>
              <w:t>LM165 Edit External LU-ID</w:t>
            </w:r>
            <w:r>
              <w:rPr>
                <w:sz w:val="19"/>
              </w:rPr>
              <w:t xml:space="preserve">, </w:t>
            </w:r>
            <w:r>
              <w:rPr>
                <w:b/>
                <w:sz w:val="19"/>
              </w:rPr>
              <w:t>LM301</w:t>
            </w:r>
            <w:r>
              <w:rPr>
                <w:sz w:val="19"/>
              </w:rPr>
              <w:t xml:space="preserve"> Registerkarte </w:t>
            </w:r>
            <w:r>
              <w:rPr>
                <w:b/>
                <w:sz w:val="19"/>
              </w:rPr>
              <w:t>DC-LC Pick Face</w:t>
            </w:r>
            <w:r>
              <w:rPr>
                <w:sz w:val="19"/>
              </w:rPr>
              <w:t>.</w:t>
            </w:r>
          </w:p>
        </w:tc>
      </w:tr>
    </w:tbl>
    <w:p>
      <w:pPr>
        <w:spacing w:after="40"/>
      </w:pPr>
    </w:p>
    <w:p>
      <w:pPr>
        <w:pStyle w:val="Heading1"/>
      </w:pPr>
      <w:r>
        <w:t>12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Fragen an Marek</w:t>
            </w:r>
          </w:p>
          <w:p>
            <w:pPr>
              <w:spacing w:after="40"/>
            </w:pPr>
            <w:r>
              <w:rPr>
                <w:sz w:val="19"/>
              </w:rPr>
              <w:t xml:space="preserve">1. </w:t>
            </w:r>
            <w:r>
              <w:rPr>
                <w:b/>
                <w:sz w:val="19"/>
              </w:rPr>
              <w:t>Löschsperren:</w:t>
            </w:r>
            <w:r>
              <w:rPr>
                <w:sz w:val="19"/>
              </w:rPr>
              <w:t xml:space="preserve"> Verweigert WAMAS </w:t>
            </w:r>
            <w:r>
              <w:rPr>
                <w:b/>
                <w:sz w:val="19"/>
              </w:rPr>
              <w:t>Zielplatzgruppe löschen</w:t>
            </w:r>
            <w:r>
              <w:rPr>
                <w:sz w:val="19"/>
              </w:rPr>
              <w:t xml:space="preserve"> bzw. </w:t>
            </w:r>
            <w:r>
              <w:rPr>
                <w:b/>
                <w:sz w:val="19"/>
              </w:rPr>
              <w:t>Alle entfernen</w:t>
            </w:r>
            <w:r>
              <w:rPr>
                <w:sz w:val="19"/>
              </w:rPr>
              <w:t xml:space="preserve">, wenn noch eine LE gebucht oder eine Plan-LE offen ist? Und wirkt </w:t>
            </w:r>
            <w:r>
              <w:rPr>
                <w:b/>
                <w:sz w:val="19"/>
              </w:rPr>
              <w:t>Alle entfernen</w:t>
            </w:r>
            <w:r>
              <w:rPr>
                <w:sz w:val="19"/>
              </w:rPr>
              <w:t xml:space="preserve"> nur auf die aktive Zugriffsöffnung?</w:t>
            </w:r>
          </w:p>
          <w:p>
            <w:pPr>
              <w:spacing w:after="40"/>
            </w:pPr>
            <w:r>
              <w:rPr>
                <w:sz w:val="19"/>
              </w:rPr>
              <w:t xml:space="preserve">2. </w:t>
            </w:r>
            <w:r>
              <w:rPr>
                <w:b/>
                <w:sz w:val="19"/>
              </w:rPr>
              <w:t>„Ziel voll“:</w:t>
            </w:r>
            <w:r>
              <w:rPr>
                <w:sz w:val="19"/>
              </w:rPr>
              <w:t xml:space="preserve"> In welchem Touch-Dialog kennzeichnet der Benutzer eine Ziel-LE als voll, und wie geht die volle LE vom Zielplatz in den Versand?</w:t>
            </w:r>
          </w:p>
          <w:p>
            <w:pPr>
              <w:spacing w:after="40"/>
            </w:pPr>
            <w:r>
              <w:rPr>
                <w:sz w:val="19"/>
              </w:rPr>
              <w:t xml:space="preserve">3. </w:t>
            </w:r>
            <w:r>
              <w:rPr>
                <w:b/>
                <w:sz w:val="19"/>
              </w:rPr>
              <w:t>Import und Deaktivieren:</w:t>
            </w:r>
            <w:r>
              <w:rPr>
                <w:sz w:val="19"/>
              </w:rPr>
              <w:t xml:space="preserve"> Gibt es in euren Projekten einen Weg, Zielplätze zu importieren (z. B. über den LM125-Import oder die Konfigurationsdatei LM061) oder einzeln zu sperren?</w:t>
            </w:r>
          </w:p>
          <w:p>
            <w:pPr>
              <w:spacing w:after="40"/>
            </w:pPr>
            <w:r>
              <w:rPr>
                <w:sz w:val="19"/>
              </w:rPr>
              <w:t xml:space="preserve">4. </w:t>
            </w:r>
            <w:r>
              <w:rPr>
                <w:b/>
                <w:sz w:val="19"/>
              </w:rPr>
              <w:t>PTL-Hardware 2.7:</w:t>
            </w:r>
            <w:r>
              <w:rPr>
                <w:sz w:val="19"/>
              </w:rPr>
              <w:t xml:space="preserve"> Welches Put-to-Light-System wird in 2.7-Projekten angebunden? In 2.7 ist keine Gerätekonfiguration beschrieben, in 2.8 nur KBS über </w:t>
            </w:r>
            <w:r>
              <w:rPr>
                <w:b/>
                <w:sz w:val="19"/>
              </w:rPr>
              <w:t>LM301</w:t>
            </w:r>
            <w:r>
              <w:rPr>
                <w:sz w:val="19"/>
              </w:rPr>
              <w:t>.</w:t>
            </w:r>
          </w:p>
          <w:p>
            <w:pPr>
              <w:spacing w:after="40"/>
            </w:pPr>
            <w:r>
              <w:rPr>
                <w:sz w:val="19"/>
              </w:rPr>
              <w:t xml:space="preserve">5. </w:t>
            </w:r>
            <w:r>
              <w:rPr>
                <w:b/>
                <w:sz w:val="19"/>
              </w:rPr>
              <w:t>Satzart:</w:t>
            </w:r>
            <w:r>
              <w:rPr>
                <w:sz w:val="19"/>
              </w:rPr>
              <w:t xml:space="preserve"> Sendet ein 2.7-System </w:t>
            </w:r>
            <w:r>
              <w:rPr>
                <w:rFonts w:ascii="Consolas" w:hAnsi="Consolas" w:cs="Consolas" w:eastAsia="Consolas"/>
                <w:sz w:val="17"/>
              </w:rPr>
              <w:t>WLSP2LACK001</w:t>
            </w:r>
            <w:r>
              <w:rPr>
                <w:sz w:val="19"/>
              </w:rPr>
              <w:t xml:space="preserve"> (Handbuch) oder </w:t>
            </w:r>
            <w:r>
              <w:rPr>
                <w:rFonts w:ascii="Consolas" w:hAnsi="Consolas" w:cs="Consolas" w:eastAsia="Consolas"/>
                <w:sz w:val="17"/>
              </w:rPr>
              <w:t>WLSP2LACK002</w:t>
            </w:r>
            <w:r>
              <w:rPr>
                <w:sz w:val="19"/>
              </w:rPr>
              <w:t xml:space="preserve"> (Telegrammbeispiele)?</w:t>
            </w:r>
          </w:p>
        </w:tc>
      </w:tr>
    </w:tbl>
    <w:p>
      <w:pPr>
        <w:spacing w:after="40"/>
      </w:pPr>
    </w:p>
    <w:p>
      <w:pPr>
        <w:pStyle w:val="Heading1"/>
      </w:pPr>
      <w:r>
        <w:t>13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Dokument (Kürzel)</w:t>
            </w:r>
          </w:p>
        </w:tc>
        <w:tc>
          <w:tcPr>
            <w:tcW w:type="dxa" w:w="4762"/>
            <w:shd w:val="clear" w:color="auto" w:fill="FEEE19"/>
          </w:tcPr>
          <w:p>
            <w:pPr>
              <w:spacing w:after="0"/>
            </w:pPr>
            <w:r>
              <w:rPr>
                <w:b/>
                <w:sz w:val="17"/>
              </w:rPr>
              <w:t>Verwendete Kapitel</w:t>
            </w:r>
          </w:p>
        </w:tc>
      </w:tr>
      <w:tr>
        <w:tc>
          <w:tcPr>
            <w:tcW w:type="dxa" w:w="4762"/>
          </w:tcPr>
          <w:p>
            <w:pPr>
              <w:spacing w:after="0" w:line="252" w:lineRule="auto"/>
            </w:pPr>
            <w:r>
              <w:rPr>
                <w:b/>
                <w:sz w:val="17"/>
              </w:rPr>
              <w:t>AH 2.7</w:t>
            </w:r>
            <w:r>
              <w:rPr>
                <w:sz w:val="17"/>
              </w:rPr>
              <w:t>: WAMAS.LS_2.7_man.administrator_V01.0_deDE</w:t>
            </w:r>
          </w:p>
        </w:tc>
        <w:tc>
          <w:tcPr>
            <w:tcW w:type="dxa" w:w="4762"/>
          </w:tcPr>
          <w:p>
            <w:pPr>
              <w:spacing w:after="0" w:line="252" w:lineRule="auto"/>
            </w:pPr>
            <w:r>
              <w:rPr>
                <w:sz w:val="17"/>
              </w:rPr>
              <w:t>3.1, 3.1.1.1, 3.1.10–3.1.14, 3.1.17, 3.4.2, 3.5.1.6.1–3.5.1.6.6, 3.5.2.8, 3.5.3.1, 3.6.1.10, 3.11.2</w:t>
            </w:r>
          </w:p>
        </w:tc>
      </w:tr>
      <w:tr>
        <w:tc>
          <w:tcPr>
            <w:tcW w:type="dxa" w:w="4762"/>
          </w:tcPr>
          <w:p>
            <w:pPr>
              <w:spacing w:after="0" w:line="252" w:lineRule="auto"/>
            </w:pPr>
            <w:r>
              <w:rPr>
                <w:b/>
                <w:sz w:val="17"/>
              </w:rPr>
              <w:t>BH 2.7</w:t>
            </w:r>
            <w:r>
              <w:rPr>
                <w:sz w:val="17"/>
              </w:rPr>
              <w:t>: WAMAS.LS_2.7_man.user_V01.0_deDE</w:t>
            </w:r>
          </w:p>
        </w:tc>
        <w:tc>
          <w:tcPr>
            <w:tcW w:type="dxa" w:w="4762"/>
          </w:tcPr>
          <w:p>
            <w:pPr>
              <w:spacing w:after="0" w:line="252" w:lineRule="auto"/>
            </w:pPr>
            <w:r>
              <w:rPr>
                <w:sz w:val="17"/>
              </w:rPr>
              <w:t>5.4.1–5.4.5, 5.5.1–5.5.6, 6.2.2, 6.2.4.2, 6.2.4.10, 6.7.1, 6.8.1.3, 6.8.2.2, Icon-Liste S. 164–165</w:t>
            </w:r>
          </w:p>
        </w:tc>
      </w:tr>
      <w:tr>
        <w:tc>
          <w:tcPr>
            <w:tcW w:type="dxa" w:w="4762"/>
          </w:tcPr>
          <w:p>
            <w:pPr>
              <w:spacing w:after="0" w:line="252" w:lineRule="auto"/>
            </w:pPr>
            <w:r>
              <w:rPr>
                <w:b/>
                <w:sz w:val="17"/>
              </w:rPr>
              <w:t>AH 2.8</w:t>
            </w:r>
            <w:r>
              <w:rPr>
                <w:sz w:val="17"/>
              </w:rPr>
              <w:t>: WAMAS.LS_2.8_man.administrator_V01.0_enUS</w:t>
            </w:r>
          </w:p>
        </w:tc>
        <w:tc>
          <w:tcPr>
            <w:tcW w:type="dxa" w:w="4762"/>
          </w:tcPr>
          <w:p>
            <w:pPr>
              <w:spacing w:after="0" w:line="252" w:lineRule="auto"/>
            </w:pPr>
            <w:r>
              <w:rPr>
                <w:sz w:val="17"/>
              </w:rPr>
              <w:t>3.1.11–3.1.13, 3.5.1.6, 3.6.1.10, 3.9.2.3.3, 3.11.2</w:t>
            </w:r>
          </w:p>
        </w:tc>
      </w:tr>
      <w:tr>
        <w:tc>
          <w:tcPr>
            <w:tcW w:type="dxa" w:w="4762"/>
          </w:tcPr>
          <w:p>
            <w:pPr>
              <w:spacing w:after="0" w:line="252" w:lineRule="auto"/>
            </w:pPr>
            <w:r>
              <w:rPr>
                <w:b/>
                <w:sz w:val="17"/>
              </w:rPr>
              <w:t>BH 2.8</w:t>
            </w:r>
            <w:r>
              <w:rPr>
                <w:sz w:val="17"/>
              </w:rPr>
              <w:t>: WAMAS.LS_2.8_man.user_V01.0_enUS</w:t>
            </w:r>
          </w:p>
        </w:tc>
        <w:tc>
          <w:tcPr>
            <w:tcW w:type="dxa" w:w="4762"/>
          </w:tcPr>
          <w:p>
            <w:pPr>
              <w:spacing w:after="0" w:line="252" w:lineRule="auto"/>
            </w:pPr>
            <w:r>
              <w:rPr>
                <w:sz w:val="17"/>
              </w:rPr>
              <w:t>5.4, 5.5, 6.2.2.2.2, 6.2.5.3</w:t>
            </w:r>
          </w:p>
        </w:tc>
      </w:tr>
      <w:tr>
        <w:tc>
          <w:tcPr>
            <w:tcW w:type="dxa" w:w="4762"/>
          </w:tcPr>
          <w:p>
            <w:pPr>
              <w:spacing w:after="0" w:line="252" w:lineRule="auto"/>
            </w:pPr>
            <w:r>
              <w:rPr>
                <w:b/>
                <w:sz w:val="17"/>
              </w:rPr>
              <w:t>SH ERP 2.7 / 2.8</w:t>
            </w:r>
            <w:r>
              <w:rPr>
                <w:sz w:val="17"/>
              </w:rPr>
              <w:t>: WAMAS.LS_2.7/2.8_man.interface.wls.erp_V01.0_enUS</w:t>
            </w:r>
          </w:p>
        </w:tc>
        <w:tc>
          <w:tcPr>
            <w:tcW w:type="dxa" w:w="4762"/>
          </w:tcPr>
          <w:p>
            <w:pPr>
              <w:spacing w:after="0" w:line="252" w:lineRule="auto"/>
            </w:pPr>
            <w:r>
              <w:rPr>
                <w:sz w:val="17"/>
              </w:rPr>
              <w:t>2.7: 7.2.1.3, 7.2.2.3–7.2.2.4; 2.8: 6.1.2.1, 7.1.2.1, 7.2.1.3</w:t>
            </w:r>
          </w:p>
        </w:tc>
      </w:tr>
      <w:tr>
        <w:tc>
          <w:tcPr>
            <w:tcW w:type="dxa" w:w="4762"/>
          </w:tcPr>
          <w:p>
            <w:pPr>
              <w:spacing w:after="0" w:line="252" w:lineRule="auto"/>
            </w:pPr>
            <w:r>
              <w:rPr>
                <w:b/>
                <w:sz w:val="17"/>
              </w:rPr>
              <w:t>TB 2.7</w:t>
            </w:r>
            <w:r>
              <w:rPr>
                <w:sz w:val="17"/>
              </w:rPr>
              <w:t>: 2.7.0_IN_OUT_CSV_TXT_XML_JSON</w:t>
            </w:r>
          </w:p>
        </w:tc>
        <w:tc>
          <w:tcPr>
            <w:tcW w:type="dxa" w:w="4762"/>
          </w:tcPr>
          <w:p>
            <w:pPr>
              <w:spacing w:after="0" w:line="252" w:lineRule="auto"/>
            </w:pPr>
            <w:r>
              <w:rPr>
                <w:sz w:val="17"/>
              </w:rPr>
              <w:t>PD/ACK_when_dest_full (0098–0105), PD/ACK_after_every_operation/0085.json</w:t>
            </w:r>
          </w:p>
        </w:tc>
      </w:tr>
      <w:tr>
        <w:tc>
          <w:tcPr>
            <w:tcW w:type="dxa" w:w="4762"/>
          </w:tcPr>
          <w:p>
            <w:pPr>
              <w:spacing w:after="0" w:line="252" w:lineRule="auto"/>
            </w:pPr>
            <w:r>
              <w:rPr>
                <w:b/>
                <w:sz w:val="17"/>
              </w:rPr>
              <w:t>BH R2.4</w:t>
            </w:r>
            <w:r>
              <w:rPr>
                <w:sz w:val="17"/>
              </w:rPr>
              <w:t>: man_user_WAMAS_LogiMat_R2.4_V5.0_ger „Externe Lagerung“</w:t>
            </w:r>
          </w:p>
        </w:tc>
        <w:tc>
          <w:tcPr>
            <w:tcW w:type="dxa" w:w="4762"/>
          </w:tcPr>
          <w:p>
            <w:pPr>
              <w:spacing w:after="0" w:line="252" w:lineRule="auto"/>
            </w:pPr>
            <w:r>
              <w:rPr>
                <w:sz w:val="17"/>
              </w:rPr>
              <w:t>4.3.1, 4.4.1–4.4.2</w:t>
            </w:r>
          </w:p>
        </w:tc>
      </w:tr>
      <w:tr>
        <w:tc>
          <w:tcPr>
            <w:tcW w:type="dxa" w:w="4762"/>
          </w:tcPr>
          <w:p>
            <w:pPr>
              <w:spacing w:after="0" w:line="252" w:lineRule="auto"/>
            </w:pPr>
            <w:r>
              <w:rPr>
                <w:b/>
                <w:sz w:val="17"/>
              </w:rPr>
              <w:t>SCH</w:t>
            </w:r>
            <w:r>
              <w:rPr>
                <w:sz w:val="17"/>
              </w:rPr>
              <w:t>: WAMAS LogiMat Consultant Training Part 1 (12.01.2024)</w:t>
            </w:r>
          </w:p>
        </w:tc>
        <w:tc>
          <w:tcPr>
            <w:tcW w:type="dxa" w:w="4762"/>
          </w:tcPr>
          <w:p>
            <w:pPr>
              <w:spacing w:after="0" w:line="252" w:lineRule="auto"/>
            </w:pPr>
            <w:r>
              <w:rPr>
                <w:sz w:val="17"/>
              </w:rPr>
              <w:t>Client Configuration (2), Global parameters</w:t>
            </w:r>
          </w:p>
        </w:tc>
      </w:tr>
      <w:tr>
        <w:tc>
          <w:tcPr>
            <w:tcW w:type="dxa" w:w="4762"/>
          </w:tcPr>
          <w:p>
            <w:pPr>
              <w:spacing w:after="0" w:line="252" w:lineRule="auto"/>
            </w:pPr>
            <w:r>
              <w:rPr>
                <w:b/>
                <w:sz w:val="17"/>
              </w:rPr>
              <w:t>HT</w:t>
            </w:r>
            <w:r>
              <w:rPr>
                <w:sz w:val="17"/>
              </w:rPr>
              <w:t>: How-tos „LE, Kubaturen, Zuordnungen und Zielplätze“, „Externe Lagerprozesse“, „Dokumente drucken“ v1.0</w:t>
            </w:r>
          </w:p>
        </w:tc>
        <w:tc>
          <w:tcPr>
            <w:tcW w:type="dxa" w:w="4762"/>
          </w:tcPr>
          <w:p>
            <w:pPr>
              <w:spacing w:after="0" w:line="252" w:lineRule="auto"/>
            </w:pPr>
            <w:r>
              <w:rPr>
                <w:sz w:val="17"/>
              </w:rPr>
              <w:t>Zielplätze, externe Plätze, Etiketten</w:t>
            </w:r>
          </w:p>
        </w:tc>
      </w:tr>
    </w:tbl>
    <w:p>
      <w:pPr>
        <w:pStyle w:val="BeschriftungSSI"/>
      </w:pPr>
      <w:r>
        <w:t>Tab. 12: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Abkürzung</w:t>
            </w:r>
          </w:p>
        </w:tc>
        <w:tc>
          <w:tcPr>
            <w:tcW w:type="dxa" w:w="7937"/>
            <w:shd w:val="clear" w:color="auto" w:fill="FEEE19"/>
          </w:tcPr>
          <w:p>
            <w:pPr>
              <w:spacing w:after="0"/>
            </w:pPr>
            <w:r>
              <w:rPr>
                <w:b/>
                <w:sz w:val="17"/>
              </w:rPr>
              <w:t>Bedeutung</w:t>
            </w:r>
          </w:p>
        </w:tc>
      </w:tr>
      <w:tr>
        <w:tc>
          <w:tcPr>
            <w:tcW w:type="dxa" w:w="1587"/>
          </w:tcPr>
          <w:p>
            <w:pPr>
              <w:spacing w:after="0" w:line="252" w:lineRule="auto"/>
            </w:pPr>
            <w:r>
              <w:rPr>
                <w:sz w:val="17"/>
              </w:rPr>
              <w:t>AH / BH / SH</w:t>
            </w:r>
          </w:p>
        </w:tc>
        <w:tc>
          <w:tcPr>
            <w:tcW w:type="dxa" w:w="7937"/>
          </w:tcPr>
          <w:p>
            <w:pPr>
              <w:spacing w:after="0" w:line="252" w:lineRule="auto"/>
            </w:pPr>
            <w:r>
              <w:rPr>
                <w:sz w:val="17"/>
              </w:rPr>
              <w:t>Administratorhandbuch / Benutzerhandbuch / Schnittstellenhandbuch</w:t>
            </w:r>
          </w:p>
        </w:tc>
      </w:tr>
      <w:tr>
        <w:tc>
          <w:tcPr>
            <w:tcW w:type="dxa" w:w="1587"/>
          </w:tcPr>
          <w:p>
            <w:pPr>
              <w:spacing w:after="0" w:line="252" w:lineRule="auto"/>
            </w:pPr>
            <w:r>
              <w:rPr>
                <w:sz w:val="17"/>
              </w:rPr>
              <w:t>DC-LC</w:t>
            </w:r>
          </w:p>
        </w:tc>
        <w:tc>
          <w:tcPr>
            <w:tcW w:type="dxa" w:w="7937"/>
          </w:tcPr>
          <w:p>
            <w:pPr>
              <w:spacing w:after="0" w:line="252" w:lineRule="auto"/>
            </w:pPr>
            <w:r>
              <w:rPr>
                <w:sz w:val="17"/>
              </w:rPr>
              <w:t>Device Controller – Line Controller (KBS, 2.8)</w:t>
            </w:r>
          </w:p>
        </w:tc>
      </w:tr>
      <w:tr>
        <w:tc>
          <w:tcPr>
            <w:tcW w:type="dxa" w:w="1587"/>
          </w:tcPr>
          <w:p>
            <w:pPr>
              <w:spacing w:after="0" w:line="252" w:lineRule="auto"/>
            </w:pPr>
            <w:r>
              <w:rPr>
                <w:sz w:val="17"/>
              </w:rPr>
              <w:t>KBS</w:t>
            </w:r>
          </w:p>
        </w:tc>
        <w:tc>
          <w:tcPr>
            <w:tcW w:type="dxa" w:w="7937"/>
          </w:tcPr>
          <w:p>
            <w:pPr>
              <w:spacing w:after="0" w:line="252" w:lineRule="auto"/>
            </w:pPr>
            <w:r>
              <w:rPr>
                <w:sz w:val="17"/>
              </w:rPr>
              <w:t>Im AH 2.8 so bezeichnetes Put-to-Light-System (Abkürzung dort nicht aufgelöst)</w:t>
            </w:r>
          </w:p>
        </w:tc>
      </w:tr>
      <w:tr>
        <w:tc>
          <w:tcPr>
            <w:tcW w:type="dxa" w:w="1587"/>
          </w:tcPr>
          <w:p>
            <w:pPr>
              <w:spacing w:after="0" w:line="252" w:lineRule="auto"/>
            </w:pPr>
            <w:r>
              <w:rPr>
                <w:sz w:val="17"/>
              </w:rPr>
              <w:t>LE</w:t>
            </w:r>
          </w:p>
        </w:tc>
        <w:tc>
          <w:tcPr>
            <w:tcW w:type="dxa" w:w="7937"/>
          </w:tcPr>
          <w:p>
            <w:pPr>
              <w:spacing w:after="0" w:line="252" w:lineRule="auto"/>
            </w:pPr>
            <w:r>
              <w:rPr>
                <w:sz w:val="17"/>
              </w:rPr>
              <w:t>Ladeeinheit</w:t>
            </w:r>
          </w:p>
        </w:tc>
      </w:tr>
      <w:tr>
        <w:tc>
          <w:tcPr>
            <w:tcW w:type="dxa" w:w="1587"/>
          </w:tcPr>
          <w:p>
            <w:pPr>
              <w:spacing w:after="0" w:line="252" w:lineRule="auto"/>
            </w:pPr>
            <w:r>
              <w:rPr>
                <w:sz w:val="17"/>
              </w:rPr>
              <w:t>PTL</w:t>
            </w:r>
          </w:p>
        </w:tc>
        <w:tc>
          <w:tcPr>
            <w:tcW w:type="dxa" w:w="7937"/>
          </w:tcPr>
          <w:p>
            <w:pPr>
              <w:spacing w:after="0" w:line="252" w:lineRule="auto"/>
            </w:pPr>
            <w:r>
              <w:rPr>
                <w:sz w:val="17"/>
              </w:rPr>
              <w:t>Put to Light</w:t>
            </w:r>
          </w:p>
        </w:tc>
      </w:tr>
      <w:tr>
        <w:tc>
          <w:tcPr>
            <w:tcW w:type="dxa" w:w="1587"/>
          </w:tcPr>
          <w:p>
            <w:pPr>
              <w:spacing w:after="0" w:line="252" w:lineRule="auto"/>
            </w:pPr>
            <w:r>
              <w:rPr>
                <w:sz w:val="17"/>
              </w:rPr>
              <w:t>Plan-LE</w:t>
            </w:r>
          </w:p>
        </w:tc>
        <w:tc>
          <w:tcPr>
            <w:tcW w:type="dxa" w:w="7937"/>
          </w:tcPr>
          <w:p>
            <w:pPr>
              <w:spacing w:after="0" w:line="252" w:lineRule="auto"/>
            </w:pPr>
            <w:r>
              <w:rPr>
                <w:sz w:val="17"/>
              </w:rPr>
              <w:t>Kommissionier-Plan-Ladeeinheit (PPLU)</w:t>
            </w:r>
          </w:p>
        </w:tc>
      </w:tr>
    </w:tbl>
    <w:p>
      <w:pPr>
        <w:pStyle w:val="BeschriftungSSI"/>
      </w:pPr>
      <w:r>
        <w:t>Tab. 13: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Zielplätze – Aufbau, Ablauf, Einrichten, Generieren und Abbauen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Zielplätze – Aufbau, Ablauf, Einrichten, Generieren und Abbauen</dc:title>
  <dc:subject>Zielplätze und Zielplatzgruppen für Put to Light, Ziel-LE und Kommissionierwagen, mit Unterschieden in 2.8</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