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Ladeeinheiten, Kubaturen, Zuordnungen und Zielplätze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Begriffe verstehen, Stammdaten einrichten, Prozesse von Wareneingang bis Versand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Marek, SSI SCHÄFER</w:t>
            </w:r>
          </w:p>
        </w:tc>
      </w:tr>
    </w:tbl>
    <w:p>
      <w:pPr>
        <w:spacing w:before="8617"/>
      </w:pPr>
      <w:r>
        <w:rPr>
          <w:sz w:val="18"/>
        </w:rPr>
        <w:t>V 1.0  ·  15.10.2026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Lesehinweise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Das Gesamtbild</w:t>
        <w:tab/>
        <w:t>5</w:t>
      </w:r>
    </w:p>
    <w:p>
      <w:pPr>
        <w:pStyle w:val="TOC2"/>
        <w:tabs>
          <w:tab w:pos="9524" w:val="right" w:leader="dot"/>
        </w:tabs>
      </w:pPr>
      <w:r>
        <w:t>2.1 Die vier Begriffe in einfachen Worten</w:t>
        <w:tab/>
        <w:t>5</w:t>
      </w:r>
    </w:p>
    <w:p>
      <w:pPr>
        <w:pStyle w:val="TOC2"/>
        <w:tabs>
          <w:tab w:pos="9524" w:val="right" w:leader="dot"/>
        </w:tabs>
      </w:pPr>
      <w:r>
        <w:t>2.2 Prozesssicht</w:t>
        <w:tab/>
        <w:t>5</w:t>
      </w:r>
    </w:p>
    <w:p>
      <w:pPr>
        <w:pStyle w:val="TOC2"/>
        <w:tabs>
          <w:tab w:pos="9524" w:val="right" w:leader="dot"/>
        </w:tabs>
      </w:pPr>
      <w:r>
        <w:t>2.3 Aufbau einer LE im SSI LOGIMAT</w:t>
        <w:tab/>
        <w:t>5</w:t>
      </w:r>
    </w:p>
    <w:p>
      <w:pPr>
        <w:pStyle w:val="TOC1"/>
        <w:tabs>
          <w:tab w:pos="9524" w:val="right" w:leader="dot"/>
        </w:tabs>
      </w:pPr>
      <w:r>
        <w:t>3 Ladeeinheiten (LE)</w:t>
        <w:tab/>
        <w:t>7</w:t>
      </w:r>
    </w:p>
    <w:p>
      <w:pPr>
        <w:pStyle w:val="TOC2"/>
        <w:tabs>
          <w:tab w:pos="9524" w:val="right" w:leader="dot"/>
        </w:tabs>
      </w:pPr>
      <w:r>
        <w:t>3.1 Was ist eine Ladeeinheit?</w:t>
        <w:tab/>
        <w:t>7</w:t>
      </w:r>
    </w:p>
    <w:p>
      <w:pPr>
        <w:pStyle w:val="TOC2"/>
        <w:tabs>
          <w:tab w:pos="9524" w:val="right" w:leader="dot"/>
        </w:tabs>
      </w:pPr>
      <w:r>
        <w:t>3.2 „LE-Typ“: was die Dokumentation dazu sagt</w:t>
        <w:tab/>
        <w:t>7</w:t>
      </w:r>
    </w:p>
    <w:p>
      <w:pPr>
        <w:pStyle w:val="TOC2"/>
        <w:tabs>
          <w:tab w:pos="9524" w:val="right" w:leader="dot"/>
        </w:tabs>
      </w:pPr>
      <w:r>
        <w:t>3.3 Woher kommt die LE-ID?</w:t>
        <w:tab/>
        <w:t>7</w:t>
      </w:r>
    </w:p>
    <w:p>
      <w:pPr>
        <w:pStyle w:val="TOC2"/>
        <w:tabs>
          <w:tab w:pos="9524" w:val="right" w:leader="dot"/>
        </w:tabs>
      </w:pPr>
      <w:r>
        <w:t>3.4 Externe Ladeeinheiten</w:t>
        <w:tab/>
        <w:t>8</w:t>
      </w:r>
    </w:p>
    <w:p>
      <w:pPr>
        <w:pStyle w:val="TOC2"/>
        <w:tabs>
          <w:tab w:pos="9524" w:val="right" w:leader="dot"/>
        </w:tabs>
      </w:pPr>
      <w:r>
        <w:t>3.5 LE-IDs in der Schnittstelle</w:t>
        <w:tab/>
        <w:t>9</w:t>
      </w:r>
    </w:p>
    <w:p>
      <w:pPr>
        <w:pStyle w:val="TOC1"/>
        <w:tabs>
          <w:tab w:pos="9524" w:val="right" w:leader="dot"/>
        </w:tabs>
      </w:pPr>
      <w:r>
        <w:t>4 Kubaturen</w:t>
        <w:tab/>
        <w:t>11</w:t>
      </w:r>
    </w:p>
    <w:p>
      <w:pPr>
        <w:pStyle w:val="TOC2"/>
        <w:tabs>
          <w:tab w:pos="9524" w:val="right" w:leader="dot"/>
        </w:tabs>
      </w:pPr>
      <w:r>
        <w:t>4.1 Begriffe rund um die Kubatur</w:t>
        <w:tab/>
        <w:t>11</w:t>
      </w:r>
    </w:p>
    <w:p>
      <w:pPr>
        <w:pStyle w:val="TOC2"/>
        <w:tabs>
          <w:tab w:pos="9524" w:val="right" w:leader="dot"/>
        </w:tabs>
      </w:pPr>
      <w:r>
        <w:t>4.2 Boxtyp pflegen (LM058)</w:t>
        <w:tab/>
        <w:t>11</w:t>
      </w:r>
    </w:p>
    <w:p>
      <w:pPr>
        <w:pStyle w:val="TOC2"/>
        <w:tabs>
          <w:tab w:pos="9524" w:val="right" w:leader="dot"/>
        </w:tabs>
      </w:pPr>
      <w:r>
        <w:t>4.3 Ladeeinheitenkubatur pflegen (MD031)</w:t>
        <w:tab/>
        <w:t>11</w:t>
      </w:r>
    </w:p>
    <w:p>
      <w:pPr>
        <w:pStyle w:val="TOC2"/>
        <w:tabs>
          <w:tab w:pos="9524" w:val="right" w:leader="dot"/>
        </w:tabs>
      </w:pPr>
      <w:r>
        <w:t>4.4 Tablar-Unterteilung: Layout, Vorlagen, Fächer</w:t>
        <w:tab/>
        <w:t>12</w:t>
      </w:r>
    </w:p>
    <w:p>
      <w:pPr>
        <w:pStyle w:val="TOC2"/>
        <w:tabs>
          <w:tab w:pos="9524" w:val="right" w:leader="dot"/>
        </w:tabs>
      </w:pPr>
      <w:r>
        <w:t>4.5 Lagerfachträgertyp</w:t>
        <w:tab/>
        <w:t>12</w:t>
      </w:r>
    </w:p>
    <w:p>
      <w:pPr>
        <w:pStyle w:val="TOC2"/>
        <w:tabs>
          <w:tab w:pos="9524" w:val="right" w:leader="dot"/>
        </w:tabs>
      </w:pPr>
      <w:r>
        <w:t>4.6 Gewichte und Artikelmaße</w:t>
        <w:tab/>
        <w:t>13</w:t>
      </w:r>
    </w:p>
    <w:p>
      <w:pPr>
        <w:pStyle w:val="TOC1"/>
        <w:tabs>
          <w:tab w:pos="9524" w:val="right" w:leader="dot"/>
        </w:tabs>
      </w:pPr>
      <w:r>
        <w:t>5 Zuordnungen</w:t>
        <w:tab/>
        <w:t>14</w:t>
      </w:r>
    </w:p>
    <w:p>
      <w:pPr>
        <w:pStyle w:val="TOC2"/>
        <w:tabs>
          <w:tab w:pos="9524" w:val="right" w:leader="dot"/>
        </w:tabs>
      </w:pPr>
      <w:r>
        <w:t>5.1 Überblick: welche Zuordnungen es gibt</w:t>
        <w:tab/>
        <w:t>14</w:t>
      </w:r>
    </w:p>
    <w:p>
      <w:pPr>
        <w:pStyle w:val="TOC2"/>
        <w:tabs>
          <w:tab w:pos="9524" w:val="right" w:leader="dot"/>
        </w:tabs>
      </w:pPr>
      <w:r>
        <w:t>5.2 Artikel-zu-Boxtyp: wie viel passt hinein?</w:t>
        <w:tab/>
        <w:t>14</w:t>
      </w:r>
    </w:p>
    <w:p>
      <w:pPr>
        <w:pStyle w:val="TOC2"/>
        <w:tabs>
          <w:tab w:pos="9524" w:val="right" w:leader="dot"/>
        </w:tabs>
      </w:pPr>
      <w:r>
        <w:t>5.3 Artikel-zu-Box und Zuordnungsmodus</w:t>
        <w:tab/>
        <w:t>15</w:t>
      </w:r>
    </w:p>
    <w:p>
      <w:pPr>
        <w:pStyle w:val="TOC2"/>
        <w:tabs>
          <w:tab w:pos="9524" w:val="right" w:leader="dot"/>
        </w:tabs>
      </w:pPr>
      <w:r>
        <w:t>5.4 Tablar-zu-Klient und Zone</w:t>
        <w:tab/>
        <w:t>15</w:t>
      </w:r>
    </w:p>
    <w:p>
      <w:pPr>
        <w:pStyle w:val="TOC2"/>
        <w:tabs>
          <w:tab w:pos="9524" w:val="right" w:leader="dot"/>
        </w:tabs>
      </w:pPr>
      <w:r>
        <w:t>5.5 Warum Zuordnungen für die Lagerstrategie entscheidend sind</w:t>
        <w:tab/>
        <w:t>15</w:t>
      </w:r>
    </w:p>
    <w:p>
      <w:pPr>
        <w:pStyle w:val="TOC1"/>
        <w:tabs>
          <w:tab w:pos="9524" w:val="right" w:leader="dot"/>
        </w:tabs>
      </w:pPr>
      <w:r>
        <w:t>6 Zielplätze</w:t>
        <w:tab/>
        <w:t>17</w:t>
      </w:r>
    </w:p>
    <w:p>
      <w:pPr>
        <w:pStyle w:val="TOC2"/>
        <w:tabs>
          <w:tab w:pos="9524" w:val="right" w:leader="dot"/>
        </w:tabs>
      </w:pPr>
      <w:r>
        <w:t>6.1 Was ist ein Zielplatz?</w:t>
        <w:tab/>
        <w:t>17</w:t>
      </w:r>
    </w:p>
    <w:p>
      <w:pPr>
        <w:pStyle w:val="TOC2"/>
        <w:tabs>
          <w:tab w:pos="9524" w:val="right" w:leader="dot"/>
        </w:tabs>
      </w:pPr>
      <w:r>
        <w:t>6.2 Zielplätze einrichten</w:t>
        <w:tab/>
        <w:t>17</w:t>
      </w:r>
    </w:p>
    <w:p>
      <w:pPr>
        <w:pStyle w:val="TOC2"/>
        <w:tabs>
          <w:tab w:pos="9524" w:val="right" w:leader="dot"/>
        </w:tabs>
      </w:pPr>
      <w:r>
        <w:t>6.3 Zielplätze in Kommissionierung, Konsolidierung und Versand</w:t>
        <w:tab/>
        <w:t>17</w:t>
      </w:r>
    </w:p>
    <w:p>
      <w:pPr>
        <w:pStyle w:val="TOC1"/>
        <w:tabs>
          <w:tab w:pos="9524" w:val="right" w:leader="dot"/>
        </w:tabs>
      </w:pPr>
      <w:r>
        <w:t>7 End-to-End-Prozess</w:t>
        <w:tab/>
        <w:t>19</w:t>
      </w:r>
    </w:p>
    <w:p>
      <w:pPr>
        <w:pStyle w:val="TOC2"/>
        <w:tabs>
          <w:tab w:pos="9524" w:val="right" w:leader="dot"/>
        </w:tabs>
      </w:pPr>
      <w:r>
        <w:t>7.1 Vorbereitung (einmalig)</w:t>
        <w:tab/>
        <w:t>19</w:t>
      </w:r>
    </w:p>
    <w:p>
      <w:pPr>
        <w:pStyle w:val="TOC2"/>
        <w:tabs>
          <w:tab w:pos="9524" w:val="right" w:leader="dot"/>
        </w:tabs>
      </w:pPr>
      <w:r>
        <w:t>7.2 Ablauf mit den vier Begriffen</w:t>
        <w:tab/>
        <w:t>19</w:t>
      </w:r>
    </w:p>
    <w:p>
      <w:pPr>
        <w:pStyle w:val="TOC2"/>
        <w:tabs>
          <w:tab w:pos="9524" w:val="right" w:leader="dot"/>
        </w:tabs>
      </w:pPr>
      <w:r>
        <w:t>7.3 Was an der Zugriffsöffnung zu sehen ist</w:t>
        <w:tab/>
        <w:t>20</w:t>
      </w:r>
    </w:p>
    <w:p>
      <w:pPr>
        <w:pStyle w:val="TOC1"/>
        <w:tabs>
          <w:tab w:pos="9524" w:val="right" w:leader="dot"/>
        </w:tabs>
      </w:pPr>
      <w:r>
        <w:t>8 Glossar</w:t>
        <w:tab/>
        <w:t>21</w:t>
      </w:r>
    </w:p>
    <w:p>
      <w:pPr>
        <w:pStyle w:val="TOC1"/>
        <w:tabs>
          <w:tab w:pos="9524" w:val="right" w:leader="dot"/>
        </w:tabs>
      </w:pPr>
      <w:r>
        <w:t>9 Stolperfallen</w:t>
        <w:tab/>
        <w:t>22</w:t>
      </w:r>
    </w:p>
    <w:p>
      <w:pPr>
        <w:pStyle w:val="TOC1"/>
        <w:tabs>
          <w:tab w:pos="9524" w:val="right" w:leader="dot"/>
        </w:tabs>
      </w:pPr>
      <w:r>
        <w:t>10 Praxisbeispiele</w:t>
        <w:tab/>
        <w:t>23</w:t>
      </w:r>
    </w:p>
    <w:p>
      <w:pPr>
        <w:pStyle w:val="TOC2"/>
        <w:tabs>
          <w:tab w:pos="9524" w:val="right" w:leader="dot"/>
        </w:tabs>
      </w:pPr>
      <w:r>
        <w:t>10.1 Neuer Kleinteil-Artikel mit festen Boxen</w:t>
        <w:tab/>
        <w:t>23</w:t>
      </w:r>
    </w:p>
    <w:p>
      <w:pPr>
        <w:pStyle w:val="TOC2"/>
        <w:tabs>
          <w:tab w:pos="9524" w:val="right" w:leader="dot"/>
        </w:tabs>
      </w:pPr>
      <w:r>
        <w:t>10.2 Put to Light in Versandkartons mit Zielplätzen</w:t>
        <w:tab/>
        <w:t>23</w:t>
      </w:r>
    </w:p>
    <w:p>
      <w:pPr>
        <w:pStyle w:val="TOC1"/>
        <w:tabs>
          <w:tab w:pos="9524" w:val="right" w:leader="dot"/>
        </w:tabs>
      </w:pPr>
      <w:r>
        <w:t>11 Dokumentationslücken und offene Fragen</w:t>
        <w:tab/>
        <w:t>25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26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How-to erklärt vier Begriffe, die in </w:t>
      </w:r>
      <w:r>
        <w:rPr>
          <w:b/>
        </w:rPr>
        <w:t>WAMAS Lift &amp; Store 2.7</w:t>
      </w:r>
      <w:r>
        <w:t xml:space="preserve"> eng zusammenhängen und in der Herstellerdokumentation über viele Kapitel verteilt sind:</w:t>
      </w:r>
    </w:p>
    <w:p>
      <w:pPr>
        <w:pStyle w:val="ListBullet"/>
      </w:pPr>
      <w:r>
        <w:rPr>
          <w:b/>
        </w:rPr>
        <w:t>Ladeeinheit (LE)</w:t>
      </w:r>
      <w:r>
        <w:t>: das „Behältnis“, in oder auf dem Bestand liegt, mit seiner LE-ID, einschließlich externer LE.</w:t>
      </w:r>
    </w:p>
    <w:p>
      <w:pPr>
        <w:pStyle w:val="ListBullet"/>
      </w:pPr>
      <w:r>
        <w:rPr>
          <w:b/>
        </w:rPr>
        <w:t>Kubatur</w:t>
      </w:r>
      <w:r>
        <w:t>: die Maße und Grenzen einer LE (Boxtyp, Ladeeinheitenkubatur, Füllgrad, Gewicht, Fächer).</w:t>
      </w:r>
    </w:p>
    <w:p>
      <w:pPr>
        <w:pStyle w:val="ListBullet"/>
      </w:pPr>
      <w:r>
        <w:rPr>
          <w:b/>
        </w:rPr>
        <w:t>Zuordnung</w:t>
      </w:r>
      <w:r>
        <w:t>: die Regeln, welcher Artikel in welche Box, auf welches Tablar oder an welchen Platz darf.</w:t>
      </w:r>
    </w:p>
    <w:p>
      <w:pPr>
        <w:pStyle w:val="ListBullet"/>
      </w:pPr>
      <w:r>
        <w:rPr>
          <w:b/>
        </w:rPr>
        <w:t>Zielplatz</w:t>
      </w:r>
      <w:r>
        <w:t>: ein Platz außerhalb des SSI LOGIMAT, auf dem die Ziel-LE der Kommissionierung steht.</w:t>
      </w:r>
    </w:p>
    <w:p>
      <w:r>
        <w:t xml:space="preserve">Zuerst werden die Begriffe erklärt (Kapitel 2 bis 6), danach der Prozess von Wareneingang bis Versand (Kapitel 7). Ziel ist, dass klar wird, </w:t>
      </w:r>
      <w:r>
        <w:rPr>
          <w:b/>
        </w:rPr>
        <w:t>warum</w:t>
      </w:r>
      <w:r>
        <w:t xml:space="preserve"> eine Einlagerung in eine bestimmte Box geht, </w:t>
      </w:r>
      <w:r>
        <w:rPr>
          <w:b/>
        </w:rPr>
        <w:t>woher</w:t>
      </w:r>
      <w:r>
        <w:t xml:space="preserve"> eine LE-ID kommt und </w:t>
      </w:r>
      <w:r>
        <w:rPr>
          <w:b/>
        </w:rPr>
        <w:t>wohin</w:t>
      </w:r>
      <w:r>
        <w:t xml:space="preserve"> die kommissionierte Ware gebucht wird.</w:t>
      </w:r>
    </w:p>
    <w:p>
      <w:pPr>
        <w:pStyle w:val="Heading2"/>
      </w:pPr>
      <w:r>
        <w:t>1.2 Lesehinweise</w:t>
      </w:r>
    </w:p>
    <w:p>
      <w:pPr>
        <w:pStyle w:val="ListBullet"/>
      </w:pPr>
      <w:r>
        <w:t>Kapitel 2 zeigt das Gesamtbild in zwei Abbildungen. Wer wenig Zeit hat, liest Kapitel 2 und das Glossar (Kapitel 8).</w:t>
      </w:r>
    </w:p>
    <w:p>
      <w:pPr>
        <w:pStyle w:val="ListBullet"/>
      </w:pPr>
      <w:r>
        <w:t xml:space="preserve">Dialog-, Registerkarten-, Feld- und Buttonnamen sind </w:t>
      </w:r>
      <w:r>
        <w:rPr>
          <w:b/>
        </w:rPr>
        <w:t>fett</w:t>
      </w:r>
      <w:r>
        <w:t xml:space="preserve"> gesetzt, wie im deutschen Handbuch. Schnittstellenfelder, Satzarten und Systemparameter stehen in </w:t>
      </w:r>
      <w:r>
        <w:rPr>
          <w:rFonts w:ascii="Consolas" w:hAnsi="Consolas" w:cs="Consolas" w:eastAsia="Consolas"/>
          <w:sz w:val="18"/>
        </w:rPr>
        <w:t>Monospace</w:t>
      </w:r>
      <w:r>
        <w:t>, genau so geschrieben wie im Interface Manual.</w:t>
      </w:r>
    </w:p>
    <w:p>
      <w:pPr>
        <w:pStyle w:val="ListBullet"/>
      </w:pPr>
      <w:r>
        <w:t xml:space="preserve">Alle Aussagen stammen aus den Quellen in Kapitel 12. Beispiele sind konstruiert und als </w:t>
      </w:r>
      <w:r>
        <w:rPr>
          <w:b/>
        </w:rPr>
        <w:t>Beispiel (konstruiert, bitte prüfen)</w:t>
      </w:r>
      <w:r>
        <w:t xml:space="preserve"> gekennzeichnet. Was nicht dokumentiert ist, steht in einem grauen Lückenkasten.</w:t>
      </w:r>
    </w:p>
    <w:p>
      <w:pPr>
        <w:pStyle w:val="ListBullet"/>
      </w:pPr>
      <w:r>
        <w:t>Ergänzende How-tos: „Einlager-, Auslager- und Kommissionierstrategien“ (Strategien im Detail) und „Externe Lagerprozesse“ (externe Lagerplätze, Mobilterminal). Dieses Dokument wiederholt daraus nur, was für das Verständnis nötig ist.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Ladeeinheiten, Kubaturen, Zuordnungen und Zielplätze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Marek,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WAMAS-Berater, Projektingenieure, Key-User, Administratoren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Administrator- und Benutzerhandbuch 2.7 (deDE), Interface Manuals WLS–ERP und WLS–WMS/MFS 2.7, Telegrammbeispiele 2.7.0, Consultant Training 2024, Abgleich mit Handbüchern 2.8 (enUS)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auf Basis der Handbücher 2.7, abgeglichen mit 2.8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Das Gesamtbild</w:t>
      </w:r>
    </w:p>
    <w:p>
      <w:pPr>
        <w:pStyle w:val="Heading2"/>
      </w:pPr>
      <w:r>
        <w:t>2.1 Die vier Begriffe in einfachen Worten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85"/>
        <w:gridCol w:w="5057"/>
        <w:gridCol w:w="2781"/>
      </w:tblGrid>
      <w:tr>
        <w:trPr>
          <w:tblHeader w:val="true"/>
        </w:trPr>
        <w:tc>
          <w:tcPr>
            <w:tcW w:type="dxa" w:w="16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50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Einfach erklärt</w:t>
            </w:r>
          </w:p>
        </w:tc>
        <w:tc>
          <w:tcPr>
            <w:tcW w:type="dxa" w:w="27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Wichtigste Dialoge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Ladeeinheit (LE)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Alles, was eine eigene LE-ID trägt und Bestand aufnimmt oder trägt: das Tablar, die Box auf dem Tablar, die Versandkiste (Ziel-LE) am Arbeitsplatz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SM023, LM004, LM045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Kubatur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Der „Steckbrief“ einer LE: Abmessungen, Volumen, Füllgrad, Gewicht. Ein Boxtyp ist Ladehilfsmittel und Kubatur zugleich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LM058, MD031, WH025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Die Erlaubnis- und Mengenregeln: Artikel ↔ Boxtyp (wie viel passt), Artikel ↔ Box (was liegt wo), Tablar ↔ Klient, Platz ↔ Artikel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LM084, LM144, LM002, MD017, LM132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Ein Abstellplatz außerhalb des SSI LOGIMAT, meist an der Zugriffsöffnung, auf dem die Ziel-LE eines Kommissionierbedarfs gebucht wird (z. B. Put to Light, Kommissionierwagen)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LM065, LM088, LM044</w:t>
            </w:r>
          </w:p>
        </w:tc>
      </w:tr>
    </w:tbl>
    <w:p>
      <w:pPr>
        <w:pStyle w:val="BeschriftungSSI"/>
      </w:pPr>
      <w:r>
        <w:t>Tab. 2: Die vier Begriffe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3.1.7, 3.1.11, 3.6.8; Benutzerhandbuch 2.7, Kap. 5.4, 5.6, 6.7.1; Consultant Training Part 1 (12.01.2024), „Terminology &amp; Basics“</w:t>
      </w:r>
    </w:p>
    <w:p>
      <w:pPr>
        <w:pStyle w:val="Heading2"/>
      </w:pPr>
      <w:r>
        <w:t>2.2 Prozesssicht</w:t>
      </w:r>
    </w:p>
    <w:p>
      <w:r>
        <w:t>Abb. 1 zeigt, an welcher Stelle des Prozesses die vier Begriffe wirken.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218274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b_prozes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1827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Wo LE, Kubatur, Zuordnung und Zielplatz im Prozess wirken</w:t>
      </w:r>
    </w:p>
    <w:p>
      <w:pPr>
        <w:pStyle w:val="Heading2"/>
      </w:pPr>
      <w:r>
        <w:t>2.3 Aufbau einer LE im SSI LOGIMAT</w:t>
      </w:r>
    </w:p>
    <w:p>
      <w:r>
        <w:t xml:space="preserve">Die Schulungsunterlage beschreibt Tablare als </w:t>
      </w:r>
      <w:r>
        <w:rPr>
          <w:b/>
        </w:rPr>
        <w:t>hierarchische LE</w:t>
      </w:r>
      <w:r>
        <w:t xml:space="preserve">: Das Tablar ist die </w:t>
      </w:r>
      <w:r>
        <w:rPr>
          <w:b/>
        </w:rPr>
        <w:t>Basis-LE</w:t>
      </w:r>
      <w:r>
        <w:t xml:space="preserve">, eine Box (bzw. ein Fach) ist eine </w:t>
      </w:r>
      <w:r>
        <w:rPr>
          <w:b/>
        </w:rPr>
        <w:t>Huckepack-LE</w:t>
      </w:r>
      <w:r>
        <w:t xml:space="preserve"> (Piggyback LU), definiert durch einen Boxtyp. Bestand liegt immer in der Box, nicht direkt auf der Basis-LE. Der Lagerplatz (StoLoc) ist die Position des Tablars im Regal.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40424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b_le_hierarchi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404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LE-Hierarchie im SSI LOGIMAT und die zugehörigen Stammdaten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Ausnahme große Artikel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Artikel mit Kennzeichen </w:t>
            </w:r>
            <w:r>
              <w:rPr>
                <w:b/>
                <w:sz w:val="19"/>
              </w:rPr>
              <w:t>Großer Artikel</w:t>
            </w:r>
            <w:r>
              <w:rPr>
                <w:sz w:val="19"/>
              </w:rPr>
              <w:t xml:space="preserve"> wird ohne Box direkt auf dem Tablar abgelegt; die Mengeneinheit muss </w:t>
            </w:r>
            <w:r>
              <w:rPr>
                <w:b/>
                <w:sz w:val="19"/>
              </w:rPr>
              <w:t>Ganz-Ladeeinheit</w:t>
            </w:r>
            <w:r>
              <w:rPr>
                <w:sz w:val="19"/>
              </w:rPr>
              <w:t xml:space="preserve"> sein. Große Artikel können nicht an externen Lagerplätzen gelagert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Consultant Training Part 1, Folie „Comparison to WAMAS WMS/MFS“; Administratorhandbuch 2.7, Kap. 3.6.3.7; Benutzerhandbuch 2.7, Kap. 6.1.4.1</w:t>
      </w:r>
    </w:p>
    <w:p>
      <w:pPr>
        <w:pStyle w:val="Heading1"/>
      </w:pPr>
      <w:r>
        <w:t>3 Ladeeinheiten (LE)</w:t>
      </w:r>
    </w:p>
    <w:p>
      <w:pPr>
        <w:pStyle w:val="Heading2"/>
      </w:pPr>
      <w:r>
        <w:t>3.1 Was ist eine Ladeeinheit?</w:t>
      </w:r>
    </w:p>
    <w:p>
      <w:r>
        <w:t>In WAMAS Lift &amp; Store treten LE in drei Rollen auf: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53"/>
        <w:gridCol w:w="3835"/>
        <w:gridCol w:w="3835"/>
      </w:tblGrid>
      <w:tr>
        <w:trPr>
          <w:tblHeader w:val="true"/>
        </w:trPr>
        <w:tc>
          <w:tcPr>
            <w:tcW w:type="dxa" w:w="18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3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Beispiel</w:t>
            </w:r>
          </w:p>
        </w:tc>
        <w:tc>
          <w:tcPr>
            <w:tcW w:type="dxa" w:w="3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 sichtbar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</w:t>
            </w:r>
            <w:r>
              <w:rPr>
                <w:sz w:val="17"/>
              </w:rPr>
              <w:t xml:space="preserve"> (Basis-LE)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 18 im SSI LOGIMAT, LE-ID </w:t>
            </w:r>
            <w:r>
              <w:rPr>
                <w:rFonts w:ascii="Consolas" w:hAnsi="Consolas" w:cs="Consolas" w:eastAsia="Consolas"/>
                <w:sz w:val="15"/>
              </w:rPr>
              <w:t>18888888101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Tablarübersicht, </w:t>
            </w: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sourceTrayId</w:t>
            </w:r>
            <w:r>
              <w:rPr>
                <w:sz w:val="17"/>
              </w:rPr>
              <w:t xml:space="preserve"> in Quittierungen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 / Fach</w:t>
            </w:r>
            <w:r>
              <w:rPr>
                <w:sz w:val="17"/>
              </w:rPr>
              <w:t xml:space="preserve"> (Huckepack-LE)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auf dem Tablar, LE-ID </w:t>
            </w:r>
            <w:r>
              <w:rPr>
                <w:rFonts w:ascii="Consolas" w:hAnsi="Consolas" w:cs="Consolas" w:eastAsia="Consolas"/>
                <w:sz w:val="15"/>
              </w:rPr>
              <w:t>18888888101-012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Tablarlayout LM002/LM004,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Externe LE / Ziel-LE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Versand-LE oder avisierte LE an der Zugriffsöffnung, LE-ID z. B. </w:t>
            </w:r>
            <w:r>
              <w:rPr>
                <w:rFonts w:ascii="Consolas" w:hAnsi="Consolas" w:cs="Consolas" w:eastAsia="Consolas"/>
                <w:sz w:val="15"/>
              </w:rPr>
              <w:t>TEMP000000034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LM045, LM074,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 in Kommissionierquittierungen</w:t>
            </w:r>
          </w:p>
        </w:tc>
      </w:tr>
    </w:tbl>
    <w:p>
      <w:pPr>
        <w:pStyle w:val="BeschriftungSSI"/>
      </w:pPr>
      <w:r>
        <w:t>Tab. 3: Rollen von Ladeeinheiten</w:t>
      </w:r>
    </w:p>
    <w:p>
      <w:pPr>
        <w:pStyle w:val="ListBullet"/>
      </w:pPr>
      <w:r>
        <w:t xml:space="preserve">Das </w:t>
      </w:r>
      <w:r>
        <w:rPr>
          <w:b/>
        </w:rPr>
        <w:t>Ladehilfsmittel</w:t>
      </w:r>
      <w:r>
        <w:t xml:space="preserve"> ist der physische Typ (z. B. eine Box bestimmter Größe), die </w:t>
      </w:r>
      <w:r>
        <w:rPr>
          <w:b/>
        </w:rPr>
        <w:t>Ladeeinheit</w:t>
      </w:r>
      <w:r>
        <w:t xml:space="preserve"> das konkrete Exemplar mit LE-ID. Für den SSI LOGIMAT ist der </w:t>
      </w:r>
      <w:r>
        <w:rPr>
          <w:b/>
        </w:rPr>
        <w:t>Boxtyp</w:t>
      </w:r>
      <w:r>
        <w:t xml:space="preserve"> das Ladehilfsmittel: In </w:t>
      </w:r>
      <w:r>
        <w:rPr>
          <w:b/>
        </w:rPr>
        <w:t>LM058</w:t>
      </w:r>
      <w:r>
        <w:t xml:space="preserve"> heißt das Schlüsselfeld des Boxtyps </w:t>
      </w:r>
      <w:r>
        <w:rPr>
          <w:rFonts w:ascii="Consolas" w:hAnsi="Consolas" w:cs="Consolas" w:eastAsia="Consolas"/>
          <w:sz w:val="18"/>
        </w:rPr>
        <w:t>Ladehilfsmittel</w:t>
      </w:r>
      <w:r>
        <w:t>.</w:t>
      </w:r>
    </w:p>
    <w:p>
      <w:pPr>
        <w:pStyle w:val="ListBullet"/>
      </w:pPr>
      <w:r>
        <w:t xml:space="preserve">Laut Schulung legt LM058 im Hintergrund ein Ladehilfsmittel </w:t>
      </w:r>
      <w:r>
        <w:rPr>
          <w:b/>
        </w:rPr>
        <w:t>und</w:t>
      </w:r>
      <w:r>
        <w:t xml:space="preserve"> eine Kubatur mit gleichem Namen an und verknüpft sie. Das Ladehilfsmittel des Tablars entsteht automatisch bei der Bestandssynchronisierung (StockSync).</w:t>
      </w:r>
    </w:p>
    <w:p>
      <w:pPr>
        <w:pStyle w:val="ListBullet"/>
      </w:pPr>
      <w:r>
        <w:t xml:space="preserve">Alle LE sind im Desktop in </w:t>
      </w:r>
      <w:r>
        <w:rPr>
          <w:b/>
        </w:rPr>
        <w:t>SM023 Übersicht Ladeeinheiten</w:t>
      </w:r>
      <w:r>
        <w:t xml:space="preserve"> suchbar. Dort lassen sich LE über die Registerkarte </w:t>
      </w:r>
      <w:r>
        <w:rPr>
          <w:b/>
        </w:rPr>
        <w:t>Ladeeinheitensperren</w:t>
      </w:r>
      <w:r>
        <w:t xml:space="preserve"> für Einlagerung oder Kommissionierung sperren (</w:t>
      </w:r>
      <w:r>
        <w:rPr>
          <w:b/>
        </w:rPr>
        <w:t>LM121 LE sperren</w:t>
      </w:r>
      <w:r>
        <w:t xml:space="preserve">, Feld </w:t>
      </w:r>
      <w:r>
        <w:rPr>
          <w:rFonts w:ascii="Consolas" w:hAnsi="Consolas" w:cs="Consolas" w:eastAsia="Consolas"/>
          <w:sz w:val="18"/>
        </w:rPr>
        <w:t>Sperrgrund</w:t>
      </w:r>
      <w:r>
        <w:t>) und wieder entsperren.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3.1.5; Benutzerhandbuch 2.7, Kap. 6.7.2; Consultant Training Part 1, „Terminology &amp; Basics“, „Create Boxtype (Desktop)“; Telegrammbeispiele 2.7.0 (SD/ack_after_every_operation/0116.json, PD/ACK_after_every_operation/0085.json)</w:t>
      </w:r>
    </w:p>
    <w:p>
      <w:pPr>
        <w:pStyle w:val="Heading2"/>
      </w:pPr>
      <w:r>
        <w:t>3.2 „LE-Typ“: was die Dokumentation dazu sagt</w:t>
      </w:r>
    </w:p>
    <w:p>
      <w:r>
        <w:t>Einen eigenen Stammdatensatz „LE-Typ“ beschreiben die Handbücher 2.7 und 2.8 nicht. Was den Typ einer LE ausmacht, ergibt sich aus:</w:t>
      </w:r>
    </w:p>
    <w:p>
      <w:pPr>
        <w:pStyle w:val="ListBullet"/>
      </w:pPr>
      <w:r>
        <w:t xml:space="preserve">dem </w:t>
      </w:r>
      <w:r>
        <w:rPr>
          <w:b/>
        </w:rPr>
        <w:t>Ladehilfsmittel</w:t>
      </w:r>
      <w:r>
        <w:t xml:space="preserve"> bzw. </w:t>
      </w:r>
      <w:r>
        <w:rPr>
          <w:b/>
        </w:rPr>
        <w:t>Boxtyp</w:t>
      </w:r>
      <w:r>
        <w:t xml:space="preserve"> (LM058, am Lagerstandort zusätzlich Registerkarte </w:t>
      </w:r>
      <w:r>
        <w:rPr>
          <w:b/>
        </w:rPr>
        <w:t>Ladehilfsmittel</w:t>
      </w:r>
      <w:r>
        <w:t xml:space="preserve"> mit erlaubten Ladehilfsmitteln,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 und </w:t>
      </w:r>
      <w:r>
        <w:rPr>
          <w:rFonts w:ascii="Consolas" w:hAnsi="Consolas" w:cs="Consolas" w:eastAsia="Consolas"/>
          <w:sz w:val="18"/>
        </w:rPr>
        <w:t>Tauschbar</w:t>
      </w:r>
      <w:r>
        <w:t>),</w:t>
      </w:r>
    </w:p>
    <w:p>
      <w:pPr>
        <w:pStyle w:val="ListBullet"/>
      </w:pPr>
      <w:r>
        <w:t xml:space="preserve">der </w:t>
      </w:r>
      <w:r>
        <w:rPr>
          <w:b/>
        </w:rPr>
        <w:t>Ladeeinheitenkubatur</w:t>
      </w:r>
      <w:r>
        <w:t xml:space="preserve"> (MD031) mit </w:t>
      </w:r>
      <w:r>
        <w:rPr>
          <w:rFonts w:ascii="Consolas" w:hAnsi="Consolas" w:cs="Consolas" w:eastAsia="Consolas"/>
          <w:sz w:val="18"/>
        </w:rPr>
        <w:t>Ladeeinheitenkubaturart</w:t>
      </w:r>
      <w:r>
        <w:t xml:space="preserve"> </w:t>
      </w:r>
      <w:r>
        <w:rPr>
          <w:b/>
        </w:rPr>
        <w:t>Fixiert</w:t>
      </w:r>
      <w:r>
        <w:t xml:space="preserve"> oder </w:t>
      </w:r>
      <w:r>
        <w:rPr>
          <w:b/>
        </w:rPr>
        <w:t>Variable</w:t>
      </w:r>
      <w:r>
        <w:t>,</w:t>
      </w:r>
    </w:p>
    <w:p>
      <w:pPr>
        <w:pStyle w:val="ListBullet"/>
      </w:pPr>
      <w:r>
        <w:t xml:space="preserve">dem </w:t>
      </w:r>
      <w:r>
        <w:rPr>
          <w:b/>
        </w:rPr>
        <w:t>Lagerfachträgertyp</w:t>
      </w:r>
      <w:r>
        <w:t xml:space="preserve"> (WH025), der festlegt, welche Ladehilfsmittel und Kubaturen ein Platz aufnehmen darf.</w:t>
      </w:r>
    </w:p>
    <w:p>
      <w:r>
        <w:t xml:space="preserve">Der Begriff „LE-Typ“ kommt nur einmal vor: als Filter </w:t>
      </w:r>
      <w:r>
        <w:rPr>
          <w:b/>
        </w:rPr>
        <w:t>Avisierter LE-Typ</w:t>
      </w:r>
      <w:r>
        <w:t xml:space="preserve"> auf der Registerkarte </w:t>
      </w:r>
      <w:r>
        <w:rPr>
          <w:b/>
        </w:rPr>
        <w:t>Avisierte Ladeeinheitenquittierung</w:t>
      </w:r>
      <w:r>
        <w:t xml:space="preserve"> des ERP-Systempartners.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LE-Typ</w:t>
            </w:r>
          </w:p>
          <w:p>
            <w:pPr>
              <w:spacing w:after="40"/>
            </w:pPr>
            <w:r>
              <w:rPr>
                <w:sz w:val="19"/>
              </w:rPr>
              <w:t>Ob es in WAMAS Lift &amp; Store einen eigenen Pflegedialog für (avisierte) LE-Typen gibt und wie er mit Boxtyp und Kubatur zusammenhängt, ist in 2.7 und 2.8 nicht beschrieben.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3.4.1.6, 3.4.2, 3.5.2.14, 3.6.8; Administrator Manual 2.8, Kap. 3.1.5, 3.4.2, 3.6.8</w:t>
      </w:r>
    </w:p>
    <w:p>
      <w:pPr>
        <w:pStyle w:val="Heading2"/>
      </w:pPr>
      <w:r>
        <w:t>3.3 Woher kommt die LE-ID?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39"/>
        <w:gridCol w:w="3442"/>
        <w:gridCol w:w="3442"/>
      </w:tblGrid>
      <w:tr>
        <w:trPr>
          <w:tblHeader w:val="true"/>
        </w:trPr>
        <w:tc>
          <w:tcPr>
            <w:tcW w:type="dxa" w:w="26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Fall</w:t>
            </w:r>
          </w:p>
        </w:tc>
        <w:tc>
          <w:tcPr>
            <w:tcW w:type="dxa" w:w="3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Wie die LE-ID entsteht</w:t>
            </w:r>
          </w:p>
        </w:tc>
        <w:tc>
          <w:tcPr>
            <w:tcW w:type="dxa" w:w="3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Neue Box im Tablarlayout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Automatisch auf Basis der LE-ID des Tablars, inkl. Barcode (Standard). Mit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 xml:space="preserve"> muss die LE-ID im Dialog </w:t>
            </w:r>
            <w:r>
              <w:rPr>
                <w:b/>
                <w:sz w:val="17"/>
              </w:rPr>
              <w:t>Box-Barcode bearbeiten</w:t>
            </w:r>
            <w:r>
              <w:rPr>
                <w:sz w:val="17"/>
              </w:rPr>
              <w:t xml:space="preserve"> (LM004) eingegeben oder gescannt werden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logimat.autoGenerateLuId</w:t>
            </w:r>
            <w:r>
              <w:rPr>
                <w:sz w:val="17"/>
              </w:rPr>
              <w:t xml:space="preserve"> (FW028)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Neue Tablarnummer bei Installation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Bei der Installation eines neuen Tablars wird ggf. eine neue Tablarnummer erzeugt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logimat.soc.generateTrayNumber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LE allgemein (WE, temporär, extern, System-LE)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Über </w:t>
            </w:r>
            <w:r>
              <w:rPr>
                <w:b/>
                <w:sz w:val="17"/>
              </w:rPr>
              <w:t>Nummernkreiszuordnung</w:t>
            </w:r>
            <w:r>
              <w:rPr>
                <w:sz w:val="17"/>
              </w:rPr>
              <w:t xml:space="preserve"> mit Nummernkreisart </w:t>
            </w:r>
            <w:r>
              <w:rPr>
                <w:b/>
                <w:sz w:val="17"/>
              </w:rPr>
              <w:t>Ladeeinheiten-ID</w:t>
            </w:r>
            <w:r>
              <w:rPr>
                <w:sz w:val="17"/>
              </w:rPr>
              <w:t xml:space="preserve"> und Anwendungsfall </w:t>
            </w:r>
            <w:r>
              <w:rPr>
                <w:b/>
                <w:sz w:val="17"/>
              </w:rPr>
              <w:t>Normal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Temporär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Extern</w:t>
            </w:r>
            <w:r>
              <w:rPr>
                <w:sz w:val="17"/>
              </w:rPr>
              <w:t xml:space="preserve"> (prüft extern angelegte LE-IDs) oder </w:t>
            </w:r>
            <w:r>
              <w:rPr>
                <w:b/>
                <w:sz w:val="17"/>
              </w:rPr>
              <w:t>System-Ladeeinheit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MD027 / MD028 / MD091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Externe LE der Kommissionierung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WAMAS erzeugt eine neue LE-ID (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) oder verwendet die LE-ID eines externen Systems wieder, z. B. einer Palette (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)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logimat.picking.externalluid.generate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Unbekannter Barcode im WCS-Szenario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WAMAS sucht anhand des für die Kubatur definierten Barcodes eine gültige externe LE und ordnet den Barcode als externe LE-ID zu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logimat.picking.wcs.automaticallyAssignBarcodeToExternalLU</w:t>
            </w:r>
            <w:r>
              <w:rPr>
                <w:sz w:val="17"/>
              </w:rPr>
              <w:t xml:space="preserve"> (+ </w:t>
            </w:r>
            <w:r>
              <w:rPr>
                <w:rFonts w:ascii="Consolas" w:hAnsi="Consolas" w:cs="Consolas" w:eastAsia="Consolas"/>
                <w:sz w:val="15"/>
              </w:rPr>
              <w:t>.sameZoneOnly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4: Entstehung von LE-IDs</w:t>
      </w:r>
    </w:p>
    <w:p>
      <w:r>
        <w:t xml:space="preserve">Eine generierte Nummer hat laut Handbuch in der Regel die Struktur </w:t>
      </w:r>
      <w:r>
        <w:rPr>
          <w:rFonts w:ascii="Consolas" w:hAnsi="Consolas" w:cs="Consolas" w:eastAsia="Consolas"/>
          <w:sz w:val="18"/>
        </w:rPr>
        <w:t>&lt;Fixkomponente&gt;&lt;fortlaufende Nummer&gt;&lt;Fixkomponente&gt;&lt;Prüfnummer&gt;</w:t>
      </w:r>
      <w:r>
        <w:t xml:space="preserve">; alternativ ist eine Formatzeichenfolge mit Platzhaltern wie </w:t>
      </w:r>
      <w:r>
        <w:rPr>
          <w:rFonts w:ascii="Consolas" w:hAnsi="Consolas" w:cs="Consolas" w:eastAsia="Consolas"/>
          <w:sz w:val="18"/>
        </w:rPr>
        <w:t>${CLIENT}</w:t>
      </w:r>
      <w:r>
        <w:t xml:space="preserve">, </w:t>
      </w:r>
      <w:r>
        <w:rPr>
          <w:rFonts w:ascii="Consolas" w:hAnsi="Consolas" w:cs="Consolas" w:eastAsia="Consolas"/>
          <w:sz w:val="18"/>
        </w:rPr>
        <w:t>${WOY}</w:t>
      </w:r>
      <w:r>
        <w:t xml:space="preserve"> und </w:t>
      </w:r>
      <w:r>
        <w:rPr>
          <w:rFonts w:ascii="Consolas" w:hAnsi="Consolas" w:cs="Consolas" w:eastAsia="Consolas"/>
          <w:sz w:val="18"/>
        </w:rPr>
        <w:t>${SEQ}</w:t>
      </w:r>
      <w:r>
        <w:t xml:space="preserve"> möglich.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Beobachtung aus den Telegrammbeispielen</w:t>
            </w:r>
          </w:p>
          <w:p>
            <w:pPr>
              <w:spacing w:after="40"/>
            </w:pPr>
            <w:r>
              <w:rPr>
                <w:sz w:val="19"/>
              </w:rPr>
              <w:t>In den Beispielen 2.7.0 tragen Boxen die LE-ID des Tablars mit Suffix (</w:t>
            </w:r>
            <w:r>
              <w:rPr>
                <w:rFonts w:ascii="Consolas" w:hAnsi="Consolas" w:cs="Consolas" w:eastAsia="Consolas"/>
                <w:sz w:val="17"/>
              </w:rPr>
              <w:t>18888888101-012</w:t>
            </w:r>
            <w:r>
              <w:rPr>
                <w:sz w:val="19"/>
              </w:rPr>
              <w:t xml:space="preserve">), die Ziel-LE der Kommissionierung eine </w:t>
            </w:r>
            <w:r>
              <w:rPr>
                <w:rFonts w:ascii="Consolas" w:hAnsi="Consolas" w:cs="Consolas" w:eastAsia="Consolas"/>
                <w:sz w:val="17"/>
              </w:rPr>
              <w:t>TEMP…</w:t>
            </w:r>
            <w:r>
              <w:rPr>
                <w:sz w:val="19"/>
              </w:rPr>
              <w:t>-ID (</w:t>
            </w:r>
            <w:r>
              <w:rPr>
                <w:rFonts w:ascii="Consolas" w:hAnsi="Consolas" w:cs="Consolas" w:eastAsia="Consolas"/>
                <w:sz w:val="17"/>
              </w:rPr>
              <w:t>TEMP000000034</w:t>
            </w:r>
            <w:r>
              <w:rPr>
                <w:sz w:val="19"/>
              </w:rPr>
              <w:t xml:space="preserve">) mit Zielplatz 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=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 xml:space="preserve">. Dass </w:t>
            </w:r>
            <w:r>
              <w:rPr>
                <w:rFonts w:ascii="Consolas" w:hAnsi="Consolas" w:cs="Consolas" w:eastAsia="Consolas"/>
                <w:sz w:val="17"/>
              </w:rPr>
              <w:t>TEMP</w:t>
            </w:r>
            <w:r>
              <w:rPr>
                <w:sz w:val="19"/>
              </w:rPr>
              <w:t xml:space="preserve"> aus dem Anwendungsfall </w:t>
            </w:r>
            <w:r>
              <w:rPr>
                <w:b/>
                <w:sz w:val="19"/>
              </w:rPr>
              <w:t>Temporär</w:t>
            </w:r>
            <w:r>
              <w:rPr>
                <w:sz w:val="19"/>
              </w:rPr>
              <w:t xml:space="preserve"> stammt, ist naheliegend, aber nicht dokumentiert.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3.6.9–3.6.9.2, 3.11.2; Telegrammbeispiele 2.7.0 (SD, PD)</w:t>
      </w:r>
    </w:p>
    <w:p>
      <w:pPr>
        <w:pStyle w:val="Heading2"/>
      </w:pPr>
      <w:r>
        <w:t>3.4 Externe Ladeeinheiten</w:t>
      </w:r>
    </w:p>
    <w:p>
      <w:r>
        <w:t xml:space="preserve">Externe LE sind laut Benutzerhandbuch </w:t>
      </w:r>
      <w:r>
        <w:rPr>
          <w:b/>
        </w:rPr>
        <w:t>Versand-LE oder avisierte LE</w:t>
      </w:r>
      <w:r>
        <w:t xml:space="preserve">, die automatisch angelegt werden, sobald ein Kommissionierbedarf geplant wird. Der Benutzer kann ihnen eine LE-ID zuordnen, Etiketten drucken und sie zur Rücklagerung in den SSI LOGIMAT bzw. zur erneuten Auslagerung kennzeichnen. Die Schulung nennt sie </w:t>
      </w:r>
      <w:r>
        <w:rPr>
          <w:b/>
        </w:rPr>
        <w:t>PPLU</w:t>
      </w:r>
      <w:r>
        <w:t xml:space="preserve"> (Picking Plan LU, Kommissionier-Plan-LE): </w:t>
      </w:r>
      <w:r>
        <w:rPr>
          <w:rFonts w:ascii="Consolas" w:hAnsi="Consolas" w:cs="Consolas" w:eastAsia="Consolas"/>
          <w:sz w:val="18"/>
        </w:rPr>
        <w:t>externalluid.generate</w:t>
      </w:r>
      <w:r>
        <w:t xml:space="preserve"> = „Create ID for PPLU automatically“, </w:t>
      </w:r>
      <w:r>
        <w:rPr>
          <w:rFonts w:ascii="Consolas" w:hAnsi="Consolas" w:cs="Consolas" w:eastAsia="Consolas"/>
          <w:sz w:val="18"/>
        </w:rPr>
        <w:t>externalluid.print</w:t>
      </w:r>
      <w:r>
        <w:t xml:space="preserve"> = „Print PPLU label on generation“.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8"/>
        <w:gridCol w:w="3663"/>
        <w:gridCol w:w="3663"/>
      </w:tblGrid>
      <w:tr>
        <w:trPr>
          <w:tblHeader w:val="true"/>
        </w:trPr>
        <w:tc>
          <w:tcPr>
            <w:tcW w:type="dxa" w:w="21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Funktion in **LM045** (Touch, Tools)</w:t>
            </w:r>
          </w:p>
        </w:tc>
        <w:tc>
          <w:tcPr>
            <w:tcW w:type="dxa" w:w="36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</w:t>
            </w:r>
          </w:p>
        </w:tc>
        <w:tc>
          <w:tcPr>
            <w:tcW w:type="dxa" w:w="36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Externe LE-ID zuordnen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externe LE wählen → </w:t>
            </w:r>
            <w:r>
              <w:rPr>
                <w:b/>
                <w:sz w:val="17"/>
              </w:rPr>
              <w:t>Scannen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Externe LE-ID ist zugeordnet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LE-Etikett drucken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LE wählen → </w:t>
            </w:r>
            <w:r>
              <w:rPr>
                <w:b/>
                <w:sz w:val="17"/>
              </w:rPr>
              <w:t>Drucken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Etikett für die externe LE-ID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 für Rücklagerung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Rücklagerung kennzeichnen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LM109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Boxtyp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Tablaranforderung; ursprünglicher Bedarf erst nach Auslagerung abschließbar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 für Auslagerung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Auslagerung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Tablaranforderung, Hinweis mit LE-ID und Abgabeplatz</w:t>
            </w:r>
          </w:p>
        </w:tc>
      </w:tr>
    </w:tbl>
    <w:p>
      <w:pPr>
        <w:pStyle w:val="BeschriftungSSI"/>
      </w:pPr>
      <w:r>
        <w:t>Tab. 5: Funktionen für externe LE (Details im How-to „Externe Lagerprozesse“)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752"/>
        <w:gridCol w:w="5773"/>
      </w:tblGrid>
      <w:tr>
        <w:trPr>
          <w:tblHeader w:val="true"/>
        </w:trPr>
        <w:tc>
          <w:tcPr>
            <w:tcW w:type="dxa" w:w="37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Parameter (FW028)</w:t>
            </w:r>
          </w:p>
        </w:tc>
        <w:tc>
          <w:tcPr>
            <w:tcW w:type="dxa" w:w="5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Werte laut Handbuch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logimat.picking.externalluid.generate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immer neue LE-ID, extern angelegte LE-IDs nicht nutzbar;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LE-ID eines externen Systems wird wiederverwendet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logimat.picking.externalluid.print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AUTOMATIC</w:t>
            </w:r>
            <w:r>
              <w:rPr>
                <w:sz w:val="17"/>
              </w:rPr>
              <w:t xml:space="preserve">: Druck beim Start der Kommissionierung einer externen LE; </w:t>
            </w:r>
            <w:r>
              <w:rPr>
                <w:rFonts w:ascii="Consolas" w:hAnsi="Consolas" w:cs="Consolas" w:eastAsia="Consolas"/>
                <w:sz w:val="15"/>
              </w:rPr>
              <w:t>MANUAL</w:t>
            </w:r>
            <w:r>
              <w:rPr>
                <w:sz w:val="17"/>
              </w:rPr>
              <w:t>: Nachdruck in LM045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logimat.picking.anyluid.print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Erlaubt den Druck beliebiger LE-Etiketten, auch temporärer und mit kundenspezifischen Nummernkreisen</w:t>
            </w:r>
          </w:p>
        </w:tc>
      </w:tr>
    </w:tbl>
    <w:p>
      <w:pPr>
        <w:pStyle w:val="BeschriftungSSI"/>
      </w:pPr>
      <w:r>
        <w:t>Tab. 6: Parameter für externe LE-IDs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 Dialog, drei Namen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LM045 heißt in 2.7 in den Abläufen </w:t>
            </w:r>
            <w:r>
              <w:rPr>
                <w:b/>
                <w:sz w:val="19"/>
              </w:rPr>
              <w:t>Ziel-Ladeeinheiten</w:t>
            </w:r>
            <w:r>
              <w:rPr>
                <w:sz w:val="19"/>
              </w:rPr>
              <w:t xml:space="preserve">, in Vorbedingungen und Parametertext </w:t>
            </w:r>
            <w:r>
              <w:rPr>
                <w:b/>
                <w:sz w:val="19"/>
              </w:rPr>
              <w:t>Externe Ladeeinheiten</w:t>
            </w:r>
            <w:r>
              <w:rPr>
                <w:sz w:val="19"/>
              </w:rPr>
              <w:t xml:space="preserve">. In 2.8 kommt </w:t>
            </w:r>
            <w:r>
              <w:rPr>
                <w:b/>
                <w:sz w:val="19"/>
              </w:rPr>
              <w:t>Picking Plan Loading Units Overview</w:t>
            </w:r>
            <w:r>
              <w:rPr>
                <w:sz w:val="19"/>
              </w:rPr>
              <w:t xml:space="preserve"> hinzu. Gemeint ist derselbe Touch-Dialog.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6.7.1–6.7.1.4; Administratorhandbuch 2.7, Kap. 3.11.2; Benutzerhandbuch R2.4, Kap. 4.4.1; User Manual 2.8, Kap. 6.2.5.3, 6.7.1; Consultant Training Part 1, „Global parameters – Demand parameters“</w:t>
      </w:r>
    </w:p>
    <w:p>
      <w:pPr>
        <w:pStyle w:val="Heading2"/>
      </w:pPr>
      <w:r>
        <w:t>3.5 LE-IDs in der Schnittstelle</w:t>
      </w:r>
    </w:p>
    <w:p>
      <w:r>
        <w:t>Die folgende Tabelle listet alle LE-bezogenen Felder der Schnittstellenhandbücher. Feldnamen sind exakt übernommen (Spalte „Short name (XML)“).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3322"/>
        <w:gridCol w:w="3322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 (Richtung)</w:t>
            </w:r>
          </w:p>
        </w:tc>
        <w:tc>
          <w:tcPr>
            <w:tcW w:type="dxa" w:w="33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33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 laut Interface Manual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WLSSDLACTIVITYACK001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destTrayNo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LE-ID und Nummer des Zieltablars, ID der Ziel-LE der Einlagerung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WLSP2LACK001</w:t>
            </w:r>
            <w:r>
              <w:rPr>
                <w:sz w:val="17"/>
              </w:rPr>
              <w:t xml:space="preserve"> (WLS → ERP, Put-to-Light-Quittierung)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ID der Ziel-LE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WLSPDLACTIVITYACK001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sourceTrayId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sourceTrayNo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sourceLocation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destStoLoc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Quelltablar, Quellbox, Quelllagerplatz, Ziel-LE und Lagerplatz der Ziel-LE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WLSINVDL002</w:t>
            </w:r>
            <w:r>
              <w:rPr>
                <w:sz w:val="17"/>
              </w:rPr>
              <w:t xml:space="preserve"> (ERP → WLS)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LE, auf die sich die Inventur bezieht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WLSSTOCKACK001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WLSSTOCKADJ001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Teil der Identifikation eines Bestandsobjekt-Bündels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WLSSTOCKIMPORT001</w:t>
            </w:r>
            <w:r>
              <w:rPr>
                <w:sz w:val="17"/>
              </w:rPr>
              <w:t xml:space="preserve"> (ERP → WLS)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systemLu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LE, übergeordnete LE, Ladehilfsmittel, Ladeeinheitenkubatur, Kennzeichen System-LE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WLSSD003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(ERP → WLS, </w:t>
            </w:r>
            <w:r>
              <w:rPr>
                <w:b/>
                <w:sz w:val="17"/>
              </w:rPr>
              <w:t>nur 2.8</w:t>
            </w:r>
            <w:r>
              <w:rPr>
                <w:sz w:val="17"/>
              </w:rPr>
              <w:t>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extLuId</w:t>
            </w:r>
            <w:r>
              <w:rPr>
                <w:sz w:val="17"/>
              </w:rPr>
              <w:t xml:space="preserve"> (S 20, Feld 4 im Kopf)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„External LU-ID that was requested by the ERP system“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WCS_PICKREQ00010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Gefüllt, wenn in eine bestimmte bestehende LE kommissioniert werden soll; leer: WCS darf jede neue LE-ID verwenden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WCS_PICKREQLUAID00005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 und Kubatur für den Kommissionierauftrag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WCS_PICKACKLU00008</w:t>
            </w:r>
            <w:r>
              <w:rPr>
                <w:sz w:val="17"/>
              </w:rPr>
              <w:t xml:space="preserve"> (WCS → WMS)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luOrigin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stoLocId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luFinished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Kommissionierte LE; </w:t>
            </w:r>
            <w:r>
              <w:rPr>
                <w:rFonts w:ascii="Consolas" w:hAnsi="Consolas" w:cs="Consolas" w:eastAsia="Consolas"/>
                <w:sz w:val="15"/>
              </w:rPr>
              <w:t>luFinished</w:t>
            </w:r>
            <w:r>
              <w:rPr>
                <w:sz w:val="17"/>
              </w:rPr>
              <w:t xml:space="preserve"> =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 löst Folgeprozesse aus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WCS_STOCKTRANSFERREQLU00009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luOrigin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 eines Umlagerungsauftrags</w:t>
            </w:r>
          </w:p>
        </w:tc>
      </w:tr>
    </w:tbl>
    <w:p>
      <w:pPr>
        <w:pStyle w:val="BeschriftungSSI"/>
      </w:pPr>
      <w:r>
        <w:t>Tab. 7: LE-Felder in den Schnittstellen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`extLuId` gibt es in 2.7 nicht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2.7 haben die Kopfsätze </w:t>
            </w:r>
            <w:r>
              <w:rPr>
                <w:rFonts w:ascii="Consolas" w:hAnsi="Consolas" w:cs="Consolas" w:eastAsia="Consolas"/>
                <w:sz w:val="17"/>
              </w:rPr>
              <w:t>WLSSD002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WLSPD002</w:t>
            </w:r>
            <w:r>
              <w:rPr>
                <w:sz w:val="19"/>
              </w:rPr>
              <w:t xml:space="preserve"> kein LE-Feld (Felder: </w:t>
            </w:r>
            <w:r>
              <w:rPr>
                <w:rFonts w:ascii="Consolas" w:hAnsi="Consolas" w:cs="Consolas" w:eastAsia="Consolas"/>
                <w:sz w:val="17"/>
              </w:rPr>
              <w:t>clientId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demandNo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recordState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priority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, …). Das Feld 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 xml:space="preserve"> ist erst in 2.8 in </w:t>
            </w:r>
            <w:r>
              <w:rPr>
                <w:rFonts w:ascii="Consolas" w:hAnsi="Consolas" w:cs="Consolas" w:eastAsia="Consolas"/>
                <w:sz w:val="17"/>
              </w:rPr>
              <w:t>WLSSD003</w:t>
            </w:r>
            <w:r>
              <w:rPr>
                <w:sz w:val="19"/>
              </w:rPr>
              <w:t>/</w:t>
            </w:r>
            <w:r>
              <w:rPr>
                <w:rFonts w:ascii="Consolas" w:hAnsi="Consolas" w:cs="Consolas" w:eastAsia="Consolas"/>
                <w:sz w:val="17"/>
              </w:rPr>
              <w:t>WLSPD003</w:t>
            </w:r>
            <w:r>
              <w:rPr>
                <w:sz w:val="19"/>
              </w:rPr>
              <w:t xml:space="preserve"> dokumentiert. In 2.7 kommt eine externe LE-ID also nicht mit dem Bedarf, sondern entsteht in WAMAS (Tab. 4) oder wird am Touch-Client zugeordnet (LM045). Das Feld </w:t>
            </w:r>
            <w:r>
              <w:rPr>
                <w:rFonts w:ascii="Consolas" w:hAnsi="Consolas" w:cs="Consolas" w:eastAsia="Consolas"/>
                <w:sz w:val="17"/>
              </w:rPr>
              <w:t>luId</w:t>
            </w:r>
            <w:r>
              <w:rPr>
                <w:sz w:val="19"/>
              </w:rPr>
              <w:t xml:space="preserve"> im Beispiel des REST-Kapitels gehört zur Satzart </w:t>
            </w:r>
            <w:r>
              <w:rPr>
                <w:rFonts w:ascii="Consolas" w:hAnsi="Consolas" w:cs="Consolas" w:eastAsia="Consolas"/>
                <w:sz w:val="17"/>
              </w:rPr>
              <w:t>FWCS_FFO00003</w:t>
            </w:r>
            <w:r>
              <w:rPr>
                <w:sz w:val="19"/>
              </w:rPr>
              <w:t xml:space="preserve"> und ist kein WLS-Feld.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Dokumentationsfehler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rFonts w:ascii="Consolas" w:hAnsi="Consolas" w:cs="Consolas" w:eastAsia="Consolas"/>
                <w:sz w:val="17"/>
              </w:rPr>
              <w:t>WLSPDLACTIVITYACK001</w:t>
            </w:r>
            <w:r>
              <w:rPr>
                <w:sz w:val="19"/>
              </w:rPr>
              <w:t xml:space="preserve"> beschreiben beide Handbücher (2.7 und 2.8) 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als „ID of the </w:t>
            </w:r>
            <w:r>
              <w:rPr>
                <w:b/>
                <w:sz w:val="19"/>
              </w:rPr>
              <w:t>source</w:t>
            </w:r>
            <w:r>
              <w:rPr>
                <w:sz w:val="19"/>
              </w:rPr>
              <w:t xml:space="preserve"> storage location“. Aus Feldname und Telegrammbeispiel (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=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>) ergibt sich, dass der Lagerplatz der Ziel-LE gemeint ist.</w:t>
            </w:r>
          </w:p>
        </w:tc>
      </w:tr>
    </w:tbl>
    <w:p>
      <w:pPr>
        <w:spacing w:after="40"/>
      </w:pP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"sourceLuId":"18888888101-007",</w:t>
            </w:r>
          </w:p>
          <w:p>
            <w:pPr>
              <w:pStyle w:val="Code"/>
            </w:pPr>
            <w:r>
              <w:t>"sourceLocation":"A1-OP1-1",</w:t>
            </w:r>
          </w:p>
          <w:p>
            <w:pPr>
              <w:pStyle w:val="Code"/>
            </w:pPr>
            <w:r>
              <w:t>"destLuId":"TEMP000000034",</w:t>
            </w:r>
          </w:p>
          <w:p>
            <w:pPr>
              <w:pStyle w:val="Code"/>
            </w:pPr>
            <w:r>
              <w:t>"destStoLoc":"LogiShpLoc"</w:t>
            </w:r>
          </w:p>
        </w:tc>
      </w:tr>
    </w:tbl>
    <w:p>
      <w:pPr>
        <w:pStyle w:val="BeschriftungSSI"/>
      </w:pPr>
      <w:r>
        <w:t>Abb. 3: Auszug Kommissionierquittierung (Telegrammbeispiel PD/ACK_after_every_operation/0085.json)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Interface Manual WLS–ERP 2.7, Kap. 2.1.1.5, 6.1.1.1, 6.2.2.3, 7.1.1.1, 7.2.2.3–7.2.2.4, 8.1.2.2, 8.2.2.3, 10.1.2.1, 11.1.2.1; Interface Manual WLS–ERP 2.8, Kap. 6.1.2.1, 7.1.2.1; Interface Manual WLS–WMS/MFS 2.7, Kap. 6.1.2.2, 9.1.2.1, 9.1.2.3, 9.2.2.2; Telegrammbeispiele 2.7.0</w:t>
      </w:r>
    </w:p>
    <w:p>
      <w:pPr>
        <w:pStyle w:val="Heading1"/>
      </w:pPr>
      <w:r>
        <w:t>4 Kubaturen</w:t>
      </w:r>
    </w:p>
    <w:p>
      <w:pPr>
        <w:pStyle w:val="Heading2"/>
      </w:pPr>
      <w:r>
        <w:t>4.1 Begriffe rund um die Kubatur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46"/>
        <w:gridCol w:w="3969"/>
        <w:gridCol w:w="2910"/>
      </w:tblGrid>
      <w:tr>
        <w:trPr>
          <w:tblHeader w:val="true"/>
        </w:trPr>
        <w:tc>
          <w:tcPr>
            <w:tcW w:type="dxa" w:w="264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29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Abmessungen, Gewicht und Stapelattribute einer Box; zugleich Ladehilfsmittel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LM058 (Desktop), LM042 (Touch)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Ladeeinheitenkubatur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einer LE (brutto inkl. Ladehilfsmittel, netto für die Ware), Füllgrad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MD031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Tablarlayout / Tablarvorlage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Anordnung und Größe der Boxen auf einem Tablar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LM004 / LM014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Unterteilte Box, LE-Fach, LE-Fachtyp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Box mit Trennwänden; jedes Fach ist ein Lagerfach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LM0135, MD002 › Registerkarte </w:t>
            </w:r>
            <w:r>
              <w:rPr>
                <w:b/>
                <w:sz w:val="17"/>
              </w:rPr>
              <w:t>LE-Fachtyp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Lagerfachträgertyp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Lagereigenschaften eines Regalträgers (z. B. Fachboden, Kommissionierwagen); erlaubte Ladehilfsmittel und Kubaturen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WH025, LM129</w:t>
            </w:r>
          </w:p>
        </w:tc>
      </w:tr>
    </w:tbl>
    <w:p>
      <w:pPr>
        <w:pStyle w:val="BeschriftungSSI"/>
      </w:pPr>
      <w:r>
        <w:t>Tab. 8: Begriffe der Kubatur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3.4.2, 3.6.3.2.3, 3.6.8; Benutzerhandbuch 2.7, Kap. 5.2, 6.1.8, 6.5.2, 6.6</w:t>
      </w:r>
    </w:p>
    <w:p>
      <w:pPr>
        <w:pStyle w:val="Heading2"/>
      </w:pPr>
      <w:r>
        <w:t>4.2 Boxtyp pflegen (LM058)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Boxtypen nicht manuell pflegen</w:t>
            </w:r>
          </w:p>
          <w:p>
            <w:pPr>
              <w:spacing w:after="40"/>
            </w:pPr>
            <w:r>
              <w:rPr>
                <w:sz w:val="19"/>
              </w:rPr>
              <w:t>Boxtypen sollen über eine Konfigurationsdatei (</w:t>
            </w:r>
            <w:r>
              <w:rPr>
                <w:b/>
                <w:sz w:val="19"/>
              </w:rPr>
              <w:t>LM061</w:t>
            </w:r>
            <w:r>
              <w:rPr>
                <w:sz w:val="19"/>
              </w:rPr>
              <w:t xml:space="preserve">, Registerkarte </w:t>
            </w:r>
            <w:r>
              <w:rPr>
                <w:b/>
                <w:sz w:val="19"/>
              </w:rPr>
              <w:t>Konfiguration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Laden</w:t>
            </w:r>
            <w:r>
              <w:rPr>
                <w:sz w:val="19"/>
              </w:rPr>
              <w:t xml:space="preserve">) importiert oder per Telegramm von der SPS übertragen werden. Der Import legt Boxtypen, Zonen und SSI LOGIMAT an; danach Prozess </w:t>
            </w:r>
            <w:r>
              <w:rPr>
                <w:b/>
                <w:sz w:val="19"/>
              </w:rPr>
              <w:t>WAMAS-AllInOne</w:t>
            </w:r>
            <w:r>
              <w:rPr>
                <w:sz w:val="19"/>
              </w:rPr>
              <w:t xml:space="preserve"> in </w:t>
            </w:r>
            <w:r>
              <w:rPr>
                <w:b/>
                <w:sz w:val="19"/>
              </w:rPr>
              <w:t>SE020</w:t>
            </w:r>
            <w:r>
              <w:rPr>
                <w:sz w:val="19"/>
              </w:rPr>
              <w:t xml:space="preserve"> zurücksetzen. Die manuelle Pflege dient nur als Orientierung.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572"/>
        <w:gridCol w:w="5953"/>
      </w:tblGrid>
      <w:tr>
        <w:trPr>
          <w:tblHeader w:val="true"/>
        </w:trPr>
        <w:tc>
          <w:tcPr>
            <w:tcW w:type="dxa" w:w="3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LM058</w:t>
            </w:r>
          </w:p>
        </w:tc>
        <w:tc>
          <w:tcPr>
            <w:tcW w:type="dxa" w:w="59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Ladehilfsmittel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Eindeutiger Name des Boxtyps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Bezeichnung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Kurzkennung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Beschreibung und kurze Identifikation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+ Einheit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Daraus wird </w:t>
            </w:r>
            <w:r>
              <w:rPr>
                <w:rFonts w:ascii="Consolas" w:hAnsi="Consolas" w:cs="Consolas" w:eastAsia="Consolas"/>
                <w:sz w:val="15"/>
              </w:rPr>
              <w:t>Volumen</w:t>
            </w:r>
            <w:r>
              <w:rPr>
                <w:sz w:val="17"/>
              </w:rPr>
              <w:t xml:space="preserve"> berechnet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Taragewicht (Durchschn.)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Leergewicht der Box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Tragfähigkeit (max.)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WAMAS stellt sicher, dass das Gewicht nicht überschritten wird; ohne Wert keine Grenze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Verbrauchsangabe Blockplatz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Reduziert die Kapazität eines Blockplatzes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Max. Stapelhöhe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Stapelkategorie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Stapelregeln; Höhe nur mit Stapelkategorie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Reihenfolge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Boxtyp mit der niedrigsten Nummer wird zuerst verwendet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Tauschbar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Darf bei Ladehilfsmitteltausch getauscht werden</w:t>
            </w:r>
          </w:p>
        </w:tc>
      </w:tr>
    </w:tbl>
    <w:p>
      <w:pPr>
        <w:pStyle w:val="BeschriftungSSI"/>
      </w:pPr>
      <w:r>
        <w:t>Tab. 9: Felder des Boxtyps</w:t>
      </w:r>
    </w:p>
    <w:p>
      <w:r>
        <w:t xml:space="preserve">Am Touch-Client wird ein Boxtyp im </w:t>
      </w:r>
      <w:r>
        <w:rPr>
          <w:b/>
        </w:rPr>
        <w:t>LM004 Tablarlayouteditor</w:t>
      </w:r>
      <w:r>
        <w:t xml:space="preserve"> über </w:t>
      </w:r>
      <w:r>
        <w:rPr>
          <w:b/>
        </w:rPr>
        <w:t>Boxtyp pflegen</w:t>
      </w:r>
      <w:r>
        <w:t xml:space="preserve"> (</w:t>
      </w:r>
      <w:r>
        <w:rPr>
          <w:b/>
        </w:rPr>
        <w:t>LM042</w:t>
      </w:r>
      <w:r>
        <w:t xml:space="preserve">) mit Länge, Breite, Höhe, </w:t>
      </w:r>
      <w:r>
        <w:rPr>
          <w:rFonts w:ascii="Consolas" w:hAnsi="Consolas" w:cs="Consolas" w:eastAsia="Consolas"/>
          <w:sz w:val="18"/>
        </w:rPr>
        <w:t>Gewicht</w:t>
      </w:r>
      <w:r>
        <w:t xml:space="preserve">, </w:t>
      </w:r>
      <w:r>
        <w:rPr>
          <w:rFonts w:ascii="Consolas" w:hAnsi="Consolas" w:cs="Consolas" w:eastAsia="Consolas"/>
          <w:sz w:val="18"/>
        </w:rPr>
        <w:t>Max. Gewicht</w:t>
      </w:r>
      <w:r>
        <w:t xml:space="preserve"> und </w:t>
      </w:r>
      <w:r>
        <w:rPr>
          <w:rFonts w:ascii="Consolas" w:hAnsi="Consolas" w:cs="Consolas" w:eastAsia="Consolas"/>
          <w:sz w:val="18"/>
        </w:rPr>
        <w:t>Bezeichnung</w:t>
      </w:r>
      <w:r>
        <w:t xml:space="preserve"> angelegt. Ein Boxtyp, der bereits in einem Tablarlayout verwendet wird, kann nicht bearbeitet oder gelöscht werden. Laut Schulung dienen Gewicht und Tragfähigkeit der Tablar-Gewichtskontrolle bzw. einer Plausibilitätsprüfung bei der Artikelzuordnung.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3.1, 3.1.5, 3.1.9.1; Benutzerhandbuch 2.7, Kap. 6.6.1–6.6.3; Administrator Manual 2.8, Kap. 3.1.5 (inhaltsgleich); Consultant Training Part 1, „Create Boxtype (Desktop)“</w:t>
      </w:r>
    </w:p>
    <w:p>
      <w:pPr>
        <w:pStyle w:val="Heading2"/>
      </w:pPr>
      <w:r>
        <w:t>4.3 Ladeeinheitenkubatur pflegen (MD031)</w:t>
      </w:r>
    </w:p>
    <w:p>
      <w:r>
        <w:t>Die Kubatur muss genau mit den Abmessungen der zugeordneten LE übereinstimmen; WAMAS berechnet daraus, wie bzw. wo Ware transportiert und eingelagert werden kann. Für jedes Ladehilfsmittel müssen alle möglichen Kubaturen definiert werden.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55"/>
        <w:gridCol w:w="4969"/>
      </w:tblGrid>
      <w:tr>
        <w:trPr>
          <w:tblHeader w:val="true"/>
        </w:trPr>
        <w:tc>
          <w:tcPr>
            <w:tcW w:type="dxa" w:w="45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MD031</w:t>
            </w:r>
          </w:p>
        </w:tc>
        <w:tc>
          <w:tcPr>
            <w:tcW w:type="dxa" w:w="4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Ladeeinheitenkubatur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>Eindeutiger Name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Ladeeinheitenkubaturart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Fixiert</w:t>
            </w:r>
            <w:r>
              <w:rPr>
                <w:sz w:val="17"/>
              </w:rPr>
              <w:t xml:space="preserve"> (Maße variieren nicht) oder </w:t>
            </w:r>
            <w:r>
              <w:rPr>
                <w:b/>
                <w:sz w:val="17"/>
              </w:rPr>
              <w:t>Variable</w:t>
            </w:r>
            <w:r>
              <w:rPr>
                <w:sz w:val="17"/>
              </w:rPr>
              <w:t xml:space="preserve"> (z. B. unterschiedliche Kartons; Durchschnittswerte angeben)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Bruttobreite (X)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Bruttolänge (Y)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Bruttohöhe (Z)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Maße von Ware </w:t>
            </w:r>
            <w:r>
              <w:rPr>
                <w:b/>
                <w:sz w:val="17"/>
              </w:rPr>
              <w:t>und</w:t>
            </w:r>
            <w:r>
              <w:rPr>
                <w:sz w:val="17"/>
              </w:rPr>
              <w:t xml:space="preserve"> Ladehilfsmittel; </w:t>
            </w:r>
            <w:r>
              <w:rPr>
                <w:rFonts w:ascii="Consolas" w:hAnsi="Consolas" w:cs="Consolas" w:eastAsia="Consolas"/>
                <w:sz w:val="15"/>
              </w:rPr>
              <w:t>Bruttovolumen</w:t>
            </w:r>
            <w:r>
              <w:rPr>
                <w:sz w:val="17"/>
              </w:rPr>
              <w:t xml:space="preserve"> wird angezeigt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Nettobreite (X)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Nettolänge (Y)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Nettohöhe (Z)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Maximale Maße der Ware auf der LE; </w:t>
            </w:r>
            <w:r>
              <w:rPr>
                <w:rFonts w:ascii="Consolas" w:hAnsi="Consolas" w:cs="Consolas" w:eastAsia="Consolas"/>
                <w:sz w:val="15"/>
              </w:rPr>
              <w:t>Nettovolumen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Füllgrad [%]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Maximaler Füllgrad für die Volumenberechnung; </w:t>
            </w:r>
            <w:r>
              <w:rPr>
                <w:b/>
                <w:sz w:val="17"/>
              </w:rPr>
              <w:t>0 = 100 %</w:t>
            </w:r>
            <w:r>
              <w:rPr>
                <w:sz w:val="17"/>
              </w:rPr>
              <w:t>, z. B. 80 für 80 %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Faktor zu normierter Bodenfläche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>Umrechnung zur Standard-LE-Kubatur, Kriterium für die Größe einer Auslieferung; 1 = normierte Bodenfläche</w:t>
            </w:r>
          </w:p>
        </w:tc>
      </w:tr>
    </w:tbl>
    <w:p>
      <w:pPr>
        <w:pStyle w:val="BeschriftungSSI"/>
      </w:pPr>
      <w:r>
        <w:t>Tab. 10: Felder der Ladeeinheitenkubatur</w:t>
      </w:r>
    </w:p>
    <w:p>
      <w:r>
        <w:t>Für WAMAS MFS müssen Kubaturen separat gepflegt werden. Die Felder sind in 2.8 unverändert (</w:t>
      </w:r>
      <w:r>
        <w:rPr>
          <w:rFonts w:ascii="Consolas" w:hAnsi="Consolas" w:cs="Consolas" w:eastAsia="Consolas"/>
          <w:sz w:val="18"/>
        </w:rPr>
        <w:t>Filling rate [%]</w:t>
      </w:r>
      <w:r>
        <w:t>, Standard 0 = 100 %).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3.6.8; Administrator Manual 2.8, Kap. 3.6.8</w:t>
      </w:r>
    </w:p>
    <w:p>
      <w:pPr>
        <w:pStyle w:val="Heading2"/>
      </w:pPr>
      <w:r>
        <w:t>4.4 Tablar-Unterteilung: Layout, Vorlagen, Fächer</w:t>
      </w:r>
    </w:p>
    <w:p>
      <w:pPr>
        <w:pStyle w:val="ListBullet"/>
      </w:pPr>
      <w:r>
        <w:rPr>
          <w:b/>
        </w:rPr>
        <w:t>Tablarlayout:</w:t>
      </w:r>
      <w:r>
        <w:t xml:space="preserve"> Die Anordnung der Boxen auf dem Tablar muss mit dem Layout in WAMAS übereinstimmen. Bearbeitung in </w:t>
      </w:r>
      <w:r>
        <w:rPr>
          <w:b/>
        </w:rPr>
        <w:t>LM002</w:t>
      </w:r>
      <w:r>
        <w:t xml:space="preserve"> → </w:t>
      </w:r>
      <w:r>
        <w:rPr>
          <w:b/>
        </w:rPr>
        <w:t>Tablardesign bearbeiten</w:t>
      </w:r>
      <w:r>
        <w:t xml:space="preserve"> → </w:t>
      </w:r>
      <w:r>
        <w:rPr>
          <w:b/>
        </w:rPr>
        <w:t>LM004 Tablarlayouteditor</w:t>
      </w:r>
      <w:r>
        <w:t>; optional Vorlage laden (</w:t>
      </w:r>
      <w:r>
        <w:rPr>
          <w:b/>
        </w:rPr>
        <w:t>LM015</w:t>
      </w:r>
      <w:r>
        <w:t>) oder als Vorlage speichern (</w:t>
      </w:r>
      <w:r>
        <w:rPr>
          <w:b/>
        </w:rPr>
        <w:t>LM016</w:t>
      </w:r>
      <w:r>
        <w:t>). Für neu hinzugefügte Boxen sind danach Barcodes verfügbar.</w:t>
      </w:r>
    </w:p>
    <w:p>
      <w:pPr>
        <w:pStyle w:val="ListBullet"/>
      </w:pPr>
      <w:r>
        <w:rPr>
          <w:b/>
        </w:rPr>
        <w:t>Tablarvorlage:</w:t>
      </w:r>
      <w:r>
        <w:t xml:space="preserve"> In </w:t>
      </w:r>
      <w:r>
        <w:rPr>
          <w:b/>
        </w:rPr>
        <w:t>LM014 Tablarvorlageneditor</w:t>
      </w:r>
      <w:r>
        <w:t xml:space="preserve"> Boxtypen ins Layout ziehen. Das Tablar wird immer von den Ecken aus gefüllt; </w:t>
      </w:r>
      <w:r>
        <w:rPr>
          <w:b/>
        </w:rPr>
        <w:t>Drehen</w:t>
      </w:r>
      <w:r>
        <w:t xml:space="preserve"> dreht eine Box um 90°, </w:t>
      </w:r>
      <w:r>
        <w:rPr>
          <w:b/>
        </w:rPr>
        <w:t>Füllen</w:t>
      </w:r>
      <w:r>
        <w:t xml:space="preserve"> füllt das Tablar mit einem Boxtyp. Änderungen an einer Vorlage wirken nicht auf bestehende Tablare.</w:t>
      </w:r>
    </w:p>
    <w:p>
      <w:pPr>
        <w:pStyle w:val="ListBullet"/>
      </w:pPr>
      <w:r>
        <w:rPr>
          <w:b/>
        </w:rPr>
        <w:t>Startecke:</w:t>
      </w:r>
      <w:r>
        <w:t xml:space="preserve"> </w:t>
      </w:r>
      <w:r>
        <w:rPr>
          <w:rFonts w:ascii="Consolas" w:hAnsi="Consolas" w:cs="Consolas" w:eastAsia="Consolas"/>
          <w:sz w:val="18"/>
        </w:rPr>
        <w:t>logimat.placement.Origin</w:t>
      </w:r>
      <w:r>
        <w:t xml:space="preserve"> legt fest, in welcher Ecke der Algorithmus beginnt (</w:t>
      </w:r>
      <w:r>
        <w:rPr>
          <w:rFonts w:ascii="Consolas" w:hAnsi="Consolas" w:cs="Consolas" w:eastAsia="Consolas"/>
          <w:sz w:val="18"/>
        </w:rPr>
        <w:t>TOP_LEFT</w:t>
      </w:r>
      <w:r>
        <w:t xml:space="preserve">, </w:t>
      </w:r>
      <w:r>
        <w:rPr>
          <w:rFonts w:ascii="Consolas" w:hAnsi="Consolas" w:cs="Consolas" w:eastAsia="Consolas"/>
          <w:sz w:val="18"/>
        </w:rPr>
        <w:t>BOTTOM_LEFT</w:t>
      </w:r>
      <w:r>
        <w:t xml:space="preserve"> = Standard).</w:t>
      </w:r>
    </w:p>
    <w:p>
      <w:pPr>
        <w:pStyle w:val="ListBullet"/>
      </w:pPr>
      <w:r>
        <w:rPr>
          <w:b/>
        </w:rPr>
        <w:t>Boxen mit Trennwänden:</w:t>
      </w:r>
      <w:r>
        <w:t xml:space="preserve"> Vordefinierte Boxen werden bei der Installation mit „LogimatBoxesWithSeparatorsAddOn“ (oder Importtool) importiert, erkennbar am Namen „Boxname_depth“. Laut Schulung nur für LMB- und RK-Behälter; manuell dürfen sie nicht geändert werden.</w:t>
      </w:r>
    </w:p>
    <w:p>
      <w:pPr>
        <w:pStyle w:val="ListBullet"/>
      </w:pPr>
      <w:r>
        <w:rPr>
          <w:b/>
        </w:rPr>
        <w:t>Trennwände setzen/entfernen:</w:t>
      </w:r>
      <w:r>
        <w:t xml:space="preserve"> In LM002 unterteilte Box wählen → </w:t>
      </w:r>
      <w:r>
        <w:rPr>
          <w:b/>
        </w:rPr>
        <w:t>LM0135 Unterteilte Box pflegen</w:t>
      </w:r>
      <w:r>
        <w:t xml:space="preserve"> → </w:t>
      </w:r>
      <w:r>
        <w:rPr>
          <w:b/>
        </w:rPr>
        <w:t>Trennwand hinzufügen</w:t>
      </w:r>
      <w:r>
        <w:t xml:space="preserve"> / </w:t>
      </w:r>
      <w:r>
        <w:rPr>
          <w:b/>
        </w:rPr>
        <w:t>Trennwand entfernen</w:t>
      </w:r>
      <w:r>
        <w:t>. Nicht möglich, wenn das Fach Bestand oder eine Reservierung hat.</w:t>
      </w:r>
    </w:p>
    <w:p>
      <w:pPr>
        <w:pStyle w:val="ListBullet"/>
      </w:pPr>
      <w:r>
        <w:rPr>
          <w:b/>
        </w:rPr>
        <w:t>Zuordnungen für Fächer:</w:t>
      </w:r>
      <w:r>
        <w:t xml:space="preserve"> </w:t>
      </w:r>
      <w:r>
        <w:rPr>
          <w:rFonts w:ascii="Consolas" w:hAnsi="Consolas" w:cs="Consolas" w:eastAsia="Consolas"/>
          <w:sz w:val="18"/>
        </w:rPr>
        <w:t>logimat.addAssignmentsOnBoxLayoutEdit</w:t>
      </w:r>
      <w:r>
        <w:t xml:space="preserve"> erlaubt, nach Bearbeitung des Boxlayouts Zuordnungen für LE-Fächer anzulegen (Standard </w:t>
      </w:r>
      <w:r>
        <w:rPr>
          <w:rFonts w:ascii="Consolas" w:hAnsi="Consolas" w:cs="Consolas" w:eastAsia="Consolas"/>
          <w:sz w:val="18"/>
        </w:rPr>
        <w:t>false</w:t>
      </w:r>
      <w:r>
        <w:t>).</w:t>
      </w:r>
    </w:p>
    <w:p>
      <w:pPr>
        <w:pStyle w:val="ListBullet"/>
      </w:pPr>
      <w:r>
        <w:rPr>
          <w:b/>
        </w:rPr>
        <w:t>LE-Fachtyp:</w:t>
      </w:r>
      <w:r>
        <w:t xml:space="preserve"> In MD002 › Verpackungsversion › Registerkarte </w:t>
      </w:r>
      <w:r>
        <w:rPr>
          <w:b/>
        </w:rPr>
        <w:t>LE-Fachtyp</w:t>
      </w:r>
      <w:r>
        <w:t xml:space="preserve"> wird festgelegt, wie viele BME in einen LE-Fachtyp passen; dient u. a. der Füllgradberechnung unterteilter LE.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Fächer und LE-Fachtypen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Pflegedialog für LE-Fachtypen ist im Administratorhandbuch 2.7 nicht beschrieben. Der Dialog heißt in BH 2.7 </w:t>
            </w:r>
            <w:r>
              <w:rPr>
                <w:b/>
                <w:sz w:val="19"/>
              </w:rPr>
              <w:t>LM0135</w:t>
            </w:r>
            <w:r>
              <w:rPr>
                <w:sz w:val="19"/>
              </w:rPr>
              <w:t xml:space="preserve">, im Icon-Verzeichnis von R2.4 </w:t>
            </w:r>
            <w:r>
              <w:rPr>
                <w:b/>
                <w:sz w:val="19"/>
              </w:rPr>
              <w:t>LM135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5.2, 6.1.8, 6.5.2; Administratorhandbuch 2.7, Kap. 3.6.3.2.3, 3.11.2; Benutzerhandbuch R2.4, Icon-Tabelle; Consultant Training Part 1, „Boxes with Dividers“</w:t>
      </w:r>
    </w:p>
    <w:p>
      <w:pPr>
        <w:pStyle w:val="Heading2"/>
      </w:pPr>
      <w:r>
        <w:t>4.5 Lagerfachträgertyp</w:t>
      </w:r>
    </w:p>
    <w:p>
      <w:r>
        <w:t>Der Lagerfachträgertyp ist die „Kubatur des Platzes“. Nur Ladehilfsmittel, die einem Lagerfachträgertyp zugeordnet sind, dürfen in Lagerfächern dieses Typs eingelagert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WH025 Lagerfachträgertyp pflegen</w:t>
      </w:r>
      <w:r>
        <w:t xml:space="preserve"> öffnen, </w:t>
      </w:r>
      <w:r>
        <w:rPr>
          <w:b/>
        </w:rPr>
        <w:t>Datensatz anlegen</w:t>
      </w:r>
      <w:r>
        <w:t xml:space="preserve">,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 benennen.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Stapelung</w:t>
      </w:r>
      <w:r>
        <w:t xml:space="preserve">, </w:t>
      </w:r>
      <w:r>
        <w:rPr>
          <w:rFonts w:ascii="Consolas" w:hAnsi="Consolas" w:cs="Consolas" w:eastAsia="Consolas"/>
          <w:sz w:val="18"/>
        </w:rPr>
        <w:t>Standardstapelkubatur</w:t>
      </w:r>
      <w:r>
        <w:t xml:space="preserve"> und </w:t>
      </w:r>
      <w:r>
        <w:rPr>
          <w:rFonts w:ascii="Consolas" w:hAnsi="Consolas" w:cs="Consolas" w:eastAsia="Consolas"/>
          <w:sz w:val="18"/>
        </w:rPr>
        <w:t>Standardladehilfsmittel</w:t>
      </w:r>
      <w:r>
        <w:t xml:space="preserve"> wählen (das Standardladehilfsmittel muss auch als zulässig eingetragen sein).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Registerkarte </w:t>
      </w:r>
      <w:r>
        <w:rPr>
          <w:b/>
        </w:rPr>
        <w:t>Ladehilfsmittel</w:t>
      </w:r>
      <w:r>
        <w:t xml:space="preserve">: je zulässigem Ladehilfsmittel eine Zeile, ggf. </w:t>
      </w:r>
      <w:r>
        <w:rPr>
          <w:b/>
        </w:rPr>
        <w:t>Gedreht</w:t>
      </w:r>
      <w:r>
        <w:t xml:space="preserve"> (90° bei Einlagerung).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Registerkarte </w:t>
      </w:r>
      <w:r>
        <w:rPr>
          <w:b/>
        </w:rPr>
        <w:t>Ladehilfsmittelkubatur</w:t>
      </w:r>
      <w:r>
        <w:t xml:space="preserve">: je zulässiger Kubatur eine Zeile. </w:t>
      </w:r>
      <w:r>
        <w:rPr>
          <w:b/>
        </w:rPr>
        <w:t>Speichern</w:t>
      </w:r>
      <w:r>
        <w:t>.</w:t>
      </w:r>
    </w:p>
    <w:p>
      <w:r>
        <w:t xml:space="preserve">Verwendet wird der Lagerfachträgertyp bei externen Lagerplatzgruppen (LM126, Schnellanlage </w:t>
      </w:r>
      <w:r>
        <w:rPr>
          <w:b/>
        </w:rPr>
        <w:t>LM129</w:t>
      </w:r>
      <w:r>
        <w:t xml:space="preserve"> mit </w:t>
      </w:r>
      <w:r>
        <w:rPr>
          <w:rFonts w:ascii="Consolas" w:hAnsi="Consolas" w:cs="Consolas" w:eastAsia="Consolas"/>
          <w:sz w:val="18"/>
        </w:rPr>
        <w:t>Fachbodentyp</w:t>
      </w:r>
      <w:r>
        <w:t xml:space="preserve">, </w:t>
      </w:r>
      <w:r>
        <w:rPr>
          <w:rFonts w:ascii="Consolas" w:hAnsi="Consolas" w:cs="Consolas" w:eastAsia="Consolas"/>
          <w:sz w:val="18"/>
        </w:rPr>
        <w:t>LP-Tiefe (X)</w:t>
      </w:r>
      <w:r>
        <w:t xml:space="preserve">, </w:t>
      </w:r>
      <w:r>
        <w:rPr>
          <w:rFonts w:ascii="Consolas" w:hAnsi="Consolas" w:cs="Consolas" w:eastAsia="Consolas"/>
          <w:sz w:val="18"/>
        </w:rPr>
        <w:t>LP-Breite (Y)</w:t>
      </w:r>
      <w:r>
        <w:t xml:space="preserve">, </w:t>
      </w:r>
      <w:r>
        <w:rPr>
          <w:rFonts w:ascii="Consolas" w:hAnsi="Consolas" w:cs="Consolas" w:eastAsia="Consolas"/>
          <w:sz w:val="18"/>
        </w:rPr>
        <w:t>LP-Höhe (Z)</w:t>
      </w:r>
      <w:r>
        <w:t>), bei Lagerplatztypzuordnungen (LM132) und bei Kommissionierwagen (LM152).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3.1.13, 3.1.15, 3.1.17, 3.4.2</w:t>
      </w:r>
    </w:p>
    <w:p>
      <w:pPr>
        <w:pStyle w:val="Heading2"/>
      </w:pPr>
      <w:r>
        <w:t>4.6 Gewichte und Artikelmaße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07"/>
        <w:gridCol w:w="2249"/>
        <w:gridCol w:w="3969"/>
      </w:tblGrid>
      <w:tr>
        <w:trPr>
          <w:tblHeader w:val="true"/>
        </w:trPr>
        <w:tc>
          <w:tcPr>
            <w:tcW w:type="dxa" w:w="33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22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 laut Handbuch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Taragewicht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Tragfähigkeit (max.)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LM058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Gewichtsgrenze der Box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Bruttogewicht</w:t>
            </w:r>
            <w:r>
              <w:rPr>
                <w:sz w:val="17"/>
              </w:rPr>
              <w:t xml:space="preserve"> der Artikelmengeneinheit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MD002 › Verpackungsversion › MD038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Kontrolle des Gewichts von LE und Lieferungen; inkl. Verpackung, kein Einfluss auf die Bestandsführung mengenverwalteter Artikel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Abmessungen, </w:t>
            </w:r>
            <w:r>
              <w:rPr>
                <w:b/>
                <w:sz w:val="17"/>
              </w:rPr>
              <w:t>Volumen berechnen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Stapelfaktor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Volumen je Mengeneinheit; Stapelfaktor erhöht das Volumen bei Stapelung (Beispiel Eimer 3 %)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BME Nettogewicht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MD039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Nettogewicht einer Lagermengeneinheit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>Tablar-Überlast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Touch LM002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Meldung bei Überlast; Einlagerung mit </w:t>
            </w: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trotzdem möglich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>Waage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LM138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Menge aus Gewicht und Artikelstammdaten</w:t>
            </w:r>
          </w:p>
        </w:tc>
      </w:tr>
    </w:tbl>
    <w:p>
      <w:pPr>
        <w:pStyle w:val="BeschriftungSSI"/>
      </w:pPr>
      <w:r>
        <w:t>Tab. 11: Gewichte und Maße</w:t>
      </w:r>
    </w:p>
    <w:p>
      <w:r>
        <w:t xml:space="preserve">Über die ERP-Schnittstelle kommen Maße und Gewicht je Mengeneinheit in </w:t>
      </w:r>
      <w:r>
        <w:rPr>
          <w:rFonts w:ascii="Consolas" w:hAnsi="Consolas" w:cs="Consolas" w:eastAsia="Consolas"/>
          <w:sz w:val="18"/>
        </w:rPr>
        <w:t>WLSQTYUNIT001</w:t>
      </w:r>
      <w:r>
        <w:t xml:space="preserve"> (</w:t>
      </w:r>
      <w:r>
        <w:rPr>
          <w:rFonts w:ascii="Consolas" w:hAnsi="Consolas" w:cs="Consolas" w:eastAsia="Consolas"/>
          <w:sz w:val="18"/>
        </w:rPr>
        <w:t>width</w:t>
      </w:r>
      <w:r>
        <w:t xml:space="preserve">, </w:t>
      </w:r>
      <w:r>
        <w:rPr>
          <w:rFonts w:ascii="Consolas" w:hAnsi="Consolas" w:cs="Consolas" w:eastAsia="Consolas"/>
          <w:sz w:val="18"/>
        </w:rPr>
        <w:t>height</w:t>
      </w:r>
      <w:r>
        <w:t xml:space="preserve">, </w:t>
      </w:r>
      <w:r>
        <w:rPr>
          <w:rFonts w:ascii="Consolas" w:hAnsi="Consolas" w:cs="Consolas" w:eastAsia="Consolas"/>
          <w:sz w:val="18"/>
        </w:rPr>
        <w:t>length</w:t>
      </w:r>
      <w:r>
        <w:t xml:space="preserve">, </w:t>
      </w:r>
      <w:r>
        <w:rPr>
          <w:rFonts w:ascii="Consolas" w:hAnsi="Consolas" w:cs="Consolas" w:eastAsia="Consolas"/>
          <w:sz w:val="18"/>
        </w:rPr>
        <w:t>grossWeight</w:t>
      </w:r>
      <w:r>
        <w:t>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3.6.3.2.1; Benutzerhandbuch 2.7, Kap. 6.1.4; Interface Manual WLS–ERP 2.7, Kap. 5.1.1.6</w:t>
      </w:r>
    </w:p>
    <w:p>
      <w:pPr>
        <w:pStyle w:val="Heading1"/>
      </w:pPr>
      <w:r>
        <w:t>5 Zuordnungen</w:t>
      </w:r>
    </w:p>
    <w:p>
      <w:pPr>
        <w:pStyle w:val="Heading2"/>
      </w:pPr>
      <w:r>
        <w:t>5.1 Überblick: welche Zuordnungen es gibt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07"/>
        <w:gridCol w:w="2901"/>
        <w:gridCol w:w="2901"/>
        <w:gridCol w:w="1015"/>
      </w:tblGrid>
      <w:tr>
        <w:trPr>
          <w:tblHeader w:val="true"/>
        </w:trPr>
        <w:tc>
          <w:tcPr>
            <w:tcW w:type="dxa" w:w="27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29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Frage, die sie beantwortet</w:t>
            </w:r>
          </w:p>
        </w:tc>
        <w:tc>
          <w:tcPr>
            <w:tcW w:type="dxa" w:w="29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Pflege</w:t>
            </w:r>
          </w:p>
        </w:tc>
        <w:tc>
          <w:tcPr>
            <w:tcW w:type="dxa" w:w="10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Schnittstelle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Artikel-zu-Boxtyp</w:t>
            </w:r>
            <w:r>
              <w:rPr>
                <w:sz w:val="17"/>
              </w:rPr>
              <w:t xml:space="preserve"> (Verpackungsversion-zu-LE-Kubatur)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In welchen Boxtyp darf der Artikel, wie viel passt hinein?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LM084; MD002 › Registerkarte </w:t>
            </w:r>
            <w:r>
              <w:rPr>
                <w:b/>
                <w:sz w:val="17"/>
              </w:rPr>
              <w:t>Kubatur</w:t>
            </w:r>
            <w:r>
              <w:rPr>
                <w:sz w:val="17"/>
              </w:rPr>
              <w:t>; Touch LM012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Warengruppe-zu-Boxtyp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Vorgabe gilt für neue Artikel einer Warengruppe?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LM144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Artikel-zu-Box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liegt in genau dieser Box?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Touch LM002 (LM043 zum Aufheben)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Zuordnungsmodus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Was passiert mit der Artikel-zu-Box-Zuordnung, wenn die Box leer wird?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MD002 › WLS Artikel › </w:t>
            </w:r>
            <w:r>
              <w:rPr>
                <w:b/>
                <w:sz w:val="17"/>
              </w:rPr>
              <w:t>Artikelzuordnung</w:t>
            </w:r>
            <w:r>
              <w:rPr>
                <w:sz w:val="17"/>
              </w:rPr>
              <w:t>; Touch LM104; Standard in LM053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</w:t>
            </w:r>
            <w:r>
              <w:rPr>
                <w:sz w:val="17"/>
              </w:rPr>
              <w:t xml:space="preserve"> (Feld 6)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Tablar-zu-Klient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Auf welche Tablare darf ein Klient einlagern?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</w:t>
            </w:r>
            <w:r>
              <w:rPr>
                <w:b/>
                <w:sz w:val="17"/>
              </w:rPr>
              <w:t>Tablar-zu-Klient-Einschränkung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SSI LOGIMAT und Plätze gehören zusammen, wo wird ein Bedarf ausgeführt?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LM051, LM069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 xml:space="preserve"> in Bedarfen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Lagerplatztypzuordnung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darf in welcher Menge an einen externen Platz?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LM132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Zielplatzgruppe-zu-Zugriffsöffnung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Zielplätze gehören zu welcher Zugriffsöffnung?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LM065; Touch LM044/LM046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12: Arten von Zuordnungen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3.1.7, 3.1.8, 3.1.10, 3.1.12, 3.1.15, 3.6.1.13, 3.6.3.2.2, 3.6.3.7; Benutzerhandbuch 2.7, Kap. 5.1.2, 5.1.4, 5.6; Interface Manual WLS–ERP 2.7, Kap. 5.1.1.1, 5.1.1.5</w:t>
      </w:r>
    </w:p>
    <w:p>
      <w:pPr>
        <w:pStyle w:val="Heading2"/>
      </w:pPr>
      <w:r>
        <w:t>5.2 Artikel-zu-Boxtyp: wie viel passt hinein?</w:t>
      </w:r>
    </w:p>
    <w:p>
      <w:r>
        <w:rPr>
          <w:b/>
        </w:rPr>
        <w:t>Desktop (LM084 Zuordnung Boxtyp pflegen):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Datensatz anlegen</w:t>
      </w:r>
      <w:r>
        <w:t xml:space="preserve">, </w:t>
      </w:r>
      <w:r>
        <w:rPr>
          <w:rFonts w:ascii="Consolas" w:hAnsi="Consolas" w:cs="Consolas" w:eastAsia="Consolas"/>
          <w:sz w:val="18"/>
        </w:rPr>
        <w:t>Verpackungsversion</w:t>
      </w:r>
      <w:r>
        <w:t xml:space="preserve"> des Artikels angeben.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Boxtyp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 und/oder </w:t>
      </w:r>
      <w:r>
        <w:rPr>
          <w:rFonts w:ascii="Consolas" w:hAnsi="Consolas" w:cs="Consolas" w:eastAsia="Consolas"/>
          <w:sz w:val="18"/>
        </w:rPr>
        <w:t># LME (max.)</w:t>
      </w:r>
      <w:r>
        <w:t xml:space="preserve"> eintragen oder </w:t>
      </w:r>
      <w:r>
        <w:rPr>
          <w:b/>
        </w:rPr>
        <w:t>Unbegrenzt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rFonts w:ascii="Consolas" w:hAnsi="Consolas" w:cs="Consolas" w:eastAsia="Consolas"/>
          <w:sz w:val="18"/>
        </w:rPr>
        <w:t>Stammdatenstatus</w:t>
      </w:r>
      <w:r>
        <w:t xml:space="preserve"> = </w:t>
      </w:r>
      <w:r>
        <w:rPr>
          <w:b/>
        </w:rPr>
        <w:t>Normal</w:t>
      </w:r>
      <w:r>
        <w:t xml:space="preserve">. </w:t>
      </w:r>
      <w:r>
        <w:rPr>
          <w:b/>
        </w:rPr>
        <w:t>Auslaufend</w:t>
      </w:r>
      <w:r>
        <w:t xml:space="preserve">, </w:t>
      </w:r>
      <w:r>
        <w:rPr>
          <w:b/>
        </w:rPr>
        <w:t>Gesperrt</w:t>
      </w:r>
      <w:r>
        <w:t xml:space="preserve"> und </w:t>
      </w:r>
      <w:r>
        <w:rPr>
          <w:b/>
        </w:rPr>
        <w:t>Unvollständig</w:t>
      </w:r>
      <w:r>
        <w:t xml:space="preserve"> werden für Einlagerreservierungen nicht verwendet.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</w:t>
      </w:r>
    </w:p>
    <w:p>
      <w:r>
        <w:rPr>
          <w:b/>
        </w:rPr>
        <w:t>Touch-Client:</w:t>
      </w:r>
      <w:r>
        <w:t xml:space="preserve"> Am Artikel (LM011) Verpackungsversion wählen → </w:t>
      </w:r>
      <w:r>
        <w:rPr>
          <w:b/>
        </w:rPr>
        <w:t>Boxtypen zuordnen</w:t>
      </w:r>
      <w:r>
        <w:t xml:space="preserve"> → </w:t>
      </w:r>
      <w:r>
        <w:rPr>
          <w:b/>
        </w:rPr>
        <w:t>LM012</w:t>
      </w:r>
      <w:r>
        <w:t xml:space="preserve">: Boxtyp, </w:t>
      </w:r>
      <w:r>
        <w:rPr>
          <w:b/>
        </w:rPr>
        <w:t>Zugeordnet</w:t>
      </w:r>
      <w:r>
        <w:t xml:space="preserve">, </w:t>
      </w:r>
      <w:r>
        <w:rPr>
          <w:rFonts w:ascii="Consolas" w:hAnsi="Consolas" w:cs="Consolas" w:eastAsia="Consolas"/>
          <w:sz w:val="18"/>
        </w:rPr>
        <w:t>Max. Artikel in Box</w:t>
      </w:r>
      <w:r>
        <w:t xml:space="preserve"> oder </w:t>
      </w:r>
      <w:r>
        <w:rPr>
          <w:b/>
        </w:rPr>
        <w:t>Unbegrenzt</w:t>
      </w:r>
      <w:r>
        <w:t xml:space="preserve">, ggf. </w:t>
      </w:r>
      <w:r>
        <w:rPr>
          <w:b/>
        </w:rPr>
        <w:t>Auslaufend</w:t>
      </w:r>
      <w:r>
        <w:t>. Wird ein Artikel ohne Zuordnung eingelagert (</w:t>
      </w:r>
      <w:r>
        <w:rPr>
          <w:b/>
        </w:rPr>
        <w:t>LAGERN</w:t>
      </w:r>
      <w:r>
        <w:t xml:space="preserve"> in LM040), öffnet sich LM012 direkt. </w:t>
      </w:r>
      <w:r>
        <w:rPr>
          <w:b/>
        </w:rPr>
        <w:t>Warengruppe (LM144):</w:t>
      </w:r>
      <w:r>
        <w:t xml:space="preserve"> Klient + Warengruppe, </w:t>
      </w:r>
      <w:r>
        <w:rPr>
          <w:rFonts w:ascii="Consolas" w:hAnsi="Consolas" w:cs="Consolas" w:eastAsia="Consolas"/>
          <w:sz w:val="18"/>
        </w:rPr>
        <w:t>Ladehilfsmittel</w:t>
      </w:r>
      <w:r>
        <w:t xml:space="preserve"> (Boxtyp), </w:t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,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 (niedrigste zuerst). Daraus entsteht eine Verpackungsversion-zu-LE-Kubatur-Zuordnung, die an </w:t>
      </w:r>
      <w:r>
        <w:rPr>
          <w:b/>
        </w:rPr>
        <w:t>neue</w:t>
      </w:r>
      <w:r>
        <w:t xml:space="preserve"> Zuordnungen in MD002/LM084 übertragen wird. Bestehende oder explizit geänderte Zuordnungen werden nicht überschrieben. Mit Bestand kann die Zuordnung nicht gelöscht werden; sie wird </w:t>
      </w:r>
      <w:r>
        <w:rPr>
          <w:b/>
        </w:rPr>
        <w:t>Auslaufend</w:t>
      </w:r>
      <w:r>
        <w:t xml:space="preserve">. </w:t>
      </w:r>
      <w:r>
        <w:rPr>
          <w:b/>
        </w:rPr>
        <w:t>Schnittstelle (`WLSITEMCUBATURE001`):</w:t>
      </w:r>
      <w:r>
        <w:t xml:space="preserve"> </w:t>
      </w:r>
      <w:r>
        <w:rPr>
          <w:rFonts w:ascii="Consolas" w:hAnsi="Consolas" w:cs="Consolas" w:eastAsia="Consolas"/>
          <w:sz w:val="18"/>
        </w:rPr>
        <w:t>cubatureId</w:t>
      </w:r>
      <w:r>
        <w:t xml:space="preserve"> (Pflicht), </w:t>
      </w:r>
      <w:r>
        <w:rPr>
          <w:rFonts w:ascii="Consolas" w:hAnsi="Consolas" w:cs="Consolas" w:eastAsia="Consolas"/>
          <w:sz w:val="18"/>
        </w:rPr>
        <w:t>clientId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 (Pflicht), </w:t>
      </w:r>
      <w:r>
        <w:rPr>
          <w:rFonts w:ascii="Consolas" w:hAnsi="Consolas" w:cs="Consolas" w:eastAsia="Consolas"/>
          <w:sz w:val="18"/>
        </w:rPr>
        <w:t>variant</w:t>
      </w:r>
      <w:r>
        <w:t xml:space="preserve">, </w:t>
      </w:r>
      <w:r>
        <w:rPr>
          <w:rFonts w:ascii="Consolas" w:hAnsi="Consolas" w:cs="Consolas" w:eastAsia="Consolas"/>
          <w:sz w:val="18"/>
        </w:rPr>
        <w:t>pkv</w:t>
      </w:r>
      <w:r>
        <w:t xml:space="preserve"> (Pflicht; ohne eigene Verpackungsversion </w:t>
      </w:r>
      <w:r>
        <w:rPr>
          <w:rFonts w:ascii="Consolas" w:hAnsi="Consolas" w:cs="Consolas" w:eastAsia="Consolas"/>
          <w:sz w:val="18"/>
        </w:rPr>
        <w:t>1</w:t>
      </w:r>
      <w:r>
        <w:t xml:space="preserve">), </w:t>
      </w:r>
      <w:r>
        <w:rPr>
          <w:rFonts w:ascii="Consolas" w:hAnsi="Consolas" w:cs="Consolas" w:eastAsia="Consolas"/>
          <w:sz w:val="18"/>
        </w:rPr>
        <w:t>maxNumBaseQtyUnits</w:t>
      </w:r>
      <w:r>
        <w:t xml:space="preserve">, </w:t>
      </w:r>
      <w:r>
        <w:rPr>
          <w:rFonts w:ascii="Consolas" w:hAnsi="Consolas" w:cs="Consolas" w:eastAsia="Consolas"/>
          <w:sz w:val="18"/>
        </w:rPr>
        <w:t>unlimited</w:t>
      </w:r>
      <w:r>
        <w:t xml:space="preserve"> (Standard false), </w:t>
      </w:r>
      <w:r>
        <w:rPr>
          <w:rFonts w:ascii="Consolas" w:hAnsi="Consolas" w:cs="Consolas" w:eastAsia="Consolas"/>
          <w:sz w:val="18"/>
        </w:rPr>
        <w:t>sequence</w:t>
      </w:r>
      <w:r>
        <w:t xml:space="preserve"> (Pflicht; „priority of a cubature when searching for empty LUs“). In 2.8 heißt die Satzart </w:t>
      </w:r>
      <w:r>
        <w:rPr>
          <w:rFonts w:ascii="Consolas" w:hAnsi="Consolas" w:cs="Consolas" w:eastAsia="Consolas"/>
          <w:sz w:val="18"/>
        </w:rPr>
        <w:t>WLSITEMCUBATURE002</w:t>
      </w:r>
      <w:r>
        <w:t xml:space="preserve"> und hat zusätzlich </w:t>
      </w:r>
      <w:r>
        <w:rPr>
          <w:rFonts w:ascii="Consolas" w:hAnsi="Consolas" w:cs="Consolas" w:eastAsia="Consolas"/>
          <w:sz w:val="18"/>
        </w:rPr>
        <w:t>recordState</w:t>
      </w:r>
      <w:r>
        <w:t xml:space="preserve"> (</w:t>
      </w:r>
      <w:r>
        <w:rPr>
          <w:rFonts w:ascii="Consolas" w:hAnsi="Consolas" w:cs="Consolas" w:eastAsia="Consolas"/>
          <w:sz w:val="18"/>
        </w:rPr>
        <w:t>NORMAL</w:t>
      </w:r>
      <w:r>
        <w:t xml:space="preserve">, </w:t>
      </w:r>
      <w:r>
        <w:rPr>
          <w:rFonts w:ascii="Consolas" w:hAnsi="Consolas" w:cs="Consolas" w:eastAsia="Consolas"/>
          <w:sz w:val="18"/>
        </w:rPr>
        <w:t>DELETE</w:t>
      </w:r>
      <w:r>
        <w:t>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Warum `# BME (max.)` wichtig ist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maximale Anzahl BME wird für den </w:t>
            </w:r>
            <w:r>
              <w:rPr>
                <w:b/>
                <w:sz w:val="19"/>
              </w:rPr>
              <w:t>Füllgrad</w:t>
            </w:r>
            <w:r>
              <w:rPr>
                <w:sz w:val="19"/>
              </w:rPr>
              <w:t xml:space="preserve"> der Boxen und die bestandsbasierte Konsolidierung gebraucht. Fehlt sie, kann WAMAS den freien Platz einer Box nicht sinnvoll berechnen.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3.1.7, 3.1.8, 3.6.3.2.2; Benutzerhandbuch 2.7, Kap. 5.1.2, 6.1.4; Interface Manual WLS–ERP 2.7, Kap. 5.1.1.5, 5.1.2.4; Interface Manual WLS–ERP 2.8, Kap. 5.1.2.4</w:t>
      </w:r>
    </w:p>
    <w:p>
      <w:pPr>
        <w:pStyle w:val="Heading2"/>
      </w:pPr>
      <w:r>
        <w:t>5.3 Artikel-zu-Box und Zuordnungsmodus</w:t>
      </w:r>
    </w:p>
    <w:p>
      <w:r>
        <w:t>Ein Artikel kann nur in eine Box eingelagert werden, der er zugeordnet ist. Die Zuordnung entsteht am Touch-Client: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Tools</w:t>
      </w:r>
      <w:r>
        <w:t xml:space="preserve"> → </w:t>
      </w:r>
      <w:r>
        <w:rPr>
          <w:b/>
        </w:rPr>
        <w:t>LM002 Tablarvorgänge durchführen</w:t>
      </w:r>
      <w:r>
        <w:t xml:space="preserve"> → Box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Artikel suchen oder über </w:t>
      </w:r>
      <w:r>
        <w:rPr>
          <w:b/>
        </w:rPr>
        <w:t>Artikel anlegen</w:t>
      </w:r>
      <w:r>
        <w:t xml:space="preserve"> spontan in </w:t>
      </w:r>
      <w:r>
        <w:rPr>
          <w:b/>
        </w:rPr>
        <w:t>LM041</w:t>
      </w:r>
      <w:r>
        <w:t xml:space="preserve"> anlegen (Artikelnummer, BME, ggf. </w:t>
      </w:r>
      <w:r>
        <w:rPr>
          <w:b/>
        </w:rPr>
        <w:t>Großer Artikel</w:t>
      </w:r>
      <w:r>
        <w:t>, Bruttogewicht, Maße).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 anpassen oder Unendlich-Zeichen wählen; weitere Artikel mit </w:t>
      </w:r>
      <w:r>
        <w:rPr>
          <w:b/>
        </w:rPr>
        <w:t>Verpackungsversion zuordnen (+)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Artikelzuordnung bestätigen</w:t>
      </w:r>
      <w:r>
        <w:t>.</w:t>
      </w:r>
    </w:p>
    <w:p>
      <w:r>
        <w:t xml:space="preserve">Eine Zuordnung kann nur angelegt werden, wenn eine Box auf dem Tablar ist, und nicht aufgehoben werden, solange die Box Bestand des Artikels enthält (Aufheben über </w:t>
      </w:r>
      <w:r>
        <w:rPr>
          <w:b/>
        </w:rPr>
        <w:t>LM043</w:t>
      </w:r>
      <w:r>
        <w:t>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05"/>
        <w:gridCol w:w="7620"/>
      </w:tblGrid>
      <w:tr>
        <w:trPr>
          <w:tblHeader w:val="true"/>
        </w:trPr>
        <w:tc>
          <w:tcPr>
            <w:tcW w:type="dxa" w:w="1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Zuordnungsmodus</w:t>
            </w:r>
          </w:p>
        </w:tc>
        <w:tc>
          <w:tcPr>
            <w:tcW w:type="dxa" w:w="76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Wenn die Box leer wird … (AH/BH 2.7, Schulung)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Standard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wird der Benutzer gefragt, ob die Zuordnung entfernt werden soll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Fixiert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bleibt die Zuordnung aktiv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Float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wird die Zuordnung automatisch entfernt</w:t>
            </w:r>
          </w:p>
        </w:tc>
      </w:tr>
    </w:tbl>
    <w:p>
      <w:pPr>
        <w:pStyle w:val="BeschriftungSSI"/>
      </w:pPr>
      <w:r>
        <w:t>Tab. 13: Zuordnungsmodus</w:t>
      </w:r>
    </w:p>
    <w:p>
      <w:r>
        <w:t xml:space="preserve">Pflege je Artikel und strategischem Lagerbereich mit </w:t>
      </w:r>
      <w:r>
        <w:rPr>
          <w:rFonts w:ascii="Consolas" w:hAnsi="Consolas" w:cs="Consolas" w:eastAsia="Consolas"/>
          <w:sz w:val="18"/>
        </w:rPr>
        <w:t>Priorität</w:t>
      </w:r>
      <w:r>
        <w:t xml:space="preserve"> in MD002 › </w:t>
      </w:r>
      <w:r>
        <w:rPr>
          <w:b/>
        </w:rPr>
        <w:t>WLS Artikel</w:t>
      </w:r>
      <w:r>
        <w:t xml:space="preserve"> › </w:t>
      </w:r>
      <w:r>
        <w:rPr>
          <w:b/>
        </w:rPr>
        <w:t>Artikelzuordnung</w:t>
      </w:r>
      <w:r>
        <w:t xml:space="preserve"> bzw. Touch </w:t>
      </w:r>
      <w:r>
        <w:rPr>
          <w:b/>
        </w:rPr>
        <w:t>LM104</w:t>
      </w:r>
      <w:r>
        <w:t xml:space="preserve">; Standardwert in LM053 › Systemparameter. Über die ERP-Schnittstelle: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, Feld 6 „Float assignment“, Werte </w:t>
      </w:r>
      <w:r>
        <w:rPr>
          <w:rFonts w:ascii="Consolas" w:hAnsi="Consolas" w:cs="Consolas" w:eastAsia="Consolas"/>
          <w:sz w:val="18"/>
        </w:rPr>
        <w:t>FLOAT</w:t>
      </w:r>
      <w:r>
        <w:t xml:space="preserve">, </w:t>
      </w:r>
      <w:r>
        <w:rPr>
          <w:rFonts w:ascii="Consolas" w:hAnsi="Consolas" w:cs="Consolas" w:eastAsia="Consolas"/>
          <w:sz w:val="18"/>
        </w:rPr>
        <w:t>FIXED</w:t>
      </w:r>
      <w:r>
        <w:t xml:space="preserve">, </w:t>
      </w:r>
      <w:r>
        <w:rPr>
          <w:rFonts w:ascii="Consolas" w:hAnsi="Consolas" w:cs="Consolas" w:eastAsia="Consolas"/>
          <w:sz w:val="18"/>
        </w:rPr>
        <w:t>STANDARD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Widerspruch zu `FIXED` in der Schnittstelle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Interface Manual WLS–ERP (2.7 und 2.8) beschreibt </w:t>
            </w:r>
            <w:r>
              <w:rPr>
                <w:rFonts w:ascii="Consolas" w:hAnsi="Consolas" w:cs="Consolas" w:eastAsia="Consolas"/>
                <w:sz w:val="17"/>
              </w:rPr>
              <w:t>FIXED</w:t>
            </w:r>
            <w:r>
              <w:rPr>
                <w:sz w:val="19"/>
              </w:rPr>
              <w:t xml:space="preserve"> mit „If a box is empty, the user is asked if he wants to remove the item to box assignment“, also wie </w:t>
            </w:r>
            <w:r>
              <w:rPr>
                <w:b/>
                <w:sz w:val="19"/>
              </w:rPr>
              <w:t>Standard</w:t>
            </w:r>
            <w:r>
              <w:rPr>
                <w:sz w:val="19"/>
              </w:rPr>
              <w:t xml:space="preserve">. Administrator-, Benutzerhandbuch und Schulung sagen: </w:t>
            </w:r>
            <w:r>
              <w:rPr>
                <w:b/>
                <w:sz w:val="19"/>
              </w:rPr>
              <w:t>Fixiert</w:t>
            </w:r>
            <w:r>
              <w:rPr>
                <w:sz w:val="19"/>
              </w:rPr>
              <w:t xml:space="preserve"> = Zuordnung bleibt aktiv. Der Short Name ist im Handbuch umbrochen (</w:t>
            </w:r>
            <w:r>
              <w:rPr>
                <w:rFonts w:ascii="Consolas" w:hAnsi="Consolas" w:cs="Consolas" w:eastAsia="Consolas"/>
                <w:sz w:val="17"/>
              </w:rPr>
              <w:t>logimatAssign-mentMode</w:t>
            </w:r>
            <w:r>
              <w:rPr>
                <w:sz w:val="19"/>
              </w:rPr>
              <w:t xml:space="preserve">); im Telegrammbeispiel ITEM/2.json steht </w:t>
            </w:r>
            <w:r>
              <w:rPr>
                <w:rFonts w:ascii="Consolas" w:hAnsi="Consolas" w:cs="Consolas" w:eastAsia="Consolas"/>
                <w:sz w:val="17"/>
              </w:rPr>
              <w:t>logimatAssignmentMode</w:t>
            </w:r>
            <w:r>
              <w:rPr>
                <w:sz w:val="19"/>
              </w:rPr>
              <w:t>. Verhalten im System testen.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5.1.4, 5.6.1–5.6.2, 6.1.5, 6.2.4.2; Administratorhandbuch 2.7, Kap. 3.1.3.1, 3.6.3.7; Interface Manual WLS–ERP 2.7, Kap. 5.1.1.1 (Feld 6), 5.1.2.1 (Tab. 20); Consultant Training Part 1, „Create Item (4)“</w:t>
      </w:r>
    </w:p>
    <w:p>
      <w:pPr>
        <w:pStyle w:val="Heading2"/>
      </w:pPr>
      <w:r>
        <w:t>5.4 Tablar-zu-Klient und Zone</w:t>
      </w:r>
    </w:p>
    <w:p>
      <w:pPr>
        <w:pStyle w:val="ListBullet"/>
      </w:pPr>
      <w:r>
        <w:rPr>
          <w:b/>
        </w:rPr>
        <w:t>Tablar-zu-Klient-Einschränkung</w:t>
      </w:r>
      <w:r>
        <w:t xml:space="preserve"> (MD017): Sind Tablare für einen Klienten gepflegt, reserviert WAMAS Einlagerungen nur auf diesen Tablaren. Für einen Klienten ohne Pflege werden nur Tablare berücksichtigt, die keinem anderen Klienten zugeordnet sind.</w:t>
      </w:r>
    </w:p>
    <w:p>
      <w:pPr>
        <w:pStyle w:val="ListBullet"/>
      </w:pPr>
      <w:r>
        <w:rPr>
          <w:b/>
        </w:rPr>
        <w:t>Zone</w:t>
      </w:r>
      <w:r>
        <w:t xml:space="preserve"> (LM069): Gruppiert mehrere SSI LOGIMAT; alle Zugriffsöffnungen eines SSI LOGIMAT gehören zur selben Zone. Der SSI LOGIMAT wird in </w:t>
      </w:r>
      <w:r>
        <w:rPr>
          <w:b/>
        </w:rPr>
        <w:t>LM051</w:t>
      </w:r>
      <w:r>
        <w:t xml:space="preserve"> einer Zone zugeordnet. Externe Lagerplatzgruppen und Zielplatzgruppen werden immer einer Zone zugeordnet. In LM069 wählt man außerdem die Lagerbereiche (für die Homogenitätsprüfung) und auf der Registerkarte </w:t>
      </w:r>
      <w:r>
        <w:rPr>
          <w:b/>
        </w:rPr>
        <w:t>Übergabeplatz</w:t>
      </w:r>
      <w:r>
        <w:t xml:space="preserve"> je einen Übergabeplatz für Einlagerung bzw. Auslagerung.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3.1.1.1, 3.1.10–3.1.10.2, 3.1.12, 3.1.13, 3.6.1.13</w:t>
      </w:r>
    </w:p>
    <w:p>
      <w:pPr>
        <w:pStyle w:val="Heading2"/>
      </w:pPr>
      <w:r>
        <w:t>5.5 Warum Zuordnungen für die Lagerstrategie entscheidend sind</w:t>
      </w:r>
    </w:p>
    <w:p>
      <w:r>
        <w:t>Die Lagerreservierungsstrategie (Artikel → Warengruppe → Einlagerbedarfstyp) sortiert nur die Boxen, die nach den Zuordnungen überhaupt in Frage kommen. Fehlt eine Zuordnung, findet keine Strategie einen Platz.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922"/>
        <w:gridCol w:w="5603"/>
      </w:tblGrid>
      <w:tr>
        <w:trPr>
          <w:tblHeader w:val="true"/>
        </w:trPr>
        <w:tc>
          <w:tcPr>
            <w:tcW w:type="dxa" w:w="39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Strategie</w:t>
            </w:r>
          </w:p>
        </w:tc>
        <w:tc>
          <w:tcPr>
            <w:tcW w:type="dxa" w:w="56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Welche Zuordnung sie laut Handbuch berücksichtigt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TRANSPORT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STORAGE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OPERATIONS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Boxtyp-Zuordnung, Reservierungen, verfügbarer Platz, Tablarposition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ASSIGNMENT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Bevorzugt Boxen mit bestehender </w:t>
            </w:r>
            <w:r>
              <w:rPr>
                <w:b/>
                <w:sz w:val="17"/>
              </w:rPr>
              <w:t>Artikel-zu-Box</w:t>
            </w:r>
            <w:r>
              <w:rPr>
                <w:sz w:val="17"/>
              </w:rPr>
              <w:t>-Zuordnung, dazu Boxtyp-Zuordnung und Kapazität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BALANCE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LOWEST_STOCK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Boxtyp-Zuordnungen, Tablar- und Boxreservierungen; Verteilung über die SSI LOGIMAT der </w:t>
            </w:r>
            <w:r>
              <w:rPr>
                <w:b/>
                <w:sz w:val="17"/>
              </w:rPr>
              <w:t>Zone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ASSIGNMENT_EXTERN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LOWEST_STOCK_EXTERN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Lagerplatzgruppe, Reihenfolge, Verpackungsversion, begrenzte Kapazität (Lagerplatztypzuordnung)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Tablar-zu-Klient-Einschränkung, Sicherheitsgruppen, Bestandshomogenität</w:t>
            </w:r>
          </w:p>
        </w:tc>
      </w:tr>
    </w:tbl>
    <w:p>
      <w:pPr>
        <w:pStyle w:val="BeschriftungSSI"/>
      </w:pPr>
      <w:r>
        <w:t>Tab. 14: Zuordnungen in den Lagerreservierungsstrategien</w:t>
      </w:r>
    </w:p>
    <w:p>
      <w:r>
        <w:t xml:space="preserve">Praktische Folge: Wer feste Plätze will, kombiniert </w:t>
      </w:r>
      <w:r>
        <w:rPr>
          <w:rFonts w:ascii="Consolas" w:hAnsi="Consolas" w:cs="Consolas" w:eastAsia="Consolas"/>
          <w:sz w:val="18"/>
        </w:rPr>
        <w:t>ASSIGNMENT</w:t>
      </w:r>
      <w:r>
        <w:t xml:space="preserve"> mit Zuordnungsmodus </w:t>
      </w:r>
      <w:r>
        <w:rPr>
          <w:b/>
        </w:rPr>
        <w:t>Fixiert</w:t>
      </w:r>
      <w:r>
        <w:t xml:space="preserve">; wer chaotisch und platzsparend lagert, nimmt </w:t>
      </w:r>
      <w:r>
        <w:rPr>
          <w:rFonts w:ascii="Consolas" w:hAnsi="Consolas" w:cs="Consolas" w:eastAsia="Consolas"/>
          <w:sz w:val="18"/>
        </w:rPr>
        <w:t>STORAGE</w:t>
      </w:r>
      <w:r>
        <w:t xml:space="preserve"> oder </w:t>
      </w:r>
      <w:r>
        <w:rPr>
          <w:rFonts w:ascii="Consolas" w:hAnsi="Consolas" w:cs="Consolas" w:eastAsia="Consolas"/>
          <w:sz w:val="18"/>
        </w:rPr>
        <w:t>OPERATIONS</w:t>
      </w:r>
      <w:r>
        <w:t xml:space="preserve"> mit </w:t>
      </w:r>
      <w:r>
        <w:rPr>
          <w:b/>
        </w:rPr>
        <w:t>Float</w:t>
      </w:r>
      <w:r>
        <w:t>. Diese Kombination ist eine Empfehlung aus der Logik der Handbuchtexte, keine Herstellervorgabe.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3.1.16, 3.6.1.13, 3.6.3.7; How-to „Einlager-, Auslager- und Kommissionierstrategien“ v1.0, Kap. 3–5</w:t>
      </w:r>
    </w:p>
    <w:p>
      <w:pPr>
        <w:pStyle w:val="Heading1"/>
      </w:pPr>
      <w:r>
        <w:t>6 Zielplätze</w:t>
      </w:r>
    </w:p>
    <w:p>
      <w:pPr>
        <w:pStyle w:val="Heading2"/>
      </w:pPr>
      <w:r>
        <w:t>6.1 Was ist ein Zielplatz?</w:t>
      </w:r>
    </w:p>
    <w:p>
      <w:r>
        <w:t xml:space="preserve">Zielplätze sind laut Administratorhandbuch Lagerplätze </w:t>
      </w:r>
      <w:r>
        <w:rPr>
          <w:b/>
        </w:rPr>
        <w:t>außerhalb</w:t>
      </w:r>
      <w:r>
        <w:t xml:space="preserve"> eines SSI LOGIMAT, z. B. auf einem Fachboden oder eine größere Gruppierung von Lagerplätzen; sie werden z. B. bei </w:t>
      </w:r>
      <w:r>
        <w:rPr>
          <w:b/>
        </w:rPr>
        <w:t>Put to Light</w:t>
      </w:r>
      <w:r>
        <w:t xml:space="preserve"> verwendet. Auf einem Zielplatz steht eine LE, typischerweise die Ziel-LE (Versand-LE) eines Kommissionierbedarfs. Ein </w:t>
      </w:r>
      <w:r>
        <w:rPr>
          <w:b/>
        </w:rPr>
        <w:t>Kommissionierwagen</w:t>
      </w:r>
      <w:r>
        <w:t xml:space="preserve"> ist ebenfalls eine Zielplatzgruppe mit mehreren Ziel-LE.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25"/>
        <w:gridCol w:w="4396"/>
        <w:gridCol w:w="4103"/>
      </w:tblGrid>
      <w:tr>
        <w:trPr>
          <w:tblHeader w:val="true"/>
        </w:trPr>
        <w:tc>
          <w:tcPr>
            <w:tcW w:type="dxa" w:w="10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Zielplatz</w:t>
            </w:r>
          </w:p>
        </w:tc>
        <w:tc>
          <w:tcPr>
            <w:tcW w:type="dxa" w:w="41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Externer Lagerplatz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Zweck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Ablage von Ziel-LE bei der Kommissionierung (PTL, Kommissionierwagen)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Bestandsplatz für externe Artikel (z. B. Fachbodenregal)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Pflege Desktop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LM065 / LM064 (Gruppe), LM088 (Platz)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LM125 / LM126 (Gruppe), LM124 / LM127 (Platz)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Pflege Touch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LM044, LM106, LM046, LM107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Bezug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Zone + </w:t>
            </w:r>
            <w:r>
              <w:rPr>
                <w:b/>
                <w:sz w:val="17"/>
              </w:rPr>
              <w:t>Zugriffsöffnung(en)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Zone + Lagerfachträgertyp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Reihenfolge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Einlagerungsreihenfolge von Zielplatz</w:t>
            </w:r>
            <w:r>
              <w:rPr>
                <w:sz w:val="17"/>
              </w:rPr>
              <w:t xml:space="preserve"> (automatische Zielplatzauswahl)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Lager- und Kommissionierreihenfolge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Kapazität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Uneingeschränkte Kapazität</w:t>
            </w:r>
            <w:r>
              <w:rPr>
                <w:sz w:val="17"/>
              </w:rPr>
              <w:t xml:space="preserve"> oder Abmessungen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Lagerplatztypzuordnung LM132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Bearbeitung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 (externe Artikel nicht am Touch-Client)</w:t>
            </w:r>
          </w:p>
        </w:tc>
      </w:tr>
    </w:tbl>
    <w:p>
      <w:pPr>
        <w:pStyle w:val="BeschriftungSSI"/>
      </w:pPr>
      <w:r>
        <w:t>Tab. 15: Zielplatz und externer Lagerplatz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Begriffe vermischt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Administratorhandbuch verwendet im Kapitel Zielplatzgruppen die Wörter „externe Lagerplatzgruppe“, und der Touch-Dialog zum Buchen einer LE auf einen Zielplatz heißt </w:t>
            </w:r>
            <w:r>
              <w:rPr>
                <w:b/>
                <w:sz w:val="19"/>
              </w:rPr>
              <w:t>LM107 LE auf externem Lagerplatz verwalten</w:t>
            </w:r>
            <w:r>
              <w:rPr>
                <w:sz w:val="19"/>
              </w:rPr>
              <w:t xml:space="preserve">. Auch der Parameter </w:t>
            </w:r>
            <w:r>
              <w:rPr>
                <w:rFonts w:ascii="Consolas" w:hAnsi="Consolas" w:cs="Consolas" w:eastAsia="Consolas"/>
                <w:sz w:val="17"/>
              </w:rPr>
              <w:t>logimat.picking.askBookLuOnExternalLocation</w:t>
            </w:r>
            <w:r>
              <w:rPr>
                <w:sz w:val="19"/>
              </w:rPr>
              <w:t xml:space="preserve"> spricht von „externem Lagerplatz“, betrifft aber die Buchung der Ziel-LE.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3.1.11–3.1.17, 3.6.3.7, 3.11.2; Benutzerhandbuch 2.7, Kap. 5.4, 5.5</w:t>
      </w:r>
    </w:p>
    <w:p>
      <w:pPr>
        <w:pStyle w:val="Heading2"/>
      </w:pPr>
      <w:r>
        <w:t>6.2 Zielplätze einrichten</w:t>
      </w:r>
    </w:p>
    <w:p>
      <w:r>
        <w:rPr>
          <w:b/>
        </w:rPr>
        <w:t>Desktop: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LM065 Übersicht Zielplatzgruppen</w:t>
      </w:r>
      <w:r>
        <w:t xml:space="preserve"> → Kontextmenü </w:t>
      </w:r>
      <w:r>
        <w:rPr>
          <w:b/>
        </w:rPr>
        <w:t>Gruppe generieren</w:t>
      </w:r>
      <w:r>
        <w:t xml:space="preserve"> → </w:t>
      </w:r>
      <w:r>
        <w:rPr>
          <w:b/>
        </w:rPr>
        <w:t>LM064 Zielplatz-Generator</w:t>
      </w:r>
      <w:r>
        <w:t xml:space="preserve">: </w:t>
      </w:r>
      <w:r>
        <w:rPr>
          <w:rFonts w:ascii="Consolas" w:hAnsi="Consolas" w:cs="Consolas" w:eastAsia="Consolas"/>
          <w:sz w:val="18"/>
        </w:rPr>
        <w:t>WAMAS Lift &amp; Store-Zone</w:t>
      </w:r>
      <w:r>
        <w:t xml:space="preserve">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, Länge/Breite/Höhe, ggf. </w:t>
      </w:r>
      <w:r>
        <w:rPr>
          <w:b/>
        </w:rPr>
        <w:t>Uneingeschränkte Kapazität</w:t>
      </w:r>
      <w:r>
        <w:t xml:space="preserve"> → </w:t>
      </w:r>
      <w:r>
        <w:rPr>
          <w:b/>
        </w:rPr>
        <w:t>Zielplätze generieren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LM065 Kontextmenü </w:t>
      </w:r>
      <w:r>
        <w:rPr>
          <w:b/>
        </w:rPr>
        <w:t>Zugriffsöffnung zuordnen</w:t>
      </w:r>
      <w:r>
        <w:t xml:space="preserve"> → </w:t>
      </w:r>
      <w:r>
        <w:rPr>
          <w:b/>
        </w:rPr>
        <w:t>FW005</w:t>
      </w:r>
      <w:r>
        <w:t xml:space="preserve"> → Zugriffsöffnung(en) → </w:t>
      </w:r>
      <w:r>
        <w:rPr>
          <w:b/>
        </w:rPr>
        <w:t>Auswählen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Einzelplatz in </w:t>
      </w:r>
      <w:r>
        <w:rPr>
          <w:b/>
        </w:rPr>
        <w:t>LM088 Zielplatz pflegen</w:t>
      </w:r>
      <w:r>
        <w:t xml:space="preserve">, Registerkarte </w:t>
      </w:r>
      <w:r>
        <w:rPr>
          <w:b/>
        </w:rPr>
        <w:t>Zielplatz</w:t>
      </w:r>
      <w:r>
        <w:t xml:space="preserve">: </w:t>
      </w:r>
      <w:r>
        <w:rPr>
          <w:rFonts w:ascii="Consolas" w:hAnsi="Consolas" w:cs="Consolas" w:eastAsia="Consolas"/>
          <w:sz w:val="18"/>
        </w:rPr>
        <w:t>Einlagerungsreihenfolge von Zielplatz</w:t>
      </w:r>
      <w:r>
        <w:t xml:space="preserve"> (ohne Nummer = zuletzt), </w:t>
      </w:r>
      <w:r>
        <w:rPr>
          <w:b/>
        </w:rPr>
        <w:t>Uneingeschränkte Kapazität</w:t>
      </w:r>
      <w:r>
        <w:t xml:space="preserve">, </w:t>
      </w:r>
      <w:r>
        <w:rPr>
          <w:rFonts w:ascii="Consolas" w:hAnsi="Consolas" w:cs="Consolas" w:eastAsia="Consolas"/>
          <w:sz w:val="18"/>
        </w:rPr>
        <w:t>Zielplatzkennung</w:t>
      </w:r>
      <w:r>
        <w:t xml:space="preserve">, Abmessung. Der Bereich </w:t>
      </w:r>
      <w:r>
        <w:rPr>
          <w:b/>
        </w:rPr>
        <w:t>Ladeeinheit</w:t>
      </w:r>
      <w:r>
        <w:t xml:space="preserve"> zeigt die gebuchte LE.</w:t>
      </w:r>
    </w:p>
    <w:p>
      <w:r>
        <w:rPr>
          <w:b/>
        </w:rPr>
        <w:t>Touch-Client (Tools → LM044 Zielplätze):</w:t>
      </w:r>
      <w:r>
        <w:t xml:space="preserve"> </w:t>
      </w:r>
      <w:r>
        <w:rPr>
          <w:b/>
        </w:rPr>
        <w:t>Generieren</w:t>
      </w:r>
      <w:r>
        <w:t xml:space="preserve"> (LM106, Plätze gehören zur aktiven Zugriffsöffnung), </w:t>
      </w:r>
      <w:r>
        <w:rPr>
          <w:b/>
        </w:rPr>
        <w:t>Platzgruppe zuordnen</w:t>
      </w:r>
      <w:r>
        <w:t xml:space="preserve"> (LM046), </w:t>
      </w:r>
      <w:r>
        <w:rPr>
          <w:b/>
        </w:rPr>
        <w:t>Lagerplatzkennung zuordnen</w:t>
      </w:r>
      <w:r>
        <w:t xml:space="preserve"> (LM107 mit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), </w:t>
      </w:r>
      <w:r>
        <w:rPr>
          <w:b/>
        </w:rPr>
        <w:t>LE buchen</w:t>
      </w:r>
      <w:r>
        <w:t xml:space="preserve"> (LM107, Feld </w:t>
      </w:r>
      <w:r>
        <w:rPr>
          <w:rFonts w:ascii="Consolas" w:hAnsi="Consolas" w:cs="Consolas" w:eastAsia="Consolas"/>
          <w:sz w:val="18"/>
        </w:rPr>
        <w:t>LE-ID</w:t>
      </w:r>
      <w:r>
        <w:t xml:space="preserve">), </w:t>
      </w:r>
      <w:r>
        <w:rPr>
          <w:b/>
        </w:rPr>
        <w:t>Drucken</w:t>
      </w:r>
      <w:r>
        <w:t xml:space="preserve"> (Lagerplatzetikett), </w:t>
      </w:r>
      <w:r>
        <w:rPr>
          <w:b/>
        </w:rPr>
        <w:t>Alle entfernen</w:t>
      </w:r>
      <w:r>
        <w:t xml:space="preserve">. </w:t>
      </w:r>
      <w:r>
        <w:rPr>
          <w:b/>
        </w:rPr>
        <w:t>Kommissionierwagen (Desktop):</w:t>
      </w:r>
      <w:r>
        <w:t xml:space="preserve"> LM065 → </w:t>
      </w:r>
      <w:r>
        <w:rPr>
          <w:b/>
        </w:rPr>
        <w:t>Kommissionierwagen anlegen</w:t>
      </w:r>
      <w:r>
        <w:t xml:space="preserve"> → </w:t>
      </w:r>
      <w:r>
        <w:rPr>
          <w:b/>
        </w:rPr>
        <w:t>LM152</w:t>
      </w:r>
      <w:r>
        <w:t xml:space="preserve">: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,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 (WH025),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, </w:t>
      </w:r>
      <w:r>
        <w:rPr>
          <w:rFonts w:ascii="Consolas" w:hAnsi="Consolas" w:cs="Consolas" w:eastAsia="Consolas"/>
          <w:sz w:val="18"/>
        </w:rPr>
        <w:t>LP-Tiefe (X)</w:t>
      </w:r>
      <w:r>
        <w:t xml:space="preserve">, </w:t>
      </w:r>
      <w:r>
        <w:rPr>
          <w:rFonts w:ascii="Consolas" w:hAnsi="Consolas" w:cs="Consolas" w:eastAsia="Consolas"/>
          <w:sz w:val="18"/>
        </w:rPr>
        <w:t>LP-Breite (Y)</w:t>
      </w:r>
      <w:r>
        <w:t xml:space="preserve">, </w:t>
      </w:r>
      <w:r>
        <w:rPr>
          <w:rFonts w:ascii="Consolas" w:hAnsi="Consolas" w:cs="Consolas" w:eastAsia="Consolas"/>
          <w:sz w:val="18"/>
        </w:rPr>
        <w:t>LP-Höhe (Z)</w:t>
      </w:r>
      <w:r>
        <w:t xml:space="preserve">. Am Touch-Client: LM040 › </w:t>
      </w:r>
      <w:r>
        <w:rPr>
          <w:b/>
        </w:rPr>
        <w:t>Übersicht Kommissionierwägen</w:t>
      </w:r>
      <w:r>
        <w:t xml:space="preserve"> (LM151, LM153, LM154).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3.1.11–3.1.12, 3.1.17; Benutzerhandbuch 2.7, Kap. 5.4–5.5</w:t>
      </w:r>
    </w:p>
    <w:p>
      <w:pPr>
        <w:pStyle w:val="Heading2"/>
      </w:pPr>
      <w:r>
        <w:t>6.3 Zielplätze in Kommissionierung, Konsolidierung und Versand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81"/>
        <w:gridCol w:w="2761"/>
        <w:gridCol w:w="3381"/>
      </w:tblGrid>
      <w:tr>
        <w:trPr>
          <w:tblHeader w:val="true"/>
        </w:trPr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  <w:tc>
          <w:tcPr>
            <w:tcW w:type="dxa" w:w="2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</w:t>
            </w:r>
          </w:p>
        </w:tc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 laut Handbuch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 automatisch auswählen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werden automatisch gewählt, wenn der Bedarf manuell aktiviert wird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Bedarfsaktivierung durch freien, externen Lagerplatz begrenzen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Aktivierung nur, soweit Plätze frei sind (Schulung: aktive Bedarfe ≤ Zielplätze)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Batchkommissionierung Put to Light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PTL deaktivieren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Mehrere Bedarfe gleichzeitig per PTL bzw. ohne PTL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Mit Kommissionierwagen verwendet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Bedarfstyp für Kommissionierwägen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Bevorzugtes Ladehilfsmittel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Bevorzugte Kubatur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Vorgabe für die Ziel-LE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logimat.picking.askBookLuOnExternalLocation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Die LE wird beim Scannen der Ziel-LE auf den Platz gebucht, der Benutzer bringt die Artikel dorthin;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keine Buchung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logimat.picking.externalloc.reserve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Plätze, die für kleine Aufträge reserviert sind (Schulung: für Express-Bedarfe)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logimat.picking.cart.full.reserve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Kommissionierwagenplätze, die für volle Kommissionier-Plan-LE reserviert sind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logimat.picking.ptl.concurrentOperations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Gleichzeitigkeit bei PTL: </w:t>
            </w:r>
            <w:r>
              <w:rPr>
                <w:rFonts w:ascii="Consolas" w:hAnsi="Consolas" w:cs="Consolas" w:eastAsia="Consolas"/>
                <w:sz w:val="15"/>
              </w:rPr>
              <w:t>ONE_PER_GROUP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ONE_PER_LOCATION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logimat.logimatExt.timeout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Dauer der Reservierungen auf LE, die auf externe Plätze gebucht sind</w:t>
            </w:r>
          </w:p>
        </w:tc>
      </w:tr>
    </w:tbl>
    <w:p>
      <w:pPr>
        <w:pStyle w:val="BeschriftungSSI"/>
      </w:pPr>
      <w:r>
        <w:t>Tab. 16: Einstellungen für Zielplätze</w:t>
      </w:r>
    </w:p>
    <w:p>
      <w:r>
        <w:rPr>
          <w:b/>
        </w:rPr>
        <w:t>Kommissionier-Plan-LE:</w:t>
      </w:r>
      <w:r>
        <w:t xml:space="preserve"> Beim Anlegen eines Kommissionierbedarfs am Desktop wird eine Kommissionier-Plan-LE in </w:t>
      </w:r>
      <w:r>
        <w:rPr>
          <w:b/>
        </w:rPr>
        <w:t>LM074 Übersicht Kommissionier-Plan-Ladeeinheiten</w:t>
      </w:r>
      <w:r>
        <w:t xml:space="preserve"> angelegt. Nicht ganzzahlige Mengeneinheiten werden bei der WA-Planung nicht geteilt; passen sie nicht als Ganzes auf eine Plan-LE, wird eine neue Plan-LE vorgesehen. </w:t>
      </w:r>
      <w:r>
        <w:rPr>
          <w:b/>
        </w:rPr>
        <w:t>Kommissionierwagen abschließen</w:t>
      </w:r>
      <w:r>
        <w:t xml:space="preserve"> schließt alle Kommissionier-Plan-LE auf dem Wagen ab (BH 2.7). </w:t>
      </w:r>
      <w:r>
        <w:rPr>
          <w:b/>
        </w:rPr>
        <w:t>Konsolidierung:</w:t>
      </w:r>
      <w:r>
        <w:t xml:space="preserve"> Am Systempartner WAMAS als WMS zu WCS fasst </w:t>
      </w:r>
      <w:r>
        <w:rPr>
          <w:b/>
        </w:rPr>
        <w:t>Kommissionier-Plan-Ladeeinheiten konsolidieren</w:t>
      </w:r>
      <w:r>
        <w:t xml:space="preserve"> Plan-LE mit gleichem Ladehilfsmittel, gleicher Auslieferung, gleichem Kommissionierbereich und gleicher Kommissioniergruppe nach der Freigabe zu einem Kommissionierauftrag zusammen. </w:t>
      </w:r>
      <w:r>
        <w:rPr>
          <w:b/>
        </w:rPr>
        <w:t>Quittierung:</w:t>
      </w:r>
      <w:r>
        <w:t xml:space="preserve"> Kommissionierquittierungsmodus </w:t>
      </w:r>
      <w:r>
        <w:rPr>
          <w:b/>
        </w:rPr>
        <w:t>Wenn Ziel voll</w:t>
      </w:r>
      <w:r>
        <w:t xml:space="preserve"> sendet eine Quittierung, wenn ein Kommissioniervorgang fertiggestellt und die Ziel-LE vom Benutzer als voll gekennzeichnet wurde. Für Plan-LE gibt es die Registerkarte </w:t>
      </w:r>
      <w:r>
        <w:rPr>
          <w:b/>
        </w:rPr>
        <w:t>Quittierung Kommissionier-Plan-LE</w:t>
      </w:r>
      <w:r>
        <w:t xml:space="preserve">, für WAMAS als WMS zu ERP die Registerkarte </w:t>
      </w:r>
      <w:r>
        <w:rPr>
          <w:b/>
        </w:rPr>
        <w:t>Versand-LE-Quittierung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Neu in 2.8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Mehrauftragskommissionierung oder Put to Light muss der Benutzer bei manueller Freigabe die </w:t>
            </w:r>
            <w:r>
              <w:rPr>
                <w:b/>
                <w:sz w:val="19"/>
              </w:rPr>
              <w:t>externe LE-ID</w:t>
            </w:r>
            <w:r>
              <w:rPr>
                <w:sz w:val="19"/>
              </w:rPr>
              <w:t xml:space="preserve"> und den </w:t>
            </w:r>
            <w:r>
              <w:rPr>
                <w:b/>
                <w:sz w:val="19"/>
              </w:rPr>
              <w:t>Zielplatz</w:t>
            </w:r>
            <w:r>
              <w:rPr>
                <w:sz w:val="19"/>
              </w:rPr>
              <w:t xml:space="preserve"> scannen oder eingeben (</w:t>
            </w:r>
            <w:r>
              <w:rPr>
                <w:b/>
                <w:sz w:val="19"/>
              </w:rPr>
              <w:t>LM164 Release Picking Demand</w:t>
            </w:r>
            <w:r>
              <w:rPr>
                <w:sz w:val="19"/>
              </w:rPr>
              <w:t xml:space="preserve">). Die externe LE-ID lässt sich nach der Freigabe ändern: Touch </w:t>
            </w:r>
            <w:r>
              <w:rPr>
                <w:b/>
                <w:sz w:val="19"/>
              </w:rPr>
              <w:t>LM045</w:t>
            </w:r>
            <w:r>
              <w:rPr>
                <w:sz w:val="19"/>
              </w:rPr>
              <w:t xml:space="preserve"> → </w:t>
            </w:r>
            <w:r>
              <w:rPr>
                <w:b/>
                <w:sz w:val="19"/>
              </w:rPr>
              <w:t>Edit External LU-ID</w:t>
            </w:r>
            <w:r>
              <w:rPr>
                <w:sz w:val="19"/>
              </w:rPr>
              <w:t xml:space="preserve"> (</w:t>
            </w:r>
            <w:r>
              <w:rPr>
                <w:b/>
                <w:sz w:val="19"/>
              </w:rPr>
              <w:t>LM108</w:t>
            </w:r>
            <w:r>
              <w:rPr>
                <w:sz w:val="19"/>
              </w:rPr>
              <w:t xml:space="preserve">), Desktop </w:t>
            </w:r>
            <w:r>
              <w:rPr>
                <w:b/>
                <w:sz w:val="19"/>
              </w:rPr>
              <w:t>LM071</w:t>
            </w:r>
            <w:r>
              <w:rPr>
                <w:sz w:val="19"/>
              </w:rPr>
              <w:t xml:space="preserve"> → </w:t>
            </w:r>
            <w:r>
              <w:rPr>
                <w:b/>
                <w:sz w:val="19"/>
              </w:rPr>
              <w:t>LM165</w:t>
            </w:r>
            <w:r>
              <w:rPr>
                <w:sz w:val="19"/>
              </w:rPr>
              <w:t xml:space="preserve">. Dazu passt das neue Schnittstellenfeld 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Versand</w:t>
            </w:r>
          </w:p>
          <w:p>
            <w:pPr>
              <w:spacing w:after="40"/>
            </w:pPr>
            <w:r>
              <w:rPr>
                <w:sz w:val="19"/>
              </w:rPr>
              <w:t xml:space="preserve">Wie die Ziel-LE vom Zielplatz in den Versand übergeht (z. B. Buchung auf einen Versandplatz wie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 xml:space="preserve"> im Telegrammbeispiel, Zusammenspiel mit dem Übergabeplatz </w:t>
            </w:r>
            <w:r>
              <w:rPr>
                <w:b/>
                <w:sz w:val="19"/>
              </w:rPr>
              <w:t>Auslagerung</w:t>
            </w:r>
            <w:r>
              <w:rPr>
                <w:sz w:val="19"/>
              </w:rPr>
              <w:t xml:space="preserve"> in LM069 und der Versand-LE-Quittierung) ist in 2.7 nicht als Prozess beschrieben.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3.1.10.2, 3.5.1.6.1, 3.5.1.6.6, 3.5.2.8, 3.5.3.1, 3.6.1.6, 3.6.1.10, 3.11.2; Benutzerhandbuch 2.7, Kap. 5.5.6, 6.2.2.1; User Manual 2.8, Kap. 6.2.2.2.2, 6.2.5.3; Consultant Training Part 1, „Client Configuration (2) – Picking demand“</w:t>
      </w:r>
    </w:p>
    <w:p>
      <w:pPr>
        <w:pStyle w:val="Heading1"/>
      </w:pPr>
      <w:r>
        <w:t>7 End-to-End-Prozess</w:t>
      </w:r>
    </w:p>
    <w:p>
      <w:pPr>
        <w:pStyle w:val="Heading2"/>
      </w:pPr>
      <w:r>
        <w:t>7.1 Vorbereitung (einmalig)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Zonen, SSI LOGIMAT und Boxtypen per Konfigurationsdatei importieren (LM061) bzw. per SPS-Telegramm übertragen 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Kubaturen prüfen (MD031: Maße, </w:t>
      </w:r>
      <w:r>
        <w:rPr>
          <w:rFonts w:ascii="Consolas" w:hAnsi="Consolas" w:cs="Consolas" w:eastAsia="Consolas"/>
          <w:sz w:val="18"/>
        </w:rPr>
        <w:t>Füllgrad [%]</w:t>
      </w:r>
      <w:r>
        <w:t>), Lagerfachträgertypen für externe Plätze und Kommissionierwagen pflegen (WH025).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Tablarlayouts bzw. Tablarvorlagen anlegen (LM014/LM004), ggf. Boxen mit Trennwänden.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Artikel mit Verpackungsversion, Maßen und Gewicht pflegen bzw. per </w:t>
      </w:r>
      <w:r>
        <w:rPr>
          <w:rFonts w:ascii="Consolas" w:hAnsi="Consolas" w:cs="Consolas" w:eastAsia="Consolas"/>
          <w:sz w:val="18"/>
        </w:rPr>
        <w:t>WLSITEM001</w:t>
      </w:r>
      <w:r>
        <w:t>/</w:t>
      </w:r>
      <w:r>
        <w:rPr>
          <w:rFonts w:ascii="Consolas" w:hAnsi="Consolas" w:cs="Consolas" w:eastAsia="Consolas"/>
          <w:sz w:val="18"/>
        </w:rPr>
        <w:t>WLSQTYUNIT001</w:t>
      </w:r>
      <w:r>
        <w:t xml:space="preserve"> übertragen; Zuordnungsmodus festlegen.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Artikel-zu-Boxtyp-Zuordnungen anlegen (LM084, LM144 oder </w:t>
      </w:r>
      <w:r>
        <w:rPr>
          <w:rFonts w:ascii="Consolas" w:hAnsi="Consolas" w:cs="Consolas" w:eastAsia="Consolas"/>
          <w:sz w:val="18"/>
        </w:rPr>
        <w:t>WLSITEMCUBATURE001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Klient: Tablar-zu-Klient-Einschränkung, Einlager- und Kommissionierbedarfstypen (Strategie, Zielplatzoptionen, bevorzugte Kubatur).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Zielplatzgruppen generieren und Zugriffsöffnungen zuordnen (LM065) oder am Touch-Client anlegen (LM044); Nummernkreise für LE-IDs prüfen (MD027).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3.1, 3.1.5–3.1.12, 3.4.2, 3.6.1, 3.6.3, 3.6.8, 3.6.9</w:t>
      </w:r>
    </w:p>
    <w:p>
      <w:pPr>
        <w:pStyle w:val="Heading2"/>
      </w:pPr>
      <w:r>
        <w:t>7.2 Ablauf mit den vier Begriffen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30"/>
        <w:gridCol w:w="1930"/>
        <w:gridCol w:w="1802"/>
        <w:gridCol w:w="1930"/>
        <w:gridCol w:w="1930"/>
      </w:tblGrid>
      <w:tr>
        <w:trPr>
          <w:tblHeader w:val="true"/>
        </w:trPr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passiert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</w:t>
            </w:r>
          </w:p>
        </w:tc>
        <w:tc>
          <w:tcPr>
            <w:tcW w:type="dxa" w:w="18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Kubatur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Zielplatz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Wareneingang:</w:t>
            </w:r>
            <w:r>
              <w:rPr>
                <w:sz w:val="17"/>
              </w:rPr>
              <w:t xml:space="preserve"> Einlagerbedarf kommt per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 (mit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>) oder wird in LM081/LM087 angelegt und freigegeben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Noch keine Ziel-LE; in 2.8 optional </w:t>
            </w:r>
            <w:r>
              <w:rPr>
                <w:rFonts w:ascii="Consolas" w:hAnsi="Consolas" w:cs="Consolas" w:eastAsia="Consolas"/>
                <w:sz w:val="15"/>
              </w:rPr>
              <w:t>extLuId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enableCapacityCheck</w:t>
            </w:r>
            <w:r>
              <w:rPr>
                <w:sz w:val="17"/>
              </w:rPr>
              <w:t xml:space="preserve"> prüft die Kapazität bei Freigabe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 muss existieren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Einlagerung:</w:t>
            </w:r>
            <w:r>
              <w:rPr>
                <w:sz w:val="17"/>
              </w:rPr>
              <w:t xml:space="preserve"> Lagerreservierung wählt Box; Tablar kommt an die Zugriffsöffnung; Benutzer lagert in LM002 ein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Ziel-Box (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>) auf Tablar (</w:t>
            </w: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>)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# BME (max.)</w:t>
            </w:r>
            <w:r>
              <w:rPr>
                <w:sz w:val="17"/>
              </w:rPr>
              <w:t>, Füllgrad, Tragfähigkeit, Überlastprüfung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 (ggf. neu über LM012), Strategie, Tablar-zu-Klient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Externe Artikel stattdessen per Mobilterminal auf externe Lagerplätze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Kommissionierung:</w:t>
            </w:r>
            <w:r>
              <w:rPr>
                <w:sz w:val="17"/>
              </w:rPr>
              <w:t xml:space="preserve"> Kommissionierbedarf (</w:t>
            </w:r>
            <w:r>
              <w:rPr>
                <w:rFonts w:ascii="Consolas" w:hAnsi="Consolas" w:cs="Consolas" w:eastAsia="Consolas"/>
                <w:sz w:val="15"/>
              </w:rPr>
              <w:t>WLSPD002</w:t>
            </w:r>
            <w:r>
              <w:rPr>
                <w:sz w:val="17"/>
              </w:rPr>
              <w:t>) wird freigegeben, Plan-LE entsteht (LM074), Bedarf aktiviert, Box reserviert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Quell-Box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  <w:r>
              <w:rPr>
                <w:sz w:val="17"/>
              </w:rPr>
              <w:t>; Ziel-LE = externe LE (ID generiert oder wiederverwendet)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Bevorzugtes Ladehilfsmittel / Kubatur der Ziel-LE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Box leer → Zuordnungsmodus (Standard fragt, Fixiert behält, Float entfernt)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Zielplatz automatisch oder per Scan; PTL/Kommissionierwagen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 / Versand:</w:t>
            </w:r>
            <w:r>
              <w:rPr>
                <w:sz w:val="17"/>
              </w:rPr>
              <w:t xml:space="preserve"> Ziel-LE wird auf Zielplatz gebucht, als voll markiert oder zurückgelagert; Quittierung an ERP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destStoLoc</w:t>
            </w:r>
            <w:r>
              <w:rPr>
                <w:sz w:val="17"/>
              </w:rPr>
              <w:t xml:space="preserve"> in </w:t>
            </w:r>
            <w:r>
              <w:rPr>
                <w:rFonts w:ascii="Consolas" w:hAnsi="Consolas" w:cs="Consolas" w:eastAsia="Consolas"/>
                <w:sz w:val="15"/>
              </w:rPr>
              <w:t>WLSPDLACTIVITYACK001</w:t>
            </w:r>
            <w:r>
              <w:rPr>
                <w:sz w:val="17"/>
              </w:rPr>
              <w:t>; LM045 Etikett / Rücklagerung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Boxtyp für Rücklagerung (LM109)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LM044/LM107; Quittierung </w:t>
            </w:r>
            <w:r>
              <w:rPr>
                <w:b/>
                <w:sz w:val="17"/>
              </w:rPr>
              <w:t>Wenn Ziel voll</w:t>
            </w:r>
          </w:p>
        </w:tc>
      </w:tr>
    </w:tbl>
    <w:p>
      <w:pPr>
        <w:pStyle w:val="BeschriftungSSI"/>
      </w:pPr>
      <w:r>
        <w:t>Tab. 17: End-to-End-Ablauf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6.1.4, 6.1.5, 6.2.1, 6.2.2, 6.2.4.2, 6.7.1; Administratorhandbuch 2.7, Kap. 3.5.1.6.1, 3.6.1.10, 3.11.2; Interface Manual WLS–ERP 2.7, Kap. 6.1, 6.2.2.3, 7.1, 7.2.2.4</w:t>
      </w:r>
    </w:p>
    <w:p>
      <w:pPr>
        <w:pStyle w:val="Heading2"/>
      </w:pPr>
      <w:r>
        <w:t>7.3 Was an der Zugriffsöffnung zu sehen ist</w:t>
      </w:r>
    </w:p>
    <w:p>
      <w:pPr>
        <w:pStyle w:val="ListBullet"/>
      </w:pPr>
      <w:r>
        <w:rPr>
          <w:b/>
        </w:rPr>
        <w:t>Einlagerung:</w:t>
      </w:r>
      <w:r>
        <w:t xml:space="preserve"> Im Tablarlayout ist die reservierte Box markiert. Füllgrad, Tablargewicht und Boxfarbe aktualisieren sich bei der Mengeneingabe. Ist zu wenig Platz in der Box, erscheint eine Fehlermeldung und </w:t>
      </w:r>
      <w:r>
        <w:rPr>
          <w:b/>
        </w:rPr>
        <w:t>OK</w:t>
      </w:r>
      <w:r>
        <w:t xml:space="preserve"> ist deaktiviert; ist die Box für andere Ware reserviert, zeigt WAMAS die verbleibende Kapazität.</w:t>
      </w:r>
    </w:p>
    <w:p>
      <w:pPr>
        <w:pStyle w:val="ListBullet"/>
      </w:pPr>
      <w:r>
        <w:rPr>
          <w:b/>
        </w:rPr>
        <w:t>Kommissionierung:</w:t>
      </w:r>
      <w:r>
        <w:t xml:space="preserve"> Wird die Box vollständig geleert, öffnet sich </w:t>
      </w:r>
      <w:r>
        <w:rPr>
          <w:b/>
        </w:rPr>
        <w:t>Leere Box bestätigen</w:t>
      </w:r>
      <w:r>
        <w:t xml:space="preserve">; bei Zuordnungsmodus </w:t>
      </w:r>
      <w:r>
        <w:rPr>
          <w:b/>
        </w:rPr>
        <w:t>Standard</w:t>
      </w:r>
      <w:r>
        <w:t xml:space="preserve"> fragt der Dialog </w:t>
      </w:r>
      <w:r>
        <w:rPr>
          <w:b/>
        </w:rPr>
        <w:t>Tablarvorgänge</w:t>
      </w:r>
      <w:r>
        <w:t xml:space="preserve">, ob die Artikel-zu-Box-Zuordnung entfernt wird. Mit </w:t>
      </w:r>
      <w:r>
        <w:rPr>
          <w:rFonts w:ascii="Consolas" w:hAnsi="Consolas" w:cs="Consolas" w:eastAsia="Consolas"/>
          <w:sz w:val="18"/>
        </w:rPr>
        <w:t>Leere Box nach Kommissionierung entfernen</w:t>
      </w:r>
      <w:r>
        <w:t xml:space="preserve"> am Kommissionierbedarfstyp werden geleerte Boxen aus dem SSI LOGIMAT entfernt.</w:t>
      </w:r>
    </w:p>
    <w:p>
      <w:pPr>
        <w:pStyle w:val="ListBullet"/>
      </w:pPr>
      <w:r>
        <w:rPr>
          <w:b/>
        </w:rPr>
        <w:t>Aktivierung per LE-ID:</w:t>
      </w:r>
      <w:r>
        <w:t xml:space="preserve"> Ein Kommissionierbedarf kann am Touch-Client auch durch Scannen der LE-ID aktiviert werden.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6.1.4, 6.2.2.3.1, 6.2.4.2; Administratorhandbuch 2.7, Kap. 3.6.1.10</w:t>
      </w:r>
    </w:p>
    <w:p>
      <w:pPr>
        <w:pStyle w:val="Heading1"/>
      </w:pPr>
      <w:r>
        <w:t>8 Glossar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86"/>
        <w:gridCol w:w="2667"/>
        <w:gridCol w:w="4572"/>
      </w:tblGrid>
      <w:tr>
        <w:trPr>
          <w:tblHeader w:val="true"/>
        </w:trPr>
        <w:tc>
          <w:tcPr>
            <w:tcW w:type="dxa" w:w="22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 (deutsch)</w:t>
            </w:r>
          </w:p>
        </w:tc>
        <w:tc>
          <w:tcPr>
            <w:tcW w:type="dxa" w:w="2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Englisch (2.8 / Schnittstelle)</w:t>
            </w:r>
          </w:p>
        </w:tc>
        <w:tc>
          <w:tcPr>
            <w:tcW w:type="dxa" w:w="4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Ladeeinheit (LE)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unit (LU), </w:t>
            </w: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Konkrete Einheit mit LE-ID (Tablar, Box, Ziel-LE)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Basis-LE / Huckepack-LE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Base LU / Piggyback LU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Tablar bzw. Box auf dem Tablar (Schulung)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aid,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Typ der LE; für Boxen = Boxtyp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Boxtyp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Box type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 + Kubatur einer Box (LM058)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Ladeeinheitenkubatur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unit cubature,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Maße, Volumen, Füllgrad einer LE (MD031)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Füllgrad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Filling rate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Maximal nutzbarer Volumenanteil; 0 = 100 %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LE-Fach / LE-Fachtyp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Fach einer unterteilten Box / dessen Typ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Lagerfachträgertyp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Storage compartment shelf type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Eigenschaften eines Platzträgers, erlaubte Ladehilfsmittel (WH025)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Artikel-zu-Boxtyp-Zuordnung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Box type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in welcher Menge in einen Boxtyp passt (LM084)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Artikel-zu-Box-Zuordnung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Item to box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in einer konkreten Box liegt (LM002)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Zuordnungsmodus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Item assignment / Float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Standard, Fixiert, Float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Tablar-zu-Klient-Einschränkung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Klientenbezogene Tablare für Einlagerung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Zone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Lift &amp; Store zone,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Gruppe von SSI LOGIMAT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Zielplatz / Zielplatzgruppe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Destination location (group)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Ablageplatz für Ziel-LE außerhalb des SSI LOGIMAT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Externer Lagerplatz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External storage location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Bestandsplatz für externe Artikel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Externe 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External LU, </w:t>
            </w:r>
            <w:r>
              <w:rPr>
                <w:rFonts w:ascii="Consolas" w:hAnsi="Consolas" w:cs="Consolas" w:eastAsia="Consolas"/>
                <w:sz w:val="15"/>
              </w:rPr>
              <w:t>extLuId</w:t>
            </w:r>
            <w:r>
              <w:rPr>
                <w:sz w:val="17"/>
              </w:rPr>
              <w:t xml:space="preserve"> (2.8)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Versand-LE oder avisierte LE der Kommissionierung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Ziel-LE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Target / destination LU,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LE, in die eingelagert oder kommissioniert wird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Kommissionier-Plan-LE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Picking plan LU (PPLU)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Geplante LE eines Kommissionierbedarfs (LM074)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Picking trolley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Zielplatzgruppe mit mehreren Ziel-LE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Übergabeplatz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Platz für Ein- oder Auslagerung je Zone (LM069)</w:t>
            </w:r>
          </w:p>
        </w:tc>
      </w:tr>
    </w:tbl>
    <w:p>
      <w:pPr>
        <w:pStyle w:val="BeschriftungSSI"/>
      </w:pPr>
      <w:r>
        <w:t>Tab. 18: Glossar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Zusammenstellung aus Kapitel 2–7</w:t>
      </w:r>
    </w:p>
    <w:p>
      <w:pPr>
        <w:pStyle w:val="Heading1"/>
      </w:pPr>
      <w:r>
        <w:t>9 Stolperfallen</w:t>
      </w:r>
    </w:p>
    <w:p>
      <w:pPr>
        <w:pStyle w:val="ListBullet"/>
      </w:pPr>
      <w:r>
        <w:rPr>
          <w:b/>
        </w:rPr>
        <w:t>Kein `extLuId` in 2.7:</w:t>
      </w:r>
      <w:r>
        <w:t xml:space="preserve"> Wer eine vom ERP vorgegebene Versand-LE-ID braucht, findet das Feld erst in 2.8 (</w:t>
      </w:r>
      <w:r>
        <w:rPr>
          <w:rFonts w:ascii="Consolas" w:hAnsi="Consolas" w:cs="Consolas" w:eastAsia="Consolas"/>
          <w:sz w:val="18"/>
        </w:rPr>
        <w:t>WLSSD003</w:t>
      </w:r>
      <w:r>
        <w:t>/</w:t>
      </w:r>
      <w:r>
        <w:rPr>
          <w:rFonts w:ascii="Consolas" w:hAnsi="Consolas" w:cs="Consolas" w:eastAsia="Consolas"/>
          <w:sz w:val="18"/>
        </w:rPr>
        <w:t>WLSPD003</w:t>
      </w:r>
      <w:r>
        <w:t xml:space="preserve">). In 2.7 nur </w:t>
      </w:r>
      <w:r>
        <w:rPr>
          <w:rFonts w:ascii="Consolas" w:hAnsi="Consolas" w:cs="Consolas" w:eastAsia="Consolas"/>
          <w:sz w:val="18"/>
        </w:rPr>
        <w:t>logimat.picking.externalluid.generate</w:t>
      </w:r>
      <w:r>
        <w:t xml:space="preserve"> = </w:t>
      </w:r>
      <w:r>
        <w:rPr>
          <w:rFonts w:ascii="Consolas" w:hAnsi="Consolas" w:cs="Consolas" w:eastAsia="Consolas"/>
          <w:sz w:val="18"/>
        </w:rPr>
        <w:t>false</w:t>
      </w:r>
      <w:r>
        <w:t xml:space="preserve"> plus Zuordnung am Touch-Client.</w:t>
      </w:r>
    </w:p>
    <w:p>
      <w:pPr>
        <w:pStyle w:val="ListBullet"/>
      </w:pPr>
      <w:r>
        <w:rPr>
          <w:b/>
        </w:rPr>
        <w:t>`externalluid.generate` = `true`</w:t>
      </w:r>
      <w:r>
        <w:t xml:space="preserve"> heißt: extern angelegte LE-IDs (z. B. Paletten) sind nicht nutzbar.</w:t>
      </w:r>
    </w:p>
    <w:p>
      <w:pPr>
        <w:pStyle w:val="ListBullet"/>
      </w:pPr>
      <w:r>
        <w:rPr>
          <w:b/>
        </w:rPr>
        <w:t>Zuordnungsmodus `FIXED`:</w:t>
      </w:r>
      <w:r>
        <w:t xml:space="preserve"> Schnittstellenhandbuch und Administratorhandbuch beschreiben unterschiedliches Verhalten (Kap. 5.3).</w:t>
      </w:r>
    </w:p>
    <w:p>
      <w:pPr>
        <w:pStyle w:val="ListBullet"/>
      </w:pPr>
      <w:r>
        <w:rPr>
          <w:b/>
        </w:rPr>
        <w:t>Stammdatenstatus ≠ Normal:</w:t>
      </w:r>
      <w:r>
        <w:t xml:space="preserve"> Boxtyp-Zuordnungen mit </w:t>
      </w:r>
      <w:r>
        <w:rPr>
          <w:b/>
        </w:rPr>
        <w:t>Auslaufend</w:t>
      </w:r>
      <w:r>
        <w:t xml:space="preserve">, </w:t>
      </w:r>
      <w:r>
        <w:rPr>
          <w:b/>
        </w:rPr>
        <w:t>Gesperrt</w:t>
      </w:r>
      <w:r>
        <w:t xml:space="preserve"> oder </w:t>
      </w:r>
      <w:r>
        <w:rPr>
          <w:b/>
        </w:rPr>
        <w:t>Unvollständig</w:t>
      </w:r>
      <w:r>
        <w:t xml:space="preserve"> werden bei der Einlagerreservierung ignoriert.</w:t>
      </w:r>
    </w:p>
    <w:p>
      <w:pPr>
        <w:pStyle w:val="ListBullet"/>
      </w:pPr>
      <w:r>
        <w:rPr>
          <w:b/>
        </w:rPr>
        <w:t>LM144 wirkt nur auf neue Zuordnungen;</w:t>
      </w:r>
      <w:r>
        <w:t xml:space="preserve"> bestehende oder manuell geänderte Zuordnungen bleiben unverändert.</w:t>
      </w:r>
    </w:p>
    <w:p>
      <w:pPr>
        <w:pStyle w:val="ListBullet"/>
      </w:pPr>
      <w:r>
        <w:rPr>
          <w:b/>
        </w:rPr>
        <w:t>Füllgrad 0 = 100 %,</w:t>
      </w:r>
      <w:r>
        <w:t xml:space="preserve"> nicht 0 %.</w:t>
      </w:r>
    </w:p>
    <w:p>
      <w:pPr>
        <w:pStyle w:val="ListBullet"/>
      </w:pPr>
      <w:r>
        <w:rPr>
          <w:b/>
        </w:rPr>
        <w:t>Boxtyp im Layout gesperrt:</w:t>
      </w:r>
      <w:r>
        <w:t xml:space="preserve"> Ein Boxtyp in einem Tablarlayout kann nicht bearbeitet oder gelöscht werden. Boxen mit Trennwänden aus dem AddOn nicht manuell ändern.</w:t>
      </w:r>
    </w:p>
    <w:p>
      <w:pPr>
        <w:pStyle w:val="ListBullet"/>
      </w:pPr>
      <w:r>
        <w:rPr>
          <w:b/>
        </w:rPr>
        <w:t>Tablarvorlage ändern</w:t>
      </w:r>
      <w:r>
        <w:t xml:space="preserve"> wirkt nicht auf bestehende Tablare.</w:t>
      </w:r>
    </w:p>
    <w:p>
      <w:pPr>
        <w:pStyle w:val="ListBullet"/>
      </w:pPr>
      <w:r>
        <w:rPr>
          <w:b/>
        </w:rPr>
        <w:t>Trennwand</w:t>
      </w:r>
      <w:r>
        <w:t xml:space="preserve"> nur bei leerem, nicht reserviertem Fach.</w:t>
      </w:r>
    </w:p>
    <w:p>
      <w:pPr>
        <w:pStyle w:val="ListBullet"/>
      </w:pPr>
      <w:r>
        <w:rPr>
          <w:b/>
        </w:rPr>
        <w:t>Zuordnung aufheben</w:t>
      </w:r>
      <w:r>
        <w:t xml:space="preserve"> ist nicht möglich, solange Bestand in der Box liegt.</w:t>
      </w:r>
    </w:p>
    <w:p>
      <w:pPr>
        <w:pStyle w:val="ListBullet"/>
      </w:pPr>
      <w:r>
        <w:rPr>
          <w:b/>
        </w:rPr>
        <w:t>Tablar-zu-Klient:</w:t>
      </w:r>
      <w:r>
        <w:t xml:space="preserve"> Ein Klient ohne Pflege bekommt nur „freie“ Tablare; nach Pflege für einen Klienten fehlen diese Tablare allen anderen.</w:t>
      </w:r>
    </w:p>
    <w:p>
      <w:pPr>
        <w:pStyle w:val="ListBullet"/>
      </w:pPr>
      <w:r>
        <w:rPr>
          <w:b/>
        </w:rPr>
        <w:t>LM045</w:t>
      </w:r>
      <w:r>
        <w:t xml:space="preserve"> hat drei Namen (Ziel-Ladeeinheiten, Externe Ladeeinheiten, 2.8: Picking Plan Loading Units Overview).</w:t>
      </w:r>
    </w:p>
    <w:p>
      <w:pPr>
        <w:pStyle w:val="ListBullet"/>
      </w:pPr>
      <w:r>
        <w:rPr>
          <w:b/>
        </w:rPr>
        <w:t>Zielplatz vs. externer Lagerplatz:</w:t>
      </w:r>
      <w:r>
        <w:t xml:space="preserve"> Begriffe in Dialogen und Parametern vermischt (LM107, </w:t>
      </w:r>
      <w:r>
        <w:rPr>
          <w:rFonts w:ascii="Consolas" w:hAnsi="Consolas" w:cs="Consolas" w:eastAsia="Consolas"/>
          <w:sz w:val="18"/>
        </w:rPr>
        <w:t>askBookLuOnExternalLocation</w:t>
      </w:r>
      <w:r>
        <w:t>).</w:t>
      </w:r>
    </w:p>
    <w:p>
      <w:pPr>
        <w:pStyle w:val="ListBullet"/>
      </w:pPr>
      <w:r>
        <w:rPr>
          <w:b/>
        </w:rPr>
        <w:t>`externalloc.reserve`:</w:t>
      </w:r>
      <w:r>
        <w:t xml:space="preserve"> kleine Aufträge (Handbuch) oder Express-Bedarfe (Schulung).</w:t>
      </w:r>
    </w:p>
    <w:p>
      <w:pPr>
        <w:pStyle w:val="ListBullet"/>
      </w:pPr>
      <w:r>
        <w:rPr>
          <w:b/>
        </w:rPr>
        <w:t>`destStoLoc`</w:t>
      </w:r>
      <w:r>
        <w:t xml:space="preserve"> ist im Interface Manual als „source“ beschrieben, gemeint ist der Zielplatz.</w:t>
      </w:r>
    </w:p>
    <w:p>
      <w:pPr>
        <w:pStyle w:val="ListBullet"/>
      </w:pPr>
      <w:r>
        <w:rPr>
          <w:b/>
        </w:rPr>
        <w:t>Große Artikel</w:t>
      </w:r>
      <w:r>
        <w:t xml:space="preserve"> brauchen </w:t>
      </w:r>
      <w:r>
        <w:rPr>
          <w:b/>
        </w:rPr>
        <w:t>Ganz-Ladeeinheit</w:t>
      </w:r>
      <w:r>
        <w:t xml:space="preserve"> und gehen nicht auf externe Plätze.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Zusammenstellung aus Kapitel 3–7</w:t>
      </w:r>
    </w:p>
    <w:p>
      <w:pPr>
        <w:pStyle w:val="Heading1"/>
      </w:pPr>
      <w:r>
        <w:t>10 Praxisbeispiele</w:t>
      </w:r>
    </w:p>
    <w:p>
      <w:pPr>
        <w:pStyle w:val="Heading2"/>
      </w:pPr>
      <w:r>
        <w:t>10.1 Neuer Kleinteil-Artikel mit festen Boxen</w:t>
      </w:r>
    </w:p>
    <w:p>
      <w:r>
        <w:t xml:space="preserve">Beispiel (konstruiert, bitte prüfen):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lagert Schrauben </w:t>
      </w:r>
      <w:r>
        <w:rPr>
          <w:rFonts w:ascii="Consolas" w:hAnsi="Consolas" w:cs="Consolas" w:eastAsia="Consolas"/>
          <w:sz w:val="18"/>
        </w:rPr>
        <w:t>M6-20</w:t>
      </w:r>
      <w:r>
        <w:t xml:space="preserve"> in Boxen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 (wie im Telegrammbeispiel). Pro Box passen 500 Stück. Die Schrauben sollen immer in dieselben zwei Boxen auf Tablar 5 kommen; die Ware soll nur bis 80 % des Volumens gefüllt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MD031</w:t>
      </w:r>
      <w:r>
        <w:t xml:space="preserve">: Kubatur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 prüfen, </w:t>
      </w:r>
      <w:r>
        <w:rPr>
          <w:rFonts w:ascii="Consolas" w:hAnsi="Consolas" w:cs="Consolas" w:eastAsia="Consolas"/>
          <w:sz w:val="18"/>
        </w:rPr>
        <w:t>Füllgrad [%]</w:t>
      </w:r>
      <w:r>
        <w:t xml:space="preserve"> = 80.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ERP sendet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 mit Feld 6 (</w:t>
      </w:r>
      <w:r>
        <w:rPr>
          <w:rFonts w:ascii="Consolas" w:hAnsi="Consolas" w:cs="Consolas" w:eastAsia="Consolas"/>
          <w:sz w:val="18"/>
        </w:rPr>
        <w:t>logimatAssignmentMode</w:t>
      </w:r>
      <w:r>
        <w:t xml:space="preserve">) = </w:t>
      </w:r>
      <w:r>
        <w:rPr>
          <w:rFonts w:ascii="Consolas" w:hAnsi="Consolas" w:cs="Consolas" w:eastAsia="Consolas"/>
          <w:sz w:val="18"/>
        </w:rPr>
        <w:t>FIXED</w:t>
      </w:r>
      <w:r>
        <w:t xml:space="preserve"> und </w:t>
      </w:r>
      <w:r>
        <w:rPr>
          <w:rFonts w:ascii="Consolas" w:hAnsi="Consolas" w:cs="Consolas" w:eastAsia="Consolas"/>
          <w:sz w:val="18"/>
        </w:rPr>
        <w:t>WLSITEMCUBATURE001</w:t>
      </w:r>
      <w:r>
        <w:t xml:space="preserve"> mit </w:t>
      </w:r>
      <w:r>
        <w:rPr>
          <w:rFonts w:ascii="Consolas" w:hAnsi="Consolas" w:cs="Consolas" w:eastAsia="Consolas"/>
          <w:sz w:val="18"/>
        </w:rPr>
        <w:t>cubatureId</w:t>
      </w:r>
      <w:r>
        <w:t xml:space="preserve"> =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 = </w:t>
      </w:r>
      <w:r>
        <w:rPr>
          <w:rFonts w:ascii="Consolas" w:hAnsi="Consolas" w:cs="Consolas" w:eastAsia="Consolas"/>
          <w:sz w:val="18"/>
        </w:rPr>
        <w:t>M6-20</w:t>
      </w:r>
      <w:r>
        <w:t xml:space="preserve">, </w:t>
      </w:r>
      <w:r>
        <w:rPr>
          <w:rFonts w:ascii="Consolas" w:hAnsi="Consolas" w:cs="Consolas" w:eastAsia="Consolas"/>
          <w:sz w:val="18"/>
        </w:rPr>
        <w:t>pkv</w:t>
      </w:r>
      <w:r>
        <w:t xml:space="preserve"> = </w:t>
      </w:r>
      <w:r>
        <w:rPr>
          <w:rFonts w:ascii="Consolas" w:hAnsi="Consolas" w:cs="Consolas" w:eastAsia="Consolas"/>
          <w:sz w:val="18"/>
        </w:rPr>
        <w:t>1</w:t>
      </w:r>
      <w:r>
        <w:t xml:space="preserve">, </w:t>
      </w:r>
      <w:r>
        <w:rPr>
          <w:rFonts w:ascii="Consolas" w:hAnsi="Consolas" w:cs="Consolas" w:eastAsia="Consolas"/>
          <w:sz w:val="18"/>
        </w:rPr>
        <w:t>maxNumBaseQtyUnits</w:t>
      </w:r>
      <w:r>
        <w:t xml:space="preserve"> = 500, </w:t>
      </w:r>
      <w:r>
        <w:rPr>
          <w:rFonts w:ascii="Consolas" w:hAnsi="Consolas" w:cs="Consolas" w:eastAsia="Consolas"/>
          <w:sz w:val="18"/>
        </w:rPr>
        <w:t>sequence</w:t>
      </w:r>
      <w:r>
        <w:t xml:space="preserve"> = 1. Alternativ LM084 am Desktop.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Zuordnungsmodus in </w:t>
      </w:r>
      <w:r>
        <w:rPr>
          <w:b/>
        </w:rPr>
        <w:t>MD002</w:t>
      </w:r>
      <w:r>
        <w:t xml:space="preserve"> › WLS Artikel › Artikelzuordnung kontrollieren: </w:t>
      </w:r>
      <w:r>
        <w:rPr>
          <w:b/>
        </w:rPr>
        <w:t>Fixiert</w:t>
      </w:r>
      <w:r>
        <w:t xml:space="preserve"> (wegen des Widerspruchs in Kap. 5.3).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Tablar 5 anfordern, in </w:t>
      </w:r>
      <w:r>
        <w:rPr>
          <w:b/>
        </w:rPr>
        <w:t>LM002</w:t>
      </w:r>
      <w:r>
        <w:t xml:space="preserve"> die beiden Boxen wählen und </w:t>
      </w:r>
      <w:r>
        <w:rPr>
          <w:rFonts w:ascii="Consolas" w:hAnsi="Consolas" w:cs="Consolas" w:eastAsia="Consolas"/>
          <w:sz w:val="18"/>
        </w:rPr>
        <w:t>M6-20</w:t>
      </w:r>
      <w:r>
        <w:t xml:space="preserve"> zuordnen; </w:t>
      </w:r>
      <w:r>
        <w:rPr>
          <w:b/>
        </w:rPr>
        <w:t>Artikelzuordnung bestätigen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MD002</w:t>
      </w:r>
      <w:r>
        <w:t xml:space="preserve"> › WLS Artikel › </w:t>
      </w:r>
      <w:r>
        <w:rPr>
          <w:rFonts w:ascii="Consolas" w:hAnsi="Consolas" w:cs="Consolas" w:eastAsia="Consolas"/>
          <w:sz w:val="18"/>
        </w:rPr>
        <w:t>Lagerreservierungsstrategie</w:t>
      </w:r>
      <w:r>
        <w:t xml:space="preserve"> = </w:t>
      </w:r>
      <w:r>
        <w:rPr>
          <w:rFonts w:ascii="Consolas" w:hAnsi="Consolas" w:cs="Consolas" w:eastAsia="Consolas"/>
          <w:sz w:val="18"/>
        </w:rPr>
        <w:t>ASSIGNMENT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Einlagerbedarf über 800 Stück senden (</w:t>
      </w:r>
      <w:r>
        <w:rPr>
          <w:rFonts w:ascii="Consolas" w:hAnsi="Consolas" w:cs="Consolas" w:eastAsia="Consolas"/>
          <w:sz w:val="18"/>
        </w:rPr>
        <w:t>WLSSD002</w:t>
      </w:r>
      <w:r>
        <w:t xml:space="preserve">). Erwartung: Reservierung in den zugeordneten Boxen; Quittierung </w:t>
      </w:r>
      <w:r>
        <w:rPr>
          <w:rFonts w:ascii="Consolas" w:hAnsi="Consolas" w:cs="Consolas" w:eastAsia="Consolas"/>
          <w:sz w:val="18"/>
        </w:rPr>
        <w:t>WLSSDLACTIVITYACK001</w:t>
      </w:r>
      <w:r>
        <w:t xml:space="preserve"> mit </w:t>
      </w:r>
      <w:r>
        <w:rPr>
          <w:rFonts w:ascii="Consolas" w:hAnsi="Consolas" w:cs="Consolas" w:eastAsia="Consolas"/>
          <w:sz w:val="18"/>
        </w:rPr>
        <w:t>destTrayId</w:t>
      </w:r>
      <w:r>
        <w:t xml:space="preserve"> und den beiden </w:t>
      </w:r>
      <w:r>
        <w:rPr>
          <w:rFonts w:ascii="Consolas" w:hAnsi="Consolas" w:cs="Consolas" w:eastAsia="Consolas"/>
          <w:sz w:val="18"/>
        </w:rPr>
        <w:t>destLuId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Box durch Kommissionierung leeren. Erwartung bei </w:t>
      </w:r>
      <w:r>
        <w:rPr>
          <w:b/>
        </w:rPr>
        <w:t>Fixiert</w:t>
      </w:r>
      <w:r>
        <w:t>: keine Frage, Zuordnung bleibt. Weicht das Verhalten ab, Feld 6 bzw. Systemstandard in LM053 prüfen.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Vorgehen nach Administratorhandbuch 2.7, Kap. 3.1.7, 3.6.3.7, 3.6.8; Benutzerhandbuch 2.7, Kap. 5.6.1, 6.1.5; Interface Manual WLS–ERP 2.7, Kap. 5.1.1.1, 5.1.1.5; Werte konstruiert</w:t>
      </w:r>
    </w:p>
    <w:p>
      <w:pPr>
        <w:pStyle w:val="Heading2"/>
      </w:pPr>
      <w:r>
        <w:t>10.2 Put to Light in Versandkartons mit Zielplätzen</w:t>
      </w:r>
    </w:p>
    <w:p>
      <w:r>
        <w:t xml:space="preserve">Beispiel (konstruiert, bitte prüfen): An der Zugriffsöffnung 1 von SSI LOGIMAT 1 (Zone </w:t>
      </w:r>
      <w:r>
        <w:rPr>
          <w:rFonts w:ascii="Consolas" w:hAnsi="Consolas" w:cs="Consolas" w:eastAsia="Consolas"/>
          <w:sz w:val="18"/>
        </w:rPr>
        <w:t>ZONE1</w:t>
      </w:r>
      <w:r>
        <w:t>) steht ein Regal mit 4 × 2 Ablageplätzen für Versandkartons. Bis zu acht Kommissionierbedarfe sollen parallel per Put to Light bearbeitet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LM065</w:t>
      </w:r>
      <w:r>
        <w:t xml:space="preserve"> → </w:t>
      </w:r>
      <w:r>
        <w:rPr>
          <w:b/>
        </w:rPr>
        <w:t>Gruppe generieren</w:t>
      </w:r>
      <w:r>
        <w:t xml:space="preserve"> (LM064): Zone </w:t>
      </w:r>
      <w:r>
        <w:rPr>
          <w:rFonts w:ascii="Consolas" w:hAnsi="Consolas" w:cs="Consolas" w:eastAsia="Consolas"/>
          <w:sz w:val="18"/>
        </w:rPr>
        <w:t>ZONE1</w:t>
      </w:r>
      <w:r>
        <w:t xml:space="preserve">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 </w:t>
      </w:r>
      <w:r>
        <w:rPr>
          <w:rFonts w:ascii="Consolas" w:hAnsi="Consolas" w:cs="Consolas" w:eastAsia="Consolas"/>
          <w:sz w:val="18"/>
        </w:rPr>
        <w:t>PTL1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 4, </w:t>
      </w:r>
      <w:r>
        <w:rPr>
          <w:rFonts w:ascii="Consolas" w:hAnsi="Consolas" w:cs="Consolas" w:eastAsia="Consolas"/>
          <w:sz w:val="18"/>
        </w:rPr>
        <w:t>Reihen</w:t>
      </w:r>
      <w:r>
        <w:t xml:space="preserve"> 2, Maße eines Ablagefachs → </w:t>
      </w:r>
      <w:r>
        <w:rPr>
          <w:b/>
        </w:rPr>
        <w:t>Zielplätze generieren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LM065 → </w:t>
      </w:r>
      <w:r>
        <w:rPr>
          <w:b/>
        </w:rPr>
        <w:t>Zugriffsöffnung zuordnen</w:t>
      </w:r>
      <w:r>
        <w:t xml:space="preserve"> → Zugriffsöffnung 1. In </w:t>
      </w:r>
      <w:r>
        <w:rPr>
          <w:b/>
        </w:rPr>
        <w:t>LM088</w:t>
      </w:r>
      <w:r>
        <w:t xml:space="preserve"> </w:t>
      </w:r>
      <w:r>
        <w:rPr>
          <w:rFonts w:ascii="Consolas" w:hAnsi="Consolas" w:cs="Consolas" w:eastAsia="Consolas"/>
          <w:sz w:val="18"/>
        </w:rPr>
        <w:t>Einlagerungsreihenfolge von Zielplatz</w:t>
      </w:r>
      <w:r>
        <w:t xml:space="preserve"> 1–8 vergeben.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MD017</w:t>
      </w:r>
      <w:r>
        <w:t xml:space="preserve"> › Kommissionierbedarfstyp </w:t>
      </w:r>
      <w:r>
        <w:rPr>
          <w:rFonts w:ascii="Consolas" w:hAnsi="Consolas" w:cs="Consolas" w:eastAsia="Consolas"/>
          <w:sz w:val="18"/>
        </w:rPr>
        <w:t>SHPG</w:t>
      </w:r>
      <w:r>
        <w:t xml:space="preserve">: </w:t>
      </w:r>
      <w:r>
        <w:rPr>
          <w:b/>
        </w:rPr>
        <w:t>Batchkommissionierung Put to Light</w:t>
      </w:r>
      <w:r>
        <w:t xml:space="preserve">, </w:t>
      </w:r>
      <w:r>
        <w:rPr>
          <w:b/>
        </w:rPr>
        <w:t>Zielplatz automatisch auswählen</w:t>
      </w:r>
      <w:r>
        <w:t xml:space="preserve">, </w:t>
      </w:r>
      <w:r>
        <w:rPr>
          <w:b/>
        </w:rPr>
        <w:t>Bedarfsaktivierung durch freien, externen Lagerplatz begrenzen</w:t>
      </w:r>
      <w:r>
        <w:t xml:space="preserve">; </w:t>
      </w:r>
      <w:r>
        <w:rPr>
          <w:rFonts w:ascii="Consolas" w:hAnsi="Consolas" w:cs="Consolas" w:eastAsia="Consolas"/>
          <w:sz w:val="18"/>
        </w:rPr>
        <w:t>Bevorzugtes Ladehilfsmittel</w:t>
      </w:r>
      <w:r>
        <w:t xml:space="preserve"> / </w:t>
      </w:r>
      <w:r>
        <w:rPr>
          <w:rFonts w:ascii="Consolas" w:hAnsi="Consolas" w:cs="Consolas" w:eastAsia="Consolas"/>
          <w:sz w:val="18"/>
        </w:rPr>
        <w:t>Bevorzugte Kubatur</w:t>
      </w:r>
      <w:r>
        <w:t xml:space="preserve"> = Versandkarton.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FW028</w:t>
      </w:r>
      <w:r>
        <w:t xml:space="preserve">: </w:t>
      </w:r>
      <w:r>
        <w:rPr>
          <w:rFonts w:ascii="Consolas" w:hAnsi="Consolas" w:cs="Consolas" w:eastAsia="Consolas"/>
          <w:sz w:val="18"/>
        </w:rPr>
        <w:t>logimat.picking.externalluid.generate</w:t>
      </w:r>
      <w:r>
        <w:t xml:space="preserve"> = </w:t>
      </w:r>
      <w:r>
        <w:rPr>
          <w:rFonts w:ascii="Consolas" w:hAnsi="Consolas" w:cs="Consolas" w:eastAsia="Consolas"/>
          <w:sz w:val="18"/>
        </w:rPr>
        <w:t>true</w:t>
      </w:r>
      <w:r>
        <w:t xml:space="preserve"> (WAMAS vergibt LE-IDs), </w:t>
      </w:r>
      <w:r>
        <w:rPr>
          <w:rFonts w:ascii="Consolas" w:hAnsi="Consolas" w:cs="Consolas" w:eastAsia="Consolas"/>
          <w:sz w:val="18"/>
        </w:rPr>
        <w:t>logimat.picking.externalluid.print</w:t>
      </w:r>
      <w:r>
        <w:t xml:space="preserve"> = </w:t>
      </w:r>
      <w:r>
        <w:rPr>
          <w:rFonts w:ascii="Consolas" w:hAnsi="Consolas" w:cs="Consolas" w:eastAsia="Consolas"/>
          <w:sz w:val="18"/>
        </w:rPr>
        <w:t>AUTOMATIC</w:t>
      </w:r>
      <w:r>
        <w:t xml:space="preserve">, </w:t>
      </w:r>
      <w:r>
        <w:rPr>
          <w:rFonts w:ascii="Consolas" w:hAnsi="Consolas" w:cs="Consolas" w:eastAsia="Consolas"/>
          <w:sz w:val="18"/>
        </w:rPr>
        <w:t>logimat.picking.askBookLuOnExternalLocation</w:t>
      </w:r>
      <w:r>
        <w:t xml:space="preserve"> = </w:t>
      </w:r>
      <w:r>
        <w:rPr>
          <w:rFonts w:ascii="Consolas" w:hAnsi="Consolas" w:cs="Consolas" w:eastAsia="Consolas"/>
          <w:sz w:val="18"/>
        </w:rPr>
        <w:t>true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ERP sendet acht </w:t>
      </w:r>
      <w:r>
        <w:rPr>
          <w:rFonts w:ascii="Consolas" w:hAnsi="Consolas" w:cs="Consolas" w:eastAsia="Consolas"/>
          <w:sz w:val="18"/>
        </w:rPr>
        <w:t>WLSPD002</w:t>
      </w:r>
      <w:r>
        <w:t xml:space="preserve"> mit </w:t>
      </w:r>
      <w:r>
        <w:rPr>
          <w:rFonts w:ascii="Consolas" w:hAnsi="Consolas" w:cs="Consolas" w:eastAsia="Consolas"/>
          <w:sz w:val="18"/>
        </w:rPr>
        <w:t>zone</w:t>
      </w:r>
      <w:r>
        <w:t xml:space="preserve"> = </w:t>
      </w:r>
      <w:r>
        <w:rPr>
          <w:rFonts w:ascii="Consolas" w:hAnsi="Consolas" w:cs="Consolas" w:eastAsia="Consolas"/>
          <w:sz w:val="18"/>
        </w:rPr>
        <w:t>ZONE1</w:t>
      </w:r>
      <w:r>
        <w:t>. Je Bedarf entsteht eine Kommissionier-Plan-LE (LM074) und eine externe LE.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Touch-Client: Bedarfe aktivieren; WAMAS wählt die Zielplätze nach Reihenfolge; Etiketten werden gedruckt und auf die Kartons geklebt. Zur Kontrolle </w:t>
      </w:r>
      <w:r>
        <w:rPr>
          <w:b/>
        </w:rPr>
        <w:t>LM044</w:t>
      </w:r>
      <w:r>
        <w:t xml:space="preserve"> → </w:t>
      </w:r>
      <w:r>
        <w:rPr>
          <w:b/>
        </w:rPr>
        <w:t>Suche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Bei vollem Karton: Ziel-LE als voll kennzeichnen; mit Quittierungsmodus </w:t>
      </w:r>
      <w:r>
        <w:rPr>
          <w:b/>
        </w:rPr>
        <w:t>Wenn Ziel voll</w:t>
      </w:r>
      <w:r>
        <w:t xml:space="preserve"> geht eine Quittierung mit </w:t>
      </w:r>
      <w:r>
        <w:rPr>
          <w:rFonts w:ascii="Consolas" w:hAnsi="Consolas" w:cs="Consolas" w:eastAsia="Consolas"/>
          <w:sz w:val="18"/>
        </w:rPr>
        <w:t>destLuId</w:t>
      </w:r>
      <w:r>
        <w:t xml:space="preserve"> an das ERP.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Variante 2.8: Soll das ERP die Karton-ID vorgeben, sendet es </w:t>
      </w:r>
      <w:r>
        <w:rPr>
          <w:rFonts w:ascii="Consolas" w:hAnsi="Consolas" w:cs="Consolas" w:eastAsia="Consolas"/>
          <w:sz w:val="18"/>
        </w:rPr>
        <w:t>extLuId</w:t>
      </w:r>
      <w:r>
        <w:t xml:space="preserve"> in </w:t>
      </w:r>
      <w:r>
        <w:rPr>
          <w:rFonts w:ascii="Consolas" w:hAnsi="Consolas" w:cs="Consolas" w:eastAsia="Consolas"/>
          <w:sz w:val="18"/>
        </w:rPr>
        <w:t>WLSPD003</w:t>
      </w:r>
      <w:r>
        <w:t xml:space="preserve">; bei manueller Freigabe fragt </w:t>
      </w:r>
      <w:r>
        <w:rPr>
          <w:b/>
        </w:rPr>
        <w:t>LM164</w:t>
      </w:r>
      <w:r>
        <w:t xml:space="preserve"> nach externer LE-ID und Zielplatz.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Wie und wo die Ziel-LE „als voll gekennzeichnet“ wird, beschreibt das Benutzerhandbuch 2.7 nicht.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Vorgehen nach Administratorhandbuch 2.7, Kap. 3.1.11–3.1.12, 3.5.1.6.1, 3.6.1.10, 3.11.2; Benutzerhandbuch 2.7, Kap. 5.4, 6.7.1; User Manual 2.8, Kap. 6.2.2.2.2; Interface Manual WLS–ERP 2.8, Kap. 7.1.2.1; Werte konstruiert</w:t>
      </w:r>
    </w:p>
    <w:p>
      <w:pPr>
        <w:pStyle w:val="Heading1"/>
      </w:pPr>
      <w:r>
        <w:t>11 Dokumentationslücken und offene Fragen</w:t>
      </w:r>
    </w:p>
    <w:p>
      <w:r>
        <w:t>Die folgenden Punkte lassen sich aus den Handbüchern nicht klären. Die Fragen richten sich an Marek bzw. an das Produktmanagement.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Offene Fragen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1. </w:t>
            </w:r>
            <w:r>
              <w:rPr>
                <w:b/>
                <w:sz w:val="19"/>
              </w:rPr>
              <w:t>Externe LE-ID aus dem ERP in 2.7:</w:t>
            </w:r>
            <w:r>
              <w:rPr>
                <w:sz w:val="19"/>
              </w:rPr>
              <w:t xml:space="preserve"> Braucht eines deiner 2.7-Projekte eine vom ERP vorgegebene Versand-LE-ID? Dann reicht 2.7 laut Doku nicht (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 xml:space="preserve"> erst in 2.8); ist ein Upgrade oder eine Projektlösung geplant? Welche Bedarfe in 2.8 „eine externe LE-ID benötigen“, ist ebenfalls nicht beschrieben.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2. </w:t>
            </w:r>
            <w:r>
              <w:rPr>
                <w:b/>
                <w:sz w:val="19"/>
              </w:rPr>
              <w:t>Zuordnungsmodus `FIXED`:</w:t>
            </w:r>
            <w:r>
              <w:rPr>
                <w:sz w:val="19"/>
              </w:rPr>
              <w:t xml:space="preserve"> Bleibt die Artikel-zu-Box-Zuordnung bei Fixiert im System tatsächlich ohne Rückfrage erhalten (AH/BH/Schulung), oder fragt das System wie im Interface Manual beschrieben?</w:t>
            </w:r>
          </w:p>
          <w:p>
            <w:pPr>
              <w:spacing w:after="40"/>
            </w:pPr>
            <w:r>
              <w:rPr>
                <w:sz w:val="19"/>
              </w:rPr>
              <w:t xml:space="preserve">3. </w:t>
            </w:r>
            <w:r>
              <w:rPr>
                <w:b/>
                <w:sz w:val="19"/>
              </w:rPr>
              <w:t>„LE-Typ“:</w:t>
            </w:r>
            <w:r>
              <w:rPr>
                <w:sz w:val="19"/>
              </w:rPr>
              <w:t xml:space="preserve"> Was ist im Projekt mit LE-Typ gemeint, Boxtyp/Ladehilfsmittel oder ein eigener Stammdatensatz (z. B. </w:t>
            </w:r>
            <w:r>
              <w:rPr>
                <w:b/>
                <w:sz w:val="19"/>
              </w:rPr>
              <w:t>Avisierter LE-Typ</w:t>
            </w:r>
            <w:r>
              <w:rPr>
                <w:sz w:val="19"/>
              </w:rPr>
              <w:t xml:space="preserve"> der Avisierten Ladeeinheitenquittierung)? Ein Pflegedialog ist nicht dokumentiert.</w:t>
            </w:r>
          </w:p>
          <w:p>
            <w:pPr>
              <w:spacing w:after="40"/>
            </w:pPr>
            <w:r>
              <w:rPr>
                <w:sz w:val="19"/>
              </w:rPr>
              <w:t xml:space="preserve">4. </w:t>
            </w:r>
            <w:r>
              <w:rPr>
                <w:b/>
                <w:sz w:val="19"/>
              </w:rPr>
              <w:t>Zielplatz → Versand:</w:t>
            </w:r>
            <w:r>
              <w:rPr>
                <w:sz w:val="19"/>
              </w:rPr>
              <w:t xml:space="preserve"> Wie wird die Ziel-LE nach dem Zielplatz versandt (Versandplatz wie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>, Übergabeplatz Auslagerung in LM069, Versand-LE-Quittierung), und wo kennzeichnet der Benutzer eine Ziel-LE als voll?</w:t>
            </w:r>
          </w:p>
          <w:p>
            <w:pPr>
              <w:spacing w:after="40"/>
            </w:pPr>
            <w:r>
              <w:rPr>
                <w:sz w:val="19"/>
              </w:rPr>
              <w:t xml:space="preserve">5. </w:t>
            </w:r>
            <w:r>
              <w:rPr>
                <w:b/>
                <w:sz w:val="19"/>
              </w:rPr>
              <w:t>Fächer und Kubatur-Barcode:</w:t>
            </w:r>
            <w:r>
              <w:rPr>
                <w:sz w:val="19"/>
              </w:rPr>
              <w:t xml:space="preserve"> Wo werden LE-Fachtypen gepflegt (kein Dialog im AH 2.7), und wo wird der „für die Kubatur definierte Barcode“ für </w:t>
            </w:r>
            <w:r>
              <w:rPr>
                <w:rFonts w:ascii="Consolas" w:hAnsi="Consolas" w:cs="Consolas" w:eastAsia="Consolas"/>
                <w:sz w:val="17"/>
              </w:rPr>
              <w:t>automaticallyAssignBarcodeToExternalLU</w:t>
            </w:r>
            <w:r>
              <w:rPr>
                <w:sz w:val="19"/>
              </w:rPr>
              <w:t xml:space="preserve"> hinterlegt?</w:t>
            </w:r>
          </w:p>
        </w:tc>
      </w:tr>
    </w:tbl>
    <w:p>
      <w:pPr>
        <w:spacing w:after="40"/>
      </w:pP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762"/>
        <w:gridCol w:w="4762"/>
      </w:tblGrid>
      <w:tr>
        <w:trPr>
          <w:tblHeader w:val="true"/>
        </w:trPr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(Kürzel)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Verwendete Kapitel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AH 2.7</w:t>
            </w:r>
            <w:r>
              <w:rPr>
                <w:sz w:val="17"/>
              </w:rPr>
              <w:t>: WAMAS.LS_2.7_man.administrator_V01.0_deDE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3.1, 3.1.1, 3.1.5–3.1.12, 3.1.15–3.1.17, 3.4.1.6, 3.4.2, 3.5.1.6, 3.5.2.8, 3.5.2.14, 3.5.3.1, 3.6.1.10, 3.6.1.13, 3.6.3.2, 3.6.3.7, 3.6.5.1, 3.6.8, 3.6.9, 3.11.2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2.7</w:t>
            </w:r>
            <w:r>
              <w:rPr>
                <w:sz w:val="17"/>
              </w:rPr>
              <w:t>: WAMAS.LS_2.7_man.user_V01.0_deDE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5.1.2, 5.1.4, 5.2, 5.4, 5.5, 5.6, 6.1.4–6.1.5, 6.1.8, 6.2.2, 6.2.4.2, 6.5.2, 6.6, 6.7.1, 6.7.2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ERP 2.7</w:t>
            </w:r>
            <w:r>
              <w:rPr>
                <w:sz w:val="17"/>
              </w:rPr>
              <w:t>: WAMAS.LS_2.7_man.interface.wls.erp_V01.0_enUS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2.1.1.5, 5.1 (WLSITEM001, WLSITEMCUBATURE001, WLSQTYUNIT001), 6.1–6.2, 7.1–7.2, 8.1.2.2, 8.2.2.3, 10.1.2.1, 11.1.2.1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WCS 2.7</w:t>
            </w:r>
            <w:r>
              <w:rPr>
                <w:sz w:val="17"/>
              </w:rPr>
              <w:t>: WAMAS.LS_2.7_man.interface.wcs.wms_V01.0_enUS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5.1.2.3, 6.1.2.2, 9.1.2.1, 9.1.2.3, 9.2.2.2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TB 2.7</w:t>
            </w:r>
            <w:r>
              <w:rPr>
                <w:sz w:val="17"/>
              </w:rPr>
              <w:t>: 2.7.0_IN_OUT_CSV_TXT_XML_JSON (Telegrammbeispiele)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ITEM/2.json, STOCK_IMPORT/2.json, SD/ack_after_every_operation/0116.json, PD/ACK_after_every_operation/0085.json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AH 2.8</w:t>
            </w:r>
            <w:r>
              <w:rPr>
                <w:sz w:val="17"/>
              </w:rPr>
              <w:t>: WAMAS.LS_2.8 Administrator Manual (enUS)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3.1.5–3.1.8, 3.1.12–3.1.18, 3.6.8, 3.11.2 (Abgleich)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2.8</w:t>
            </w:r>
            <w:r>
              <w:rPr>
                <w:sz w:val="17"/>
              </w:rPr>
              <w:t>: WAMAS.LS_2.8 User Manual (enUS)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6.2.2.2.2, 6.2.5.3, 6.7.1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ERP 2.8</w:t>
            </w:r>
            <w:r>
              <w:rPr>
                <w:sz w:val="17"/>
              </w:rPr>
              <w:t>: WAMAS.LS_2.8_man.interface.wls.erp_V01.0_enUS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5.1.2.4 WLSITEMCUBATURE002, 6.1.2.1 WLSSD003, 7.1.2.1 WLSPD003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R2.4</w:t>
            </w:r>
            <w:r>
              <w:rPr>
                <w:sz w:val="17"/>
              </w:rPr>
              <w:t>: man_user_WAMAS_LogiMat_R2.4_V5.0_ger „Externe Lagerung“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4.4.1, Icon-Tabelle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SCH</w:t>
            </w:r>
            <w:r>
              <w:rPr>
                <w:sz w:val="17"/>
              </w:rPr>
              <w:t>: WAMAS LogiMat Consultant Training Part 1 (12.01.2024)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Terminology &amp; Basics, Boxes &amp; Locations, Clients, Items, Global parameters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HT</w:t>
            </w:r>
            <w:r>
              <w:rPr>
                <w:sz w:val="17"/>
              </w:rPr>
              <w:t>: How-tos „Einlager-, Auslager- und Kommissionierstrategien“ und „Externe Lagerprozesse“ v1.0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Strategien, externe Plätze</w:t>
            </w:r>
          </w:p>
        </w:tc>
      </w:tr>
    </w:tbl>
    <w:p>
      <w:pPr>
        <w:pStyle w:val="BeschriftungSSI"/>
      </w:pPr>
      <w:r>
        <w:t>Tab. 19: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05"/>
        <w:gridCol w:w="7620"/>
      </w:tblGrid>
      <w:tr>
        <w:trPr>
          <w:tblHeader w:val="true"/>
        </w:trPr>
        <w:tc>
          <w:tcPr>
            <w:tcW w:type="dxa" w:w="1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Abkürzung</w:t>
            </w:r>
          </w:p>
        </w:tc>
        <w:tc>
          <w:tcPr>
            <w:tcW w:type="dxa" w:w="76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BME / LME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Basismengeneinheit / Lagermengeneinheit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LE / LP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Ladeeinheit / Lagerplatz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PPLU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Picking Plan Loading Unit (Kommissionier-Plan-LE)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PTL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Put to Light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SD / PD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(Einlagerbedarf) / Picking Demand (Kommissionierbedarf)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SPS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Speicherprogrammierbare Steuerung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WCS / WMS / MFS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Warehouse Control System / Warehouse Management System / Materialflusssystem</w:t>
            </w:r>
          </w:p>
        </w:tc>
      </w:tr>
    </w:tbl>
    <w:p>
      <w:pPr>
        <w:pStyle w:val="BeschriftungSSI"/>
      </w:pPr>
      <w:r>
        <w:t>Tab. 20: Abkürzungen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Ladeeinheiten, Kubaturen, Zuordnungen und Zielplätze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Ladeeinheiten, Kubaturen, Zuordnungen und Zielplätze</dc:title>
  <dc:subject>Begriffe verstehen, Stammdaten einrichten, Prozesse von Wareneingang bis Versand</dc:subject>
  <dc:creator>Marek,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