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0"/>
      </w:pPr>
      <w:r>
        <w:drawing>
          <wp:anchor distT="0" distB="0" distL="0" distR="0" simplePos="0" relativeHeight="251658341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00" cy="10692000"/>
            <wp:effectExtent l="0" t="0" r="0" b="0"/>
            <wp:wrapNone/>
            <wp:docPr id="101" name="Bild 101"/>
            <wp:cNvGraphicFramePr/>
            <a:graphic xmlns:a="http://schemas.openxmlformats.org/drawingml/2006/main" xmlns:pic="http://schemas.openxmlformats.org/drawingml/2006/picture">
              <a:graphicData uri="http://schemas.openxmlformats.org/drawingml/2006/picture">
                <pic:pic>
                  <pic:nvPicPr>
                    <pic:cNvPr id="0" name="logimat_titelfoto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00" cy="1069200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658342" behindDoc="0" locked="0" layoutInCell="1" allowOverlap="1">
            <wp:simplePos x="0" y="0"/>
            <wp:positionH relativeFrom="page">
              <wp:posOffset>2736000</wp:posOffset>
            </wp:positionH>
            <wp:positionV relativeFrom="page">
              <wp:posOffset>9846000</wp:posOffset>
            </wp:positionV>
            <wp:extent cx="1655999" cy="246394"/>
            <wp:effectExtent l="0" t="0" r="0" b="0"/>
            <wp:wrapNone/>
            <wp:docPr id="102" name="Bild 102"/>
            <wp:cNvGraphicFramePr/>
            <a:graphic xmlns:a="http://schemas.openxmlformats.org/drawingml/2006/main" xmlns:pic="http://schemas.openxmlformats.org/drawingml/2006/picture">
              <a:graphicData uri="http://schemas.openxmlformats.org/drawingml/2006/picture">
                <pic:pic>
                  <pic:nvPicPr>
                    <pic:cNvPr id="0" name="wamas_logo.pn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655999" cy="246394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658343" behindDoc="0" locked="0" layoutInCell="1" allowOverlap="1">
            <wp:simplePos x="0" y="0"/>
            <wp:positionH relativeFrom="page">
              <wp:posOffset>4680000</wp:posOffset>
            </wp:positionH>
            <wp:positionV relativeFrom="page">
              <wp:posOffset>9576000</wp:posOffset>
            </wp:positionV>
            <wp:extent cx="2376000" cy="508527"/>
            <wp:effectExtent l="0" t="0" r="0" b="0"/>
            <wp:wrapNone/>
            <wp:docPr id="103" name="Bild 103"/>
            <wp:cNvGraphicFramePr/>
            <a:graphic xmlns:a="http://schemas.openxmlformats.org/drawingml/2006/main" xmlns:pic="http://schemas.openxmlformats.org/drawingml/2006/picture">
              <a:graphicData uri="http://schemas.openxmlformats.org/drawingml/2006/picture">
                <pic:pic>
                  <pic:nvPicPr>
                    <pic:cNvPr id="0" name="ssi_logo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376000" cy="508527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spacing w:after="0"/>
      </w:pPr>
    </w:p>
    <w:tbl>
      <w:tblPr>
        <w:tblLook w:firstColumn="1" w:firstRow="1" w:lastColumn="0" w:lastRow="0" w:noHBand="0" w:noVBand="1" w:val="04A0"/>
        <w:tblW w:w="7938" w:type="dxa"/>
        <w:tblLayout w:type="fixed"/>
      </w:tblPr>
      <w:tblGrid>
        <w:gridCol w:w="7938"/>
      </w:tblGrid>
      <w:tr>
        <w:tc>
          <w:tcPr>
            <w:tcW w:type="dxa" w:w="7937"/>
            <w:shd w:val="clear" w:color="auto" w:fill="FEEE19"/>
            <w:tcMar>
              <w:top w:w="300" w:type="dxa"/>
              <w:bottom w:w="300" w:type="dxa"/>
              <w:start w:w="300" w:type="dxa"/>
              <w:end w:w="300" w:type="dxa"/>
              <w:left w:w="300" w:type="dxa"/>
              <w:right w:w="300" w:type="dxa"/>
            </w:tcMar>
          </w:tcPr>
          <w:p>
            <w:pPr>
              <w:spacing w:after="360"/>
            </w:pPr>
            <w:r>
              <w:rPr>
                <w:b w:val="0"/>
                <w:sz w:val="40"/>
              </w:rPr>
              <w:t>Anleitung</w:t>
            </w:r>
          </w:p>
          <w:p>
            <w:pPr>
              <w:spacing w:after="120"/>
            </w:pPr>
            <w:r>
              <w:rPr>
                <w:b/>
                <w:sz w:val="48"/>
              </w:rPr>
              <w:t>LMB-Boxen: Trennwände entfernen/einsetzen und Kubaturen – WAMAS Touch</w:t>
            </w:r>
          </w:p>
          <w:p>
            <w:pPr>
              <w:spacing w:after="360"/>
            </w:pPr>
            <w:r>
              <w:rPr>
                <w:b w:val="0"/>
                <w:sz w:val="32"/>
              </w:rPr>
              <w:t>WAMAS Lift &amp; Store 2.8</w:t>
            </w:r>
          </w:p>
          <w:p>
            <w:pPr>
              <w:spacing w:after="0"/>
            </w:pPr>
            <w:r>
              <w:rPr>
                <w:b w:val="0"/>
                <w:sz w:val="22"/>
              </w:rPr>
              <w:t>Standard  ·  Deutsch (de-DE)</w:t>
            </w:r>
          </w:p>
        </w:tc>
      </w:tr>
    </w:tbl>
    <w:tbl>
      <w:tblPr>
        <w:tblLook w:firstColumn="1" w:firstRow="1" w:lastColumn="0" w:lastRow="0" w:noHBand="0" w:noVBand="1" w:val="04A0"/>
        <w:tblW w:w="7938" w:type="dxa"/>
        <w:tblLayout w:type="fixed"/>
      </w:tblPr>
      <w:tblGrid>
        <w:gridCol w:w="7938"/>
      </w:tblGrid>
      <w:tr>
        <w:tc>
          <w:tcPr>
            <w:tcW w:type="dxa" w:w="7937"/>
            <w:shd w:val="clear" w:color="auto" w:fill="FFFFFF"/>
            <w:tcMar>
              <w:top w:w="200" w:type="dxa"/>
              <w:bottom w:w="400" w:type="dxa"/>
              <w:start w:w="300" w:type="dxa"/>
              <w:end w:w="300" w:type="dxa"/>
              <w:left w:w="300" w:type="dxa"/>
              <w:right w:w="300" w:type="dxa"/>
            </w:tcMar>
          </w:tcPr>
          <w:p>
            <w:pPr>
              <w:spacing w:after="80"/>
            </w:pPr>
            <w:r>
              <w:rPr>
                <w:b w:val="0"/>
                <w:sz w:val="21"/>
              </w:rPr>
              <w:t>Unterteilte Boxen am Touch-Client pflegen und Artikeln zuordnen</w:t>
            </w:r>
          </w:p>
          <w:p>
            <w:pPr>
              <w:spacing w:after="0"/>
            </w:pPr>
            <w:r>
              <w:rPr>
                <w:b w:val="0"/>
                <w:color w:val="555555"/>
                <w:sz w:val="18"/>
              </w:rPr>
              <w:t>SSI SCHÄFER</w:t>
            </w:r>
          </w:p>
        </w:tc>
      </w:tr>
    </w:tbl>
    <w:p>
      <w:pPr>
        <w:spacing w:before="8617"/>
      </w:pPr>
      <w:r>
        <w:rPr>
          <w:sz w:val="18"/>
        </w:rPr>
        <w:t>V 1.1  ·  17.10.2026</w:t>
        <w:br w:type="page"/>
      </w:r>
    </w:p>
    <w:p>
      <w:r>
        <w:rPr>
          <w:b/>
          <w:sz w:val="28"/>
        </w:rPr>
        <w:t>Inhaltsverzeichnis</w:t>
      </w:r>
    </w:p>
    <w:p/>
    <w:p>
      <w:pPr>
        <w:pStyle w:val="TOC1"/>
        <w:tabs>
          <w:tab w:pos="9524" w:val="right" w:leader="dot"/>
        </w:tabs>
      </w:pPr>
      <w:r>
        <w:fldChar w:fldCharType="begin"/>
      </w:r>
      <w:r>
        <w:instrText xml:space="preserve"> TOC \o "1-2" \h \z \u </w:instrText>
      </w:r>
      <w:r>
        <w:fldChar w:fldCharType="separate"/>
      </w:r>
      <w:r>
        <w:t>1 Über dieses Dokument</w:t>
        <w:tab/>
        <w:t>4</w:t>
      </w:r>
    </w:p>
    <w:p>
      <w:pPr>
        <w:pStyle w:val="TOC2"/>
        <w:tabs>
          <w:tab w:pos="9524" w:val="right" w:leader="dot"/>
        </w:tabs>
      </w:pPr>
      <w:r>
        <w:t>1.1 Zweck</w:t>
        <w:tab/>
        <w:t>4</w:t>
      </w:r>
    </w:p>
    <w:p>
      <w:pPr>
        <w:pStyle w:val="TOC2"/>
        <w:tabs>
          <w:tab w:pos="9524" w:val="right" w:leader="dot"/>
        </w:tabs>
      </w:pPr>
      <w:r>
        <w:t>1.2 Lesehinweis</w:t>
        <w:tab/>
        <w:t>4</w:t>
      </w:r>
    </w:p>
    <w:p>
      <w:pPr>
        <w:pStyle w:val="TOC2"/>
        <w:tabs>
          <w:tab w:pos="9524" w:val="right" w:leader="dot"/>
        </w:tabs>
      </w:pPr>
      <w:r>
        <w:t>1.3 Dokumentinformationen</w:t>
        <w:tab/>
        <w:t>4</w:t>
      </w:r>
    </w:p>
    <w:p>
      <w:pPr>
        <w:pStyle w:val="TOC1"/>
        <w:tabs>
          <w:tab w:pos="9524" w:val="right" w:leader="dot"/>
        </w:tabs>
      </w:pPr>
      <w:r>
        <w:t>2 Begriffe</w:t>
        <w:tab/>
        <w:t>5</w:t>
      </w:r>
    </w:p>
    <w:p>
      <w:pPr>
        <w:pStyle w:val="TOC1"/>
        <w:tabs>
          <w:tab w:pos="9524" w:val="right" w:leader="dot"/>
        </w:tabs>
      </w:pPr>
      <w:r>
        <w:t>3 Tablar komplett befüllen</w:t>
        <w:tab/>
        <w:t>6</w:t>
      </w:r>
    </w:p>
    <w:p>
      <w:pPr>
        <w:pStyle w:val="TOC1"/>
        <w:tabs>
          <w:tab w:pos="9524" w:val="right" w:leader="dot"/>
        </w:tabs>
      </w:pPr>
      <w:r>
        <w:t>4 Dialog LM135 „Unterteilte Box pflegen“</w:t>
        <w:tab/>
        <w:t>7</w:t>
      </w:r>
    </w:p>
    <w:p>
      <w:pPr>
        <w:pStyle w:val="TOC1"/>
        <w:tabs>
          <w:tab w:pos="9524" w:val="right" w:leader="dot"/>
        </w:tabs>
      </w:pPr>
      <w:r>
        <w:t>5 Trennwände entfernen und einsetzen</w:t>
        <w:tab/>
        <w:t>8</w:t>
      </w:r>
    </w:p>
    <w:p>
      <w:pPr>
        <w:pStyle w:val="TOC2"/>
        <w:tabs>
          <w:tab w:pos="9524" w:val="right" w:leader="dot"/>
        </w:tabs>
      </w:pPr>
      <w:r>
        <w:t>5.1 Trennwand entfernen</w:t>
        <w:tab/>
        <w:t>8</w:t>
      </w:r>
    </w:p>
    <w:p>
      <w:pPr>
        <w:pStyle w:val="TOC2"/>
        <w:tabs>
          <w:tab w:pos="9524" w:val="right" w:leader="dot"/>
        </w:tabs>
      </w:pPr>
      <w:r>
        <w:t>5.2 Trennwand einsetzen</w:t>
        <w:tab/>
        <w:t>8</w:t>
      </w:r>
    </w:p>
    <w:p>
      <w:pPr>
        <w:pStyle w:val="TOC1"/>
        <w:tabs>
          <w:tab w:pos="9524" w:val="right" w:leader="dot"/>
        </w:tabs>
      </w:pPr>
      <w:r>
        <w:t>6 Ergebnistabelle Varianten LMB821</w:t>
        <w:tab/>
        <w:t>10</w:t>
      </w:r>
    </w:p>
    <w:p>
      <w:pPr>
        <w:pStyle w:val="TOC1"/>
        <w:tabs>
          <w:tab w:pos="9524" w:val="right" w:leader="dot"/>
        </w:tabs>
      </w:pPr>
      <w:r>
        <w:t>7 Artikel zuordnen und Kubatur am Touch anlegen</w:t>
        <w:tab/>
        <w:t>11</w:t>
      </w:r>
    </w:p>
    <w:p>
      <w:pPr>
        <w:pStyle w:val="TOC1"/>
        <w:tabs>
          <w:tab w:pos="9524" w:val="right" w:leader="dot"/>
        </w:tabs>
      </w:pPr>
      <w:r>
        <w:t>8 Andere Wege zur Zuordnung</w:t>
        <w:tab/>
        <w:t>12</w:t>
      </w:r>
    </w:p>
    <w:p>
      <w:pPr>
        <w:pStyle w:val="TOC2"/>
        <w:tabs>
          <w:tab w:pos="9524" w:val="right" w:leader="dot"/>
        </w:tabs>
      </w:pPr>
      <w:r>
        <w:t>8.1 Admin-Dialog LM084</w:t>
        <w:tab/>
        <w:t>12</w:t>
      </w:r>
    </w:p>
    <w:p>
      <w:pPr>
        <w:pStyle w:val="TOC2"/>
        <w:tabs>
          <w:tab w:pos="9524" w:val="right" w:leader="dot"/>
        </w:tabs>
      </w:pPr>
      <w:r>
        <w:t>8.2 Artikeltelegramm WLSITEM001 / WLSITEMCUBATURE001</w:t>
        <w:tab/>
        <w:t>12</w:t>
      </w:r>
    </w:p>
    <w:p>
      <w:pPr>
        <w:pStyle w:val="TOC2"/>
        <w:tabs>
          <w:tab w:pos="9524" w:val="right" w:leader="dot"/>
        </w:tabs>
      </w:pPr>
      <w:r>
        <w:t>8.3 Touch-Client</w:t>
        <w:tab/>
        <w:t>13</w:t>
      </w:r>
    </w:p>
    <w:p>
      <w:pPr>
        <w:pStyle w:val="TOC1"/>
        <w:tabs>
          <w:tab w:pos="9524" w:val="right" w:leader="dot"/>
        </w:tabs>
      </w:pPr>
      <w:r>
        <w:t>9 Hinweise und Störungen</w:t>
        <w:tab/>
        <w:t>14</w:t>
      </w:r>
    </w:p>
    <w:p>
      <w:pPr>
        <w:pStyle w:val="TOC1"/>
        <w:tabs>
          <w:tab w:pos="9524" w:val="right" w:leader="dot"/>
        </w:tabs>
      </w:pPr>
      <w:r>
        <w:t>10 Praxisbeispiel</w:t>
        <w:tab/>
        <w:t>15</w:t>
      </w:r>
    </w:p>
    <w:p>
      <w:pPr>
        <w:pStyle w:val="TOC1"/>
        <w:tabs>
          <w:tab w:pos="9524" w:val="right" w:leader="dot"/>
        </w:tabs>
      </w:pPr>
      <w:r>
        <w:t>11 Quellenverzeichnis</w:t>
        <w:tab/>
        <w:t>16</w:t>
      </w:r>
      <w:r>
        <w:fldChar w:fldCharType="end"/>
      </w:r>
    </w:p>
    <w:p>
      <w:pPr>
        <w:pStyle w:val="Heading1"/>
      </w:pPr>
      <w:r>
        <w:t>1 Über dieses Dokument</w:t>
      </w:r>
    </w:p>
    <w:p>
      <w:pPr>
        <w:pStyle w:val="Heading2"/>
      </w:pPr>
      <w:r>
        <w:t>1.1 Zweck</w:t>
      </w:r>
    </w:p>
    <w:p>
      <w:r>
        <w:t>Diese Anleitung beschreibt, wie Sie im WAMAS Touch-Client ein Tablar vollständig mit LMB-Boxen belegen, Trennwände entfernen und Artikel den dabei entstehenden Kubaturen zuordnen.</w:t>
      </w:r>
    </w:p>
    <w:p>
      <w:pPr>
        <w:pStyle w:val="Heading2"/>
      </w:pPr>
      <w:r>
        <w:t>1.2 Lesehinweis</w:t>
      </w:r>
    </w:p>
    <w:p>
      <w:r>
        <w:t xml:space="preserve">UI-Texte sind </w:t>
      </w:r>
      <w:r>
        <w:rPr>
          <w:b/>
        </w:rPr>
        <w:t>fett</w:t>
      </w:r>
      <w:r>
        <w:t xml:space="preserve"> gesetzt und wurden am echten System abgelesen. Alle beschriebenen Schritte wurden am 17.10.2026 am System geprüft.</w:t>
      </w:r>
    </w:p>
    <w:p>
      <w:pPr>
        <w:pStyle w:val="Heading2"/>
      </w:pPr>
      <w:r>
        <w:t>1.3 Dokumentinformationen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2268"/>
        <w:gridCol w:w="7257"/>
      </w:tblGrid>
      <w:tr>
        <w:trPr>
          <w:tblHeader w:val="true"/>
        </w:trPr>
        <w:tc>
          <w:tcPr>
            <w:tcW w:type="dxa" w:w="2268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Merkmal</w:t>
            </w:r>
          </w:p>
        </w:tc>
        <w:tc>
          <w:tcPr>
            <w:tcW w:type="dxa" w:w="7257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Angabe</w:t>
            </w:r>
          </w:p>
        </w:tc>
      </w:tr>
      <w:tr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Titel</w:t>
            </w:r>
          </w:p>
        </w:tc>
        <w:tc>
          <w:tcPr>
            <w:tcW w:type="dxa" w:w="7257"/>
          </w:tcPr>
          <w:p>
            <w:pPr>
              <w:spacing w:after="0" w:line="252" w:lineRule="auto"/>
            </w:pPr>
            <w:r>
              <w:rPr>
                <w:sz w:val="17"/>
              </w:rPr>
              <w:t>LMB-Boxen: Trennwände entfernen/einsetzen und Kubaturen – WAMAS Touch</w:t>
            </w:r>
          </w:p>
        </w:tc>
      </w:tr>
      <w:tr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Produkt / Release</w:t>
            </w:r>
          </w:p>
        </w:tc>
        <w:tc>
          <w:tcPr>
            <w:tcW w:type="dxa" w:w="7257"/>
          </w:tcPr>
          <w:p>
            <w:pPr>
              <w:spacing w:after="0" w:line="252" w:lineRule="auto"/>
            </w:pPr>
            <w:r>
              <w:rPr>
                <w:sz w:val="17"/>
              </w:rPr>
              <w:t>WAMAS Lift &amp; Store 2.8</w:t>
            </w:r>
          </w:p>
        </w:tc>
      </w:tr>
      <w:tr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Dokumentversion</w:t>
            </w:r>
          </w:p>
        </w:tc>
        <w:tc>
          <w:tcPr>
            <w:tcW w:type="dxa" w:w="7257"/>
          </w:tcPr>
          <w:p>
            <w:pPr>
              <w:spacing w:after="0" w:line="252" w:lineRule="auto"/>
            </w:pPr>
            <w:r>
              <w:rPr>
                <w:sz w:val="17"/>
              </w:rPr>
              <w:t>1.1</w:t>
            </w:r>
          </w:p>
        </w:tc>
      </w:tr>
      <w:tr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Stand</w:t>
            </w:r>
          </w:p>
        </w:tc>
        <w:tc>
          <w:tcPr>
            <w:tcW w:type="dxa" w:w="7257"/>
          </w:tcPr>
          <w:p>
            <w:pPr>
              <w:spacing w:after="0" w:line="252" w:lineRule="auto"/>
            </w:pPr>
            <w:r>
              <w:rPr>
                <w:sz w:val="17"/>
              </w:rPr>
              <w:t>17.10.2026</w:t>
            </w:r>
          </w:p>
        </w:tc>
      </w:tr>
      <w:tr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Autor</w:t>
            </w:r>
          </w:p>
        </w:tc>
        <w:tc>
          <w:tcPr>
            <w:tcW w:type="dxa" w:w="7257"/>
          </w:tcPr>
          <w:p>
            <w:pPr>
              <w:spacing w:after="0" w:line="252" w:lineRule="auto"/>
            </w:pPr>
            <w:r>
              <w:rPr>
                <w:sz w:val="17"/>
              </w:rPr>
              <w:t>SSI SCHÄFER</w:t>
            </w:r>
          </w:p>
        </w:tc>
      </w:tr>
      <w:tr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Zielgruppe</w:t>
            </w:r>
          </w:p>
        </w:tc>
        <w:tc>
          <w:tcPr>
            <w:tcW w:type="dxa" w:w="7257"/>
          </w:tcPr>
          <w:p>
            <w:pPr>
              <w:spacing w:after="0" w:line="252" w:lineRule="auto"/>
            </w:pPr>
            <w:r>
              <w:rPr>
                <w:sz w:val="17"/>
              </w:rPr>
              <w:t>Anwender, Key-User</w:t>
            </w:r>
          </w:p>
        </w:tc>
      </w:tr>
      <w:tr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Grundlage</w:t>
            </w:r>
          </w:p>
        </w:tc>
        <w:tc>
          <w:tcPr>
            <w:tcW w:type="dxa" w:w="7257"/>
          </w:tcPr>
          <w:p>
            <w:pPr>
              <w:spacing w:after="0" w:line="252" w:lineRule="auto"/>
            </w:pPr>
            <w:r>
              <w:rPr>
                <w:sz w:val="17"/>
              </w:rPr>
              <w:t>Tests auf srv01, LOGIMAT A2 Öffnung 1, 17.10.2026 (13:30–14:16 Uhr); Fachwissen Marek</w:t>
            </w:r>
          </w:p>
        </w:tc>
      </w:tr>
    </w:tbl>
    <w:p>
      <w:pPr>
        <w:spacing w:after="40"/>
      </w:pP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865"/>
        <w:gridCol w:w="1237"/>
        <w:gridCol w:w="7422"/>
      </w:tblGrid>
      <w:tr>
        <w:trPr>
          <w:tblHeader w:val="true"/>
        </w:trPr>
        <w:tc>
          <w:tcPr>
            <w:tcW w:type="dxa" w:w="866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Version</w:t>
            </w:r>
          </w:p>
        </w:tc>
        <w:tc>
          <w:tcPr>
            <w:tcW w:type="dxa" w:w="1237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Datum</w:t>
            </w:r>
          </w:p>
        </w:tc>
        <w:tc>
          <w:tcPr>
            <w:tcW w:type="dxa" w:w="7422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Änderung</w:t>
            </w:r>
          </w:p>
        </w:tc>
      </w:tr>
      <w:tr>
        <w:tc>
          <w:tcPr>
            <w:tcW w:type="dxa" w:w="866"/>
          </w:tcPr>
          <w:p>
            <w:pPr>
              <w:spacing w:after="0" w:line="252" w:lineRule="auto"/>
            </w:pPr>
            <w:r>
              <w:rPr>
                <w:sz w:val="17"/>
              </w:rPr>
              <w:t>1.0</w:t>
            </w:r>
          </w:p>
        </w:tc>
        <w:tc>
          <w:tcPr>
            <w:tcW w:type="dxa" w:w="1237"/>
          </w:tcPr>
          <w:p>
            <w:pPr>
              <w:spacing w:after="0" w:line="252" w:lineRule="auto"/>
            </w:pPr>
            <w:r>
              <w:rPr>
                <w:sz w:val="17"/>
              </w:rPr>
              <w:t>17.10.2026</w:t>
            </w:r>
          </w:p>
        </w:tc>
        <w:tc>
          <w:tcPr>
            <w:tcW w:type="dxa" w:w="7422"/>
          </w:tcPr>
          <w:p>
            <w:pPr>
              <w:spacing w:after="0" w:line="252" w:lineRule="auto"/>
            </w:pPr>
            <w:r>
              <w:rPr>
                <w:sz w:val="17"/>
              </w:rPr>
              <w:t>Erstausgabe auf Basis des Systemtests</w:t>
            </w:r>
          </w:p>
        </w:tc>
      </w:tr>
      <w:tr>
        <w:tc>
          <w:tcPr>
            <w:tcW w:type="dxa" w:w="866"/>
          </w:tcPr>
          <w:p>
            <w:pPr>
              <w:spacing w:after="0" w:line="252" w:lineRule="auto"/>
            </w:pPr>
            <w:r>
              <w:rPr>
                <w:sz w:val="17"/>
              </w:rPr>
              <w:t>1.1</w:t>
            </w:r>
          </w:p>
        </w:tc>
        <w:tc>
          <w:tcPr>
            <w:tcW w:type="dxa" w:w="1237"/>
          </w:tcPr>
          <w:p>
            <w:pPr>
              <w:spacing w:after="0" w:line="252" w:lineRule="auto"/>
            </w:pPr>
            <w:r>
              <w:rPr>
                <w:sz w:val="17"/>
              </w:rPr>
              <w:t>17.10.2026</w:t>
            </w:r>
          </w:p>
        </w:tc>
        <w:tc>
          <w:tcPr>
            <w:tcW w:type="dxa" w:w="7422"/>
          </w:tcPr>
          <w:p>
            <w:pPr>
              <w:spacing w:after="0" w:line="252" w:lineRule="auto"/>
            </w:pPr>
            <w:r>
              <w:rPr>
                <w:sz w:val="17"/>
              </w:rPr>
              <w:t>Screenshots ergänzt; Trennwände einsetzen und Dialog LM135 verifiziert; Telegrammweg bestätigt; LM084-Ergebnis; Varianten der Testbuchungen ergänzt; Hinweis Browser-Tabs</w:t>
            </w:r>
          </w:p>
        </w:tc>
      </w:tr>
    </w:tbl>
    <w:p>
      <w:pPr>
        <w:pStyle w:val="BeschriftungSSI"/>
      </w:pPr>
      <w:r>
        <w:t>Tab. 1: Änderungshistorie</w:t>
      </w:r>
    </w:p>
    <w:p>
      <w:pPr>
        <w:pStyle w:val="Heading1"/>
      </w:pPr>
      <w:r>
        <w:t>2 Begriffe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2198"/>
        <w:gridCol w:w="7327"/>
      </w:tblGrid>
      <w:tr>
        <w:trPr>
          <w:tblHeader w:val="true"/>
        </w:trPr>
        <w:tc>
          <w:tcPr>
            <w:tcW w:type="dxa" w:w="2198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Begriff</w:t>
            </w:r>
          </w:p>
        </w:tc>
        <w:tc>
          <w:tcPr>
            <w:tcW w:type="dxa" w:w="7326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Bedeutung</w:t>
            </w:r>
          </w:p>
        </w:tc>
      </w:tr>
      <w:tr>
        <w:tc>
          <w:tcPr>
            <w:tcW w:type="dxa" w:w="2198"/>
          </w:tcPr>
          <w:p>
            <w:pPr>
              <w:spacing w:after="0" w:line="252" w:lineRule="auto"/>
            </w:pPr>
            <w:r>
              <w:rPr>
                <w:sz w:val="17"/>
              </w:rPr>
              <w:t>Box</w:t>
            </w:r>
          </w:p>
        </w:tc>
        <w:tc>
          <w:tcPr>
            <w:tcW w:type="dxa" w:w="7326"/>
          </w:tcPr>
          <w:p>
            <w:pPr>
              <w:spacing w:after="0" w:line="252" w:lineRule="auto"/>
            </w:pPr>
            <w:r>
              <w:rPr>
                <w:sz w:val="17"/>
              </w:rPr>
              <w:t>Physischer Behälter auf dem Tablar, z. B. LMB821 oder LMB842. Jede Box hat eine ID, z. B. 29464762004-001.</w:t>
            </w:r>
          </w:p>
        </w:tc>
      </w:tr>
      <w:tr>
        <w:tc>
          <w:tcPr>
            <w:tcW w:type="dxa" w:w="2198"/>
          </w:tcPr>
          <w:p>
            <w:pPr>
              <w:spacing w:after="0" w:line="252" w:lineRule="auto"/>
            </w:pPr>
            <w:r>
              <w:rPr>
                <w:sz w:val="17"/>
              </w:rPr>
              <w:t>Fach</w:t>
            </w:r>
          </w:p>
        </w:tc>
        <w:tc>
          <w:tcPr>
            <w:tcW w:type="dxa" w:w="7326"/>
          </w:tcPr>
          <w:p>
            <w:pPr>
              <w:spacing w:after="0" w:line="252" w:lineRule="auto"/>
            </w:pPr>
            <w:r>
              <w:rPr>
                <w:sz w:val="17"/>
              </w:rPr>
              <w:t>Teilbereich einer Box zwischen zwei Trennwänden, z. B. 29464762004-002-001.</w:t>
            </w:r>
          </w:p>
        </w:tc>
      </w:tr>
      <w:tr>
        <w:tc>
          <w:tcPr>
            <w:tcW w:type="dxa" w:w="2198"/>
          </w:tcPr>
          <w:p>
            <w:pPr>
              <w:spacing w:after="0" w:line="252" w:lineRule="auto"/>
            </w:pPr>
            <w:r>
              <w:rPr>
                <w:sz w:val="17"/>
              </w:rPr>
              <w:t>Trennwand</w:t>
            </w:r>
          </w:p>
        </w:tc>
        <w:tc>
          <w:tcPr>
            <w:tcW w:type="dxa" w:w="7326"/>
          </w:tcPr>
          <w:p>
            <w:pPr>
              <w:spacing w:after="0" w:line="252" w:lineRule="auto"/>
            </w:pPr>
            <w:r>
              <w:rPr>
                <w:sz w:val="17"/>
              </w:rPr>
              <w:t>Herausnehmbare Wand in der Box. Sie kann jederzeit entfernt oder wieder eingesetzt werden.</w:t>
            </w:r>
          </w:p>
        </w:tc>
      </w:tr>
      <w:tr>
        <w:tc>
          <w:tcPr>
            <w:tcW w:type="dxa" w:w="2198"/>
          </w:tcPr>
          <w:p>
            <w:pPr>
              <w:spacing w:after="0" w:line="252" w:lineRule="auto"/>
            </w:pPr>
            <w:r>
              <w:rPr>
                <w:sz w:val="17"/>
              </w:rPr>
              <w:t>Kubatur / Variante</w:t>
            </w:r>
          </w:p>
        </w:tc>
        <w:tc>
          <w:tcPr>
            <w:tcW w:type="dxa" w:w="7326"/>
          </w:tcPr>
          <w:p>
            <w:pPr>
              <w:spacing w:after="0" w:line="252" w:lineRule="auto"/>
            </w:pPr>
            <w:r>
              <w:rPr>
                <w:sz w:val="17"/>
              </w:rPr>
              <w:t>Fachgröße, die sich aus der Trennwand-Konfiguration ergibt. Name: &lt;Boxtyp&gt;_&lt;Fachlänge in mm&gt;, z. B. LMB821_99, LMB842_765.</w:t>
            </w:r>
          </w:p>
        </w:tc>
      </w:tr>
    </w:tbl>
    <w:p>
      <w:pPr>
        <w:pStyle w:val="BeschriftungSSI"/>
      </w:pPr>
      <w:r>
        <w:t>Tab. 2: Begriffe</w:t>
      </w: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FF9C4"/>
            <w:tcBorders>
              <w:top w:val="nil"/>
              <w:left w:val="single" w:sz="24" w:color="FEEE19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sz w:val="19"/>
              </w:rPr>
              <w:t>Zuordnung je Kubatur</w:t>
            </w:r>
          </w:p>
          <w:p>
            <w:pPr>
              <w:spacing w:after="40"/>
            </w:pPr>
            <w:r>
              <w:rPr>
                <w:sz w:val="19"/>
              </w:rPr>
              <w:t>Artikelzuordnungen (Maximalmenge) gelten pro Variante bzw. Fach-Kubatur, nicht pro Boxtyp. Ein Artikel, der LMB821_99 zugeordnet ist, kann in jedes 99er-Fach eines LMB821 eingelagert werden, aber nicht automatisch in ein 210er-Fach.</w:t>
            </w:r>
          </w:p>
        </w:tc>
      </w:tr>
    </w:tbl>
    <w:p>
      <w:pPr>
        <w:spacing w:after="40"/>
      </w:pP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Fachwissen Marek; Systemtest 17.10.2026</w:t>
      </w:r>
    </w:p>
    <w:p>
      <w:pPr>
        <w:pStyle w:val="Heading1"/>
      </w:pPr>
      <w:r>
        <w:t>3 Tablar komplett befüllen</w:t>
      </w: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FF9C4"/>
            <w:tcBorders>
              <w:top w:val="nil"/>
              <w:left w:val="single" w:sz="24" w:color="FEEE19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sz w:val="19"/>
              </w:rPr>
              <w:t>Gute Praxis</w:t>
            </w:r>
          </w:p>
          <w:p>
            <w:pPr>
              <w:spacing w:after="40"/>
            </w:pPr>
            <w:r>
              <w:rPr>
                <w:sz w:val="19"/>
              </w:rPr>
              <w:t>Belegen Sie das GANZE Tablar mit Boxen, nicht nur einzelne Boxen. Freie Fächer stehen dann für neue Artikel bereit.</w:t>
            </w:r>
          </w:p>
        </w:tc>
      </w:tr>
    </w:tbl>
    <w:p>
      <w:pPr>
        <w:spacing w:after="40"/>
      </w:pP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1.</w:t>
        <w:tab/>
      </w:r>
      <w:r>
        <w:t xml:space="preserve">In </w:t>
      </w:r>
      <w:r>
        <w:rPr>
          <w:b/>
        </w:rPr>
        <w:t>LM040</w:t>
      </w:r>
      <w:r>
        <w:t xml:space="preserve"> </w:t>
      </w:r>
      <w:r>
        <w:rPr>
          <w:b/>
        </w:rPr>
        <w:t>Übersicht Tablare</w:t>
      </w:r>
      <w:r>
        <w:t xml:space="preserve"> das Tablar auswählen.</w:t>
      </w:r>
    </w:p>
    <w:p>
      <w:pPr>
        <w:keepNext/>
      </w:pPr>
      <w:r>
        <w:drawing>
          <wp:inline xmlns:a="http://schemas.openxmlformats.org/drawingml/2006/main" xmlns:pic="http://schemas.openxmlformats.org/drawingml/2006/picture">
            <wp:extent cx="5400000" cy="999844"/>
            <wp:docPr id="104" name="Picture 10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m040.png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400000" cy="999844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BeschriftungSSI"/>
      </w:pPr>
      <w:r>
        <w:t>Abb. 1: LM040 – Tablar auswählen (hier über Artikelsuche gefunden)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2.</w:t>
        <w:tab/>
      </w:r>
      <w:r>
        <w:rPr>
          <w:b/>
        </w:rPr>
        <w:t>Tablar anfordern</w:t>
      </w:r>
      <w:r>
        <w:t xml:space="preserve"> drücken. In </w:t>
      </w:r>
      <w:r>
        <w:rPr>
          <w:b/>
        </w:rPr>
        <w:t>LM002</w:t>
      </w:r>
      <w:r>
        <w:t xml:space="preserve"> erscheint </w:t>
      </w:r>
      <w:r>
        <w:rPr>
          <w:b/>
        </w:rPr>
        <w:t>Tablar 4 an Zugriffsöffnung schicken ...</w:t>
      </w:r>
      <w:r>
        <w:t xml:space="preserve">, danach </w:t>
      </w:r>
      <w:r>
        <w:rPr>
          <w:b/>
        </w:rPr>
        <w:t>Box dem Tablar hinzufügen</w:t>
      </w:r>
      <w:r>
        <w:t>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3.</w:t>
        <w:tab/>
      </w:r>
      <w:r>
        <w:rPr>
          <w:b/>
        </w:rPr>
        <w:t>Tablarlayout bearbeiten</w:t>
      </w:r>
      <w:r>
        <w:t xml:space="preserve"> drücken. Der Editor </w:t>
      </w:r>
      <w:r>
        <w:rPr>
          <w:b/>
        </w:rPr>
        <w:t>LM004</w:t>
      </w:r>
      <w:r>
        <w:t xml:space="preserve"> öffnet sich.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4.</w:t>
        <w:tab/>
      </w:r>
      <w:r>
        <w:t>Den Boxtyp (z. B. LMB821 200x800) langsam aus der Palette auf das Tablar ziehen.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5.</w:t>
        <w:tab/>
      </w:r>
      <w:r>
        <w:t xml:space="preserve">Die Box auswählen und </w:t>
      </w:r>
      <w:r>
        <w:rPr>
          <w:b/>
        </w:rPr>
        <w:t>Füllen</w:t>
      </w:r>
      <w:r>
        <w:t xml:space="preserve"> drücken. Es erscheint nur eine grüne Vorschau, </w:t>
      </w:r>
      <w:r>
        <w:rPr>
          <w:b/>
        </w:rPr>
        <w:t>Speichern</w:t>
      </w:r>
      <w:r>
        <w:t xml:space="preserve"> bleibt grau.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6.</w:t>
        <w:tab/>
      </w:r>
      <w:r>
        <w:t>In die Vorschau klicken. Von der gewählten Box bis zum Klickpunkt werden Boxen angelegt.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7.</w:t>
        <w:tab/>
      </w:r>
      <w:r>
        <w:t>Schritt 5–6 wiederholen, bis das Tablar voll ist.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8.</w:t>
        <w:tab/>
      </w:r>
      <w:r>
        <w:rPr>
          <w:b/>
        </w:rPr>
        <w:t>Speichern</w:t>
      </w:r>
      <w:r>
        <w:t xml:space="preserve"> drücken. Es erscheint keine Meldung.</w:t>
      </w:r>
    </w:p>
    <w:p>
      <w:r>
        <w:t>Ergebnis im Test: 20 Boxen LMB821, 29464762004-001 bis -020, je 7 Fächer 171X99.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4113"/>
        <w:gridCol w:w="5412"/>
      </w:tblGrid>
      <w:tr>
        <w:trPr>
          <w:tblHeader w:val="true"/>
        </w:trPr>
        <w:tc>
          <w:tcPr>
            <w:tcW w:type="dxa" w:w="4113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Schaltfläche</w:t>
            </w:r>
          </w:p>
        </w:tc>
        <w:tc>
          <w:tcPr>
            <w:tcW w:type="dxa" w:w="5412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Funktion</w:t>
            </w:r>
          </w:p>
        </w:tc>
      </w:tr>
      <w:tr>
        <w:tc>
          <w:tcPr>
            <w:tcW w:type="dxa" w:w="4113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Füllen</w:t>
            </w:r>
          </w:p>
        </w:tc>
        <w:tc>
          <w:tcPr>
            <w:tcW w:type="dxa" w:w="5412"/>
          </w:tcPr>
          <w:p>
            <w:pPr>
              <w:spacing w:after="0" w:line="252" w:lineRule="auto"/>
            </w:pPr>
            <w:r>
              <w:rPr>
                <w:sz w:val="17"/>
              </w:rPr>
              <w:t>Tablar ab gewählter Box mit gleichem Boxtyp füllen</w:t>
            </w:r>
          </w:p>
        </w:tc>
      </w:tr>
      <w:tr>
        <w:tc>
          <w:tcPr>
            <w:tcW w:type="dxa" w:w="4113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Unterteilte Box bearbeiten</w:t>
            </w:r>
            <w:r>
              <w:rPr>
                <w:sz w:val="17"/>
              </w:rPr>
              <w:t xml:space="preserve"> (Stift)</w:t>
            </w:r>
          </w:p>
        </w:tc>
        <w:tc>
          <w:tcPr>
            <w:tcW w:type="dxa" w:w="5412"/>
          </w:tcPr>
          <w:p>
            <w:pPr>
              <w:spacing w:after="0" w:line="252" w:lineRule="auto"/>
            </w:pPr>
            <w:r>
              <w:rPr>
                <w:sz w:val="17"/>
              </w:rPr>
              <w:t>Bei gespeicherten Boxen ausgegraut</w:t>
            </w:r>
          </w:p>
        </w:tc>
      </w:tr>
      <w:tr>
        <w:tc>
          <w:tcPr>
            <w:tcW w:type="dxa" w:w="4113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Barcode scannen</w:t>
            </w:r>
          </w:p>
        </w:tc>
        <w:tc>
          <w:tcPr>
            <w:tcW w:type="dxa" w:w="5412"/>
          </w:tcPr>
          <w:p>
            <w:pPr>
              <w:spacing w:after="0" w:line="252" w:lineRule="auto"/>
            </w:pPr>
            <w:r>
              <w:rPr>
                <w:sz w:val="17"/>
              </w:rPr>
              <w:t>Box per Barcode erfassen</w:t>
            </w:r>
          </w:p>
        </w:tc>
      </w:tr>
      <w:tr>
        <w:tc>
          <w:tcPr>
            <w:tcW w:type="dxa" w:w="4113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Boxtyp pflegen</w:t>
            </w:r>
            <w:r>
              <w:rPr>
                <w:sz w:val="17"/>
              </w:rPr>
              <w:t xml:space="preserve"> (grünes Plus)</w:t>
            </w:r>
          </w:p>
        </w:tc>
        <w:tc>
          <w:tcPr>
            <w:tcW w:type="dxa" w:w="5412"/>
          </w:tcPr>
          <w:p>
            <w:pPr>
              <w:spacing w:after="0" w:line="252" w:lineRule="auto"/>
            </w:pPr>
            <w:r>
              <w:rPr>
                <w:sz w:val="17"/>
              </w:rPr>
              <w:t>Boxtyp pflegen</w:t>
            </w:r>
          </w:p>
        </w:tc>
      </w:tr>
      <w:tr>
        <w:tc>
          <w:tcPr>
            <w:tcW w:type="dxa" w:w="4113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Drehen</w:t>
            </w:r>
          </w:p>
        </w:tc>
        <w:tc>
          <w:tcPr>
            <w:tcW w:type="dxa" w:w="5412"/>
          </w:tcPr>
          <w:p>
            <w:pPr>
              <w:spacing w:after="0" w:line="252" w:lineRule="auto"/>
            </w:pPr>
            <w:r>
              <w:rPr>
                <w:sz w:val="17"/>
              </w:rPr>
              <w:t>Box drehen</w:t>
            </w:r>
          </w:p>
        </w:tc>
      </w:tr>
      <w:tr>
        <w:tc>
          <w:tcPr>
            <w:tcW w:type="dxa" w:w="4113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Entfernen</w:t>
            </w:r>
            <w:r>
              <w:rPr>
                <w:sz w:val="17"/>
              </w:rPr>
              <w:t xml:space="preserve"> (Tooltip </w:t>
            </w:r>
            <w:r>
              <w:rPr>
                <w:b/>
                <w:sz w:val="17"/>
              </w:rPr>
              <w:t>Löschen</w:t>
            </w:r>
            <w:r>
              <w:rPr>
                <w:sz w:val="17"/>
              </w:rPr>
              <w:t>)</w:t>
            </w:r>
          </w:p>
        </w:tc>
        <w:tc>
          <w:tcPr>
            <w:tcW w:type="dxa" w:w="5412"/>
          </w:tcPr>
          <w:p>
            <w:pPr>
              <w:spacing w:after="0" w:line="252" w:lineRule="auto"/>
            </w:pPr>
            <w:r>
              <w:rPr>
                <w:sz w:val="17"/>
              </w:rPr>
              <w:t>Box entfernen</w:t>
            </w:r>
          </w:p>
        </w:tc>
      </w:tr>
    </w:tbl>
    <w:p>
      <w:pPr>
        <w:pStyle w:val="BeschriftungSSI"/>
      </w:pPr>
      <w:r>
        <w:t>Tab. 3: Schaltflächen in LM004</w:t>
      </w:r>
    </w:p>
    <w:p>
      <w:r>
        <w:t xml:space="preserve">Der Filter </w:t>
      </w:r>
      <w:r>
        <w:rPr>
          <w:b/>
        </w:rPr>
        <w:t>Filter für unterteilte Boxen</w:t>
      </w:r>
      <w:r>
        <w:t xml:space="preserve"> bietet: </w:t>
      </w:r>
      <w:r>
        <w:rPr>
          <w:b/>
        </w:rPr>
        <w:t>Alle Boxtypen</w:t>
      </w:r>
      <w:r>
        <w:t xml:space="preserve">, </w:t>
      </w:r>
      <w:r>
        <w:rPr>
          <w:b/>
        </w:rPr>
        <w:t>Ohne LE-Fächer</w:t>
      </w:r>
      <w:r>
        <w:t xml:space="preserve">, </w:t>
      </w:r>
      <w:r>
        <w:rPr>
          <w:b/>
        </w:rPr>
        <w:t>Mit LE-Fächern</w:t>
      </w:r>
      <w:r>
        <w:t xml:space="preserve">, </w:t>
      </w:r>
      <w:r>
        <w:rPr>
          <w:b/>
        </w:rPr>
        <w:t>Boxen mit Trennwänden</w:t>
      </w:r>
      <w:r>
        <w:t xml:space="preserve">, </w:t>
      </w:r>
      <w:r>
        <w:rPr>
          <w:b/>
        </w:rPr>
        <w:t>Boxen, deren Trennwände entfernt wurden</w:t>
      </w:r>
      <w:r>
        <w:t>.</w:t>
      </w: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Systemtest srv01, 17.10.2026</w:t>
      </w:r>
    </w:p>
    <w:p>
      <w:pPr>
        <w:pStyle w:val="Heading1"/>
      </w:pPr>
      <w:r>
        <w:t>4 Dialog LM135 „Unterteilte Box pflegen“</w:t>
      </w:r>
    </w:p>
    <w:p>
      <w:r>
        <w:t xml:space="preserve">Das Tablar steht an der Öffnung, </w:t>
      </w:r>
      <w:r>
        <w:rPr>
          <w:b/>
        </w:rPr>
        <w:t>LM002</w:t>
      </w:r>
      <w:r>
        <w:t xml:space="preserve"> ist offen. Box in der Tablargrafik auswählen und die dritte Schaltfläche von links (Lupe) drücken. Der Dialog </w:t>
      </w:r>
      <w:r>
        <w:rPr>
          <w:b/>
        </w:rPr>
        <w:t>LM135 | Unterteilte Box pflegen</w:t>
      </w:r>
      <w:r>
        <w:t xml:space="preserve"> öffnet sich.</w:t>
      </w:r>
    </w:p>
    <w:p>
      <w:pPr>
        <w:keepNext/>
      </w:pPr>
      <w:r>
        <w:drawing>
          <wp:inline xmlns:a="http://schemas.openxmlformats.org/drawingml/2006/main" xmlns:pic="http://schemas.openxmlformats.org/drawingml/2006/picture">
            <wp:extent cx="5400000" cy="3058594"/>
            <wp:docPr id="105" name="Picture 10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m002_lupe.png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400000" cy="3058594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BeschriftungSSI"/>
      </w:pPr>
      <w:r>
        <w:t>Abb. 2: LM002 – Lupe öffnet LM135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2350"/>
        <w:gridCol w:w="7175"/>
      </w:tblGrid>
      <w:tr>
        <w:trPr>
          <w:tblHeader w:val="true"/>
        </w:trPr>
        <w:tc>
          <w:tcPr>
            <w:tcW w:type="dxa" w:w="2350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Schaltfläche</w:t>
            </w:r>
          </w:p>
        </w:tc>
        <w:tc>
          <w:tcPr>
            <w:tcW w:type="dxa" w:w="7174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Tooltip / Funktion</w:t>
            </w:r>
          </w:p>
        </w:tc>
      </w:tr>
      <w:tr>
        <w:tc>
          <w:tcPr>
            <w:tcW w:type="dxa" w:w="2350"/>
          </w:tcPr>
          <w:p>
            <w:pPr>
              <w:spacing w:after="0" w:line="252" w:lineRule="auto"/>
            </w:pPr>
            <w:r>
              <w:rPr>
                <w:sz w:val="17"/>
              </w:rPr>
              <w:t>Blauer Pfeil zurück</w:t>
            </w:r>
          </w:p>
        </w:tc>
        <w:tc>
          <w:tcPr>
            <w:tcW w:type="dxa" w:w="7174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Abbrechen</w:t>
            </w:r>
          </w:p>
        </w:tc>
      </w:tr>
      <w:tr>
        <w:tc>
          <w:tcPr>
            <w:tcW w:type="dxa" w:w="2350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&lt;</w:t>
            </w:r>
          </w:p>
        </w:tc>
        <w:tc>
          <w:tcPr>
            <w:tcW w:type="dxa" w:w="7174"/>
          </w:tcPr>
          <w:p>
            <w:pPr>
              <w:spacing w:after="0" w:line="252" w:lineRule="auto"/>
            </w:pPr>
            <w:r>
              <w:rPr>
                <w:sz w:val="17"/>
              </w:rPr>
              <w:t>Vorherige Trennwandposition (an erster Position grau)</w:t>
            </w:r>
          </w:p>
        </w:tc>
      </w:tr>
      <w:tr>
        <w:tc>
          <w:tcPr>
            <w:tcW w:type="dxa" w:w="2350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Grünes </w:t>
            </w:r>
            <w:r>
              <w:rPr>
                <w:b/>
                <w:sz w:val="17"/>
              </w:rPr>
              <w:t>+</w:t>
            </w:r>
          </w:p>
        </w:tc>
        <w:tc>
          <w:tcPr>
            <w:tcW w:type="dxa" w:w="7174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Trennwand hinzufügen</w:t>
            </w:r>
            <w:r>
              <w:rPr>
                <w:sz w:val="17"/>
              </w:rPr>
              <w:t xml:space="preserve"> – aktiv, wo keine Trennwand sitzt</w:t>
            </w:r>
          </w:p>
        </w:tc>
      </w:tr>
      <w:tr>
        <w:tc>
          <w:tcPr>
            <w:tcW w:type="dxa" w:w="2350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Rotes </w:t>
            </w:r>
            <w:r>
              <w:rPr>
                <w:b/>
                <w:sz w:val="17"/>
              </w:rPr>
              <w:t>−</w:t>
            </w:r>
          </w:p>
        </w:tc>
        <w:tc>
          <w:tcPr>
            <w:tcW w:type="dxa" w:w="7174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Trennwand entfernen</w:t>
            </w:r>
            <w:r>
              <w:rPr>
                <w:sz w:val="17"/>
              </w:rPr>
              <w:t xml:space="preserve"> – aktiv, wo eine Trennwand sitzt</w:t>
            </w:r>
          </w:p>
        </w:tc>
      </w:tr>
      <w:tr>
        <w:tc>
          <w:tcPr>
            <w:tcW w:type="dxa" w:w="2350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&gt;</w:t>
            </w:r>
          </w:p>
        </w:tc>
        <w:tc>
          <w:tcPr>
            <w:tcW w:type="dxa" w:w="7174"/>
          </w:tcPr>
          <w:p>
            <w:pPr>
              <w:spacing w:after="0" w:line="252" w:lineRule="auto"/>
            </w:pPr>
            <w:r>
              <w:rPr>
                <w:sz w:val="17"/>
              </w:rPr>
              <w:t>Nächste Trennwandposition</w:t>
            </w:r>
          </w:p>
        </w:tc>
      </w:tr>
      <w:tr>
        <w:tc>
          <w:tcPr>
            <w:tcW w:type="dxa" w:w="2350"/>
          </w:tcPr>
          <w:p>
            <w:pPr>
              <w:spacing w:after="0" w:line="252" w:lineRule="auto"/>
            </w:pPr>
            <w:r>
              <w:rPr>
                <w:sz w:val="17"/>
              </w:rPr>
              <w:t>Grüner Haken</w:t>
            </w:r>
          </w:p>
        </w:tc>
        <w:tc>
          <w:tcPr>
            <w:tcW w:type="dxa" w:w="7174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Speichern</w:t>
            </w:r>
          </w:p>
        </w:tc>
      </w:tr>
    </w:tbl>
    <w:p>
      <w:pPr>
        <w:pStyle w:val="BeschriftungSSI"/>
      </w:pPr>
      <w:r>
        <w:t>Tab. 4: Schaltflächen in LM135</w:t>
      </w:r>
    </w:p>
    <w:p>
      <w:r>
        <w:t xml:space="preserve">Unter den Schaltflächen steht die Box, z. B. </w:t>
      </w:r>
      <w:r>
        <w:rPr>
          <w:b/>
        </w:rPr>
        <w:t>29464762004-007 LMB821</w:t>
      </w:r>
      <w:r>
        <w:t>.</w:t>
      </w: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FF9C4"/>
            <w:tcBorders>
              <w:top w:val="nil"/>
              <w:left w:val="single" w:sz="24" w:color="E89A00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sz w:val="19"/>
              </w:rPr>
              <w:t>Zeichnung ändert sich nicht</w:t>
            </w:r>
          </w:p>
          <w:p>
            <w:pPr>
              <w:spacing w:after="40"/>
            </w:pPr>
            <w:r>
              <w:rPr>
                <w:sz w:val="19"/>
              </w:rPr>
              <w:t xml:space="preserve">Die Zeichnung im Dialog wird nicht neu gezeichnet, nur die Schaltflächen ändern ihren Zustand. Die Tablargrafik in LM002 zeigt das Ergebnis erst nach </w:t>
            </w:r>
            <w:r>
              <w:rPr>
                <w:b/>
                <w:sz w:val="19"/>
              </w:rPr>
              <w:t>Speichern</w:t>
            </w:r>
            <w:r>
              <w:rPr>
                <w:sz w:val="19"/>
              </w:rPr>
              <w:t xml:space="preserve">. Prüfen Sie die Zeile </w:t>
            </w:r>
            <w:r>
              <w:rPr>
                <w:b/>
                <w:sz w:val="19"/>
              </w:rPr>
              <w:t>Zuordnungen für Box &lt;ID&gt;-&lt;Fach&gt; (BxH)</w:t>
            </w:r>
            <w:r>
              <w:rPr>
                <w:sz w:val="19"/>
              </w:rPr>
              <w:t>.</w:t>
            </w:r>
          </w:p>
        </w:tc>
      </w:tr>
    </w:tbl>
    <w:p>
      <w:pPr>
        <w:spacing w:after="40"/>
      </w:pP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Systemtest srv01, 17.10.2026, 14:13–14:15 Uhr</w:t>
      </w:r>
    </w:p>
    <w:p>
      <w:pPr>
        <w:pStyle w:val="Heading1"/>
      </w:pPr>
      <w:r>
        <w:t>5 Trennwände entfernen und einsetzen</w:t>
      </w:r>
    </w:p>
    <w:p>
      <w:pPr>
        <w:pStyle w:val="Heading2"/>
      </w:pPr>
      <w:r>
        <w:t>5.1 Trennwand entfernen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1.</w:t>
        <w:tab/>
      </w:r>
      <w:r>
        <w:t>Box in LM002 wählen, Lupe drücken.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2.</w:t>
        <w:tab/>
      </w:r>
      <w:r>
        <w:t xml:space="preserve">Mit </w:t>
      </w:r>
      <w:r>
        <w:rPr>
          <w:b/>
        </w:rPr>
        <w:t>&lt;</w:t>
      </w:r>
      <w:r>
        <w:t xml:space="preserve"> / </w:t>
      </w:r>
      <w:r>
        <w:rPr>
          <w:b/>
        </w:rPr>
        <w:t>&gt;</w:t>
      </w:r>
      <w:r>
        <w:t xml:space="preserve"> zur Trennwandposition gehen.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3.</w:t>
        <w:tab/>
      </w:r>
      <w:r>
        <w:t xml:space="preserve">Rotes </w:t>
      </w:r>
      <w:r>
        <w:rPr>
          <w:b/>
        </w:rPr>
        <w:t>−</w:t>
      </w:r>
      <w:r>
        <w:t xml:space="preserve"> (</w:t>
      </w:r>
      <w:r>
        <w:rPr>
          <w:b/>
        </w:rPr>
        <w:t>Trennwand entfernen</w:t>
      </w:r>
      <w:r>
        <w:t>) drücken.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4.</w:t>
        <w:tab/>
      </w:r>
      <w:r>
        <w:rPr>
          <w:b/>
        </w:rPr>
        <w:t>Speichern</w:t>
      </w:r>
      <w:r>
        <w:t xml:space="preserve"> drücken.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5.</w:t>
        <w:tab/>
      </w:r>
      <w:r>
        <w:t>Physische Handlung: Trennwand aus der Box nehmen bzw. umstecken.</w:t>
      </w:r>
    </w:p>
    <w:p>
      <w:pPr>
        <w:keepNext/>
      </w:pPr>
      <w:r>
        <w:drawing>
          <wp:inline xmlns:a="http://schemas.openxmlformats.org/drawingml/2006/main" xmlns:pic="http://schemas.openxmlformats.org/drawingml/2006/picture">
            <wp:extent cx="3960000" cy="2898694"/>
            <wp:docPr id="106" name="Picture 10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m135_minus.png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3960000" cy="2898694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BeschriftungSSI"/>
      </w:pPr>
      <w:r>
        <w:t>Abb. 3: LM135 – Trennwand entfernen (Box -008)</w:t>
      </w:r>
    </w:p>
    <w:p>
      <w:r>
        <w:t xml:space="preserve">Beispiel Box -008 (7 × 99): </w:t>
      </w:r>
      <w:r>
        <w:rPr>
          <w:b/>
        </w:rPr>
        <w:t>−</w:t>
      </w:r>
      <w:r>
        <w:t xml:space="preserve"> an der ersten Position → </w:t>
      </w:r>
      <w:r>
        <w:rPr>
          <w:b/>
        </w:rPr>
        <w:t>Speichern</w:t>
      </w:r>
      <w:r>
        <w:t xml:space="preserve"> → Fach -008-001 (171X210). ART_07, ART_08 und ART_11 zeigen dort </w:t>
      </w:r>
      <w:r>
        <w:rPr>
          <w:b/>
        </w:rPr>
        <w:t>Kann zugeteilt werden</w:t>
      </w:r>
      <w:r>
        <w:t xml:space="preserve"> 50.</w:t>
      </w:r>
    </w:p>
    <w:p>
      <w:pPr>
        <w:keepNext/>
      </w:pPr>
      <w:r>
        <w:drawing>
          <wp:inline xmlns:a="http://schemas.openxmlformats.org/drawingml/2006/main" xmlns:pic="http://schemas.openxmlformats.org/drawingml/2006/picture">
            <wp:extent cx="5400000" cy="1636875"/>
            <wp:docPr id="107" name="Picture 10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res_008.png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400000" cy="1636875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BeschriftungSSI"/>
      </w:pPr>
      <w:r>
        <w:t>Abb. 4: Ergebnis Box -008: Fach 171X210, alle drei Artikel zuteilbar</w:t>
      </w:r>
    </w:p>
    <w:p>
      <w:pPr>
        <w:pStyle w:val="Heading2"/>
      </w:pPr>
      <w:r>
        <w:t>5.2 Trennwand einsetzen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1.</w:t>
        <w:tab/>
      </w:r>
      <w:r>
        <w:t>Box in LM002 wählen, Lupe drücken.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2.</w:t>
        <w:tab/>
      </w:r>
      <w:r>
        <w:t xml:space="preserve">Mit </w:t>
      </w:r>
      <w:r>
        <w:rPr>
          <w:b/>
        </w:rPr>
        <w:t>&lt;</w:t>
      </w:r>
      <w:r>
        <w:t xml:space="preserve"> / </w:t>
      </w:r>
      <w:r>
        <w:rPr>
          <w:b/>
        </w:rPr>
        <w:t>&gt;</w:t>
      </w:r>
      <w:r>
        <w:t xml:space="preserve"> zur freien Position gehen.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3.</w:t>
        <w:tab/>
      </w:r>
      <w:r>
        <w:t xml:space="preserve">Grünes </w:t>
      </w:r>
      <w:r>
        <w:rPr>
          <w:b/>
        </w:rPr>
        <w:t>+</w:t>
      </w:r>
      <w:r>
        <w:t xml:space="preserve"> (</w:t>
      </w:r>
      <w:r>
        <w:rPr>
          <w:b/>
        </w:rPr>
        <w:t>Trennwand hinzufügen</w:t>
      </w:r>
      <w:r>
        <w:t>) drücken.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4.</w:t>
        <w:tab/>
      </w:r>
      <w:r>
        <w:rPr>
          <w:b/>
        </w:rPr>
        <w:t>Speichern</w:t>
      </w:r>
      <w:r>
        <w:t xml:space="preserve"> drücken.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5.</w:t>
        <w:tab/>
      </w:r>
      <w:r>
        <w:t>Physische Handlung: Trennwand in die Box einsetzen.</w:t>
      </w:r>
    </w:p>
    <w:p>
      <w:pPr>
        <w:keepNext/>
      </w:pPr>
      <w:r>
        <w:drawing>
          <wp:inline xmlns:a="http://schemas.openxmlformats.org/drawingml/2006/main" xmlns:pic="http://schemas.openxmlformats.org/drawingml/2006/picture">
            <wp:extent cx="3960000" cy="2898694"/>
            <wp:docPr id="108" name="Picture 10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m135_plus.png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3960000" cy="2898694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BeschriftungSSI"/>
      </w:pPr>
      <w:r>
        <w:t>Abb. 5: LM135 – Trennwand hinzufügen (Box -007)</w:t>
      </w:r>
    </w:p>
    <w:p>
      <w:r>
        <w:t xml:space="preserve">Beispiel Box -007 (1 Fach 171X765): </w:t>
      </w:r>
      <w:r>
        <w:rPr>
          <w:b/>
        </w:rPr>
        <w:t>+</w:t>
      </w:r>
      <w:r>
        <w:t xml:space="preserve"> einmal → </w:t>
      </w:r>
      <w:r>
        <w:rPr>
          <w:b/>
        </w:rPr>
        <w:t>Speichern</w:t>
      </w:r>
      <w:r>
        <w:t xml:space="preserve"> → -007-001 (171X99) unten und -007-002 (171X654) oben. ART_07 zeigt auf dem 99er-Fach </w:t>
      </w:r>
      <w:r>
        <w:rPr>
          <w:b/>
        </w:rPr>
        <w:t>Kann zugeteilt werden</w:t>
      </w:r>
      <w:r>
        <w:t xml:space="preserve"> 50 (dank der am Touch angelegten Zuordnung LMB821_99).</w:t>
      </w:r>
    </w:p>
    <w:p>
      <w:pPr>
        <w:keepNext/>
      </w:pPr>
      <w:r>
        <w:drawing>
          <wp:inline xmlns:a="http://schemas.openxmlformats.org/drawingml/2006/main" xmlns:pic="http://schemas.openxmlformats.org/drawingml/2006/picture">
            <wp:extent cx="5400000" cy="1636875"/>
            <wp:docPr id="109" name="Picture 10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res_007.png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400000" cy="1636875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BeschriftungSSI"/>
      </w:pPr>
      <w:r>
        <w:t>Abb. 6: Ergebnis Box -007: Fach 171X99, ART_07 zuteilbar</w:t>
      </w: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Systemtest srv01, 17.10.2026, 14:13–14:15 Uhr</w:t>
      </w:r>
    </w:p>
    <w:p>
      <w:pPr>
        <w:pStyle w:val="Heading1"/>
      </w:pPr>
      <w:r>
        <w:t>6 Ergebnistabelle Varianten LMB821</w:t>
      </w:r>
    </w:p>
    <w:p>
      <w:r>
        <w:t>Alle Fächer sind 171 mm breit.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3123"/>
        <w:gridCol w:w="3123"/>
        <w:gridCol w:w="3279"/>
      </w:tblGrid>
      <w:tr>
        <w:trPr>
          <w:tblHeader w:val="true"/>
        </w:trPr>
        <w:tc>
          <w:tcPr>
            <w:tcW w:type="dxa" w:w="3123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Entfernte Trennwände</w:t>
            </w:r>
          </w:p>
        </w:tc>
        <w:tc>
          <w:tcPr>
            <w:tcW w:type="dxa" w:w="3123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Fächer (Länge in mm)</w:t>
            </w:r>
          </w:p>
        </w:tc>
        <w:tc>
          <w:tcPr>
            <w:tcW w:type="dxa" w:w="3279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Varianten</w:t>
            </w:r>
          </w:p>
        </w:tc>
      </w:tr>
      <w:tr>
        <w:tc>
          <w:tcPr>
            <w:tcW w:type="dxa" w:w="3123"/>
          </w:tcPr>
          <w:p>
            <w:pPr>
              <w:spacing w:after="0" w:line="252" w:lineRule="auto"/>
            </w:pPr>
            <w:r>
              <w:rPr>
                <w:sz w:val="17"/>
              </w:rPr>
              <w:t>0 (alle 6 drin)</w:t>
            </w:r>
          </w:p>
        </w:tc>
        <w:tc>
          <w:tcPr>
            <w:tcW w:type="dxa" w:w="3123"/>
          </w:tcPr>
          <w:p>
            <w:pPr>
              <w:spacing w:after="0" w:line="252" w:lineRule="auto"/>
            </w:pPr>
            <w:r>
              <w:rPr>
                <w:sz w:val="17"/>
              </w:rPr>
              <w:t>7 × 99</w:t>
            </w:r>
          </w:p>
        </w:tc>
        <w:tc>
          <w:tcPr>
            <w:tcW w:type="dxa" w:w="3279"/>
          </w:tcPr>
          <w:p>
            <w:pPr>
              <w:spacing w:after="0" w:line="252" w:lineRule="auto"/>
            </w:pPr>
            <w:r>
              <w:rPr>
                <w:sz w:val="17"/>
              </w:rPr>
              <w:t>LMB821_99</w:t>
            </w:r>
          </w:p>
        </w:tc>
      </w:tr>
      <w:tr>
        <w:tc>
          <w:tcPr>
            <w:tcW w:type="dxa" w:w="3123"/>
          </w:tcPr>
          <w:p>
            <w:pPr>
              <w:spacing w:after="0" w:line="252" w:lineRule="auto"/>
            </w:pPr>
            <w:r>
              <w:rPr>
                <w:sz w:val="17"/>
              </w:rPr>
              <w:t>1</w:t>
            </w:r>
          </w:p>
        </w:tc>
        <w:tc>
          <w:tcPr>
            <w:tcW w:type="dxa" w:w="3123"/>
          </w:tcPr>
          <w:p>
            <w:pPr>
              <w:spacing w:after="0" w:line="252" w:lineRule="auto"/>
            </w:pPr>
            <w:r>
              <w:rPr>
                <w:sz w:val="17"/>
              </w:rPr>
              <w:t>210 + 5 × 99</w:t>
            </w:r>
          </w:p>
        </w:tc>
        <w:tc>
          <w:tcPr>
            <w:tcW w:type="dxa" w:w="3279"/>
          </w:tcPr>
          <w:p>
            <w:pPr>
              <w:spacing w:after="0" w:line="252" w:lineRule="auto"/>
            </w:pPr>
            <w:r>
              <w:rPr>
                <w:sz w:val="17"/>
              </w:rPr>
              <w:t>LMB821_210, LMB821_99</w:t>
            </w:r>
          </w:p>
        </w:tc>
      </w:tr>
      <w:tr>
        <w:tc>
          <w:tcPr>
            <w:tcW w:type="dxa" w:w="3123"/>
          </w:tcPr>
          <w:p>
            <w:pPr>
              <w:spacing w:after="0" w:line="252" w:lineRule="auto"/>
            </w:pPr>
            <w:r>
              <w:rPr>
                <w:sz w:val="17"/>
              </w:rPr>
              <w:t>2</w:t>
            </w:r>
          </w:p>
        </w:tc>
        <w:tc>
          <w:tcPr>
            <w:tcW w:type="dxa" w:w="3123"/>
          </w:tcPr>
          <w:p>
            <w:pPr>
              <w:spacing w:after="0" w:line="252" w:lineRule="auto"/>
            </w:pPr>
            <w:r>
              <w:rPr>
                <w:sz w:val="17"/>
              </w:rPr>
              <w:t>321 + 4 × 99</w:t>
            </w:r>
          </w:p>
        </w:tc>
        <w:tc>
          <w:tcPr>
            <w:tcW w:type="dxa" w:w="3279"/>
          </w:tcPr>
          <w:p>
            <w:pPr>
              <w:spacing w:after="0" w:line="252" w:lineRule="auto"/>
            </w:pPr>
            <w:r>
              <w:rPr>
                <w:sz w:val="17"/>
              </w:rPr>
              <w:t>LMB821_321, LMB821_99</w:t>
            </w:r>
          </w:p>
        </w:tc>
      </w:tr>
      <w:tr>
        <w:tc>
          <w:tcPr>
            <w:tcW w:type="dxa" w:w="3123"/>
          </w:tcPr>
          <w:p>
            <w:pPr>
              <w:spacing w:after="0" w:line="252" w:lineRule="auto"/>
            </w:pPr>
            <w:r>
              <w:rPr>
                <w:sz w:val="17"/>
              </w:rPr>
              <w:t>3</w:t>
            </w:r>
          </w:p>
        </w:tc>
        <w:tc>
          <w:tcPr>
            <w:tcW w:type="dxa" w:w="3123"/>
          </w:tcPr>
          <w:p>
            <w:pPr>
              <w:spacing w:after="0" w:line="252" w:lineRule="auto"/>
            </w:pPr>
            <w:r>
              <w:rPr>
                <w:sz w:val="17"/>
              </w:rPr>
              <w:t>321 / 99 / 210 / 99</w:t>
            </w:r>
          </w:p>
        </w:tc>
        <w:tc>
          <w:tcPr>
            <w:tcW w:type="dxa" w:w="3279"/>
          </w:tcPr>
          <w:p>
            <w:pPr>
              <w:spacing w:after="0" w:line="252" w:lineRule="auto"/>
            </w:pPr>
            <w:r>
              <w:rPr>
                <w:sz w:val="17"/>
              </w:rPr>
              <w:t>gemischt</w:t>
            </w:r>
          </w:p>
        </w:tc>
      </w:tr>
      <w:tr>
        <w:tc>
          <w:tcPr>
            <w:tcW w:type="dxa" w:w="3123"/>
          </w:tcPr>
          <w:p>
            <w:pPr>
              <w:spacing w:after="0" w:line="252" w:lineRule="auto"/>
            </w:pPr>
            <w:r>
              <w:rPr>
                <w:sz w:val="17"/>
              </w:rPr>
              <w:t>4</w:t>
            </w:r>
          </w:p>
        </w:tc>
        <w:tc>
          <w:tcPr>
            <w:tcW w:type="dxa" w:w="3123"/>
          </w:tcPr>
          <w:p>
            <w:pPr>
              <w:spacing w:after="0" w:line="252" w:lineRule="auto"/>
            </w:pPr>
            <w:r>
              <w:rPr>
                <w:sz w:val="17"/>
              </w:rPr>
              <w:t>210 / 210 / 321</w:t>
            </w:r>
          </w:p>
        </w:tc>
        <w:tc>
          <w:tcPr>
            <w:tcW w:type="dxa" w:w="3279"/>
          </w:tcPr>
          <w:p>
            <w:pPr>
              <w:spacing w:after="0" w:line="252" w:lineRule="auto"/>
            </w:pPr>
            <w:r>
              <w:rPr>
                <w:sz w:val="17"/>
              </w:rPr>
              <w:t>gemischt</w:t>
            </w:r>
          </w:p>
        </w:tc>
      </w:tr>
      <w:tr>
        <w:tc>
          <w:tcPr>
            <w:tcW w:type="dxa" w:w="3123"/>
          </w:tcPr>
          <w:p>
            <w:pPr>
              <w:spacing w:after="0" w:line="252" w:lineRule="auto"/>
            </w:pPr>
            <w:r>
              <w:rPr>
                <w:sz w:val="17"/>
              </w:rPr>
              <w:t>5</w:t>
            </w:r>
          </w:p>
        </w:tc>
        <w:tc>
          <w:tcPr>
            <w:tcW w:type="dxa" w:w="3123"/>
          </w:tcPr>
          <w:p>
            <w:pPr>
              <w:spacing w:after="0" w:line="252" w:lineRule="auto"/>
            </w:pPr>
            <w:r>
              <w:rPr>
                <w:sz w:val="17"/>
              </w:rPr>
              <w:t>654 + 99</w:t>
            </w:r>
          </w:p>
        </w:tc>
        <w:tc>
          <w:tcPr>
            <w:tcW w:type="dxa" w:w="3279"/>
          </w:tcPr>
          <w:p>
            <w:pPr>
              <w:spacing w:after="0" w:line="252" w:lineRule="auto"/>
            </w:pPr>
            <w:r>
              <w:rPr>
                <w:sz w:val="17"/>
              </w:rPr>
              <w:t>LMB821_654, LMB821_99</w:t>
            </w:r>
          </w:p>
        </w:tc>
      </w:tr>
      <w:tr>
        <w:tc>
          <w:tcPr>
            <w:tcW w:type="dxa" w:w="3123"/>
          </w:tcPr>
          <w:p>
            <w:pPr>
              <w:spacing w:after="0" w:line="252" w:lineRule="auto"/>
            </w:pPr>
            <w:r>
              <w:rPr>
                <w:sz w:val="17"/>
              </w:rPr>
              <w:t>6 (alle)</w:t>
            </w:r>
          </w:p>
        </w:tc>
        <w:tc>
          <w:tcPr>
            <w:tcW w:type="dxa" w:w="3123"/>
          </w:tcPr>
          <w:p>
            <w:pPr>
              <w:spacing w:after="0" w:line="252" w:lineRule="auto"/>
            </w:pPr>
            <w:r>
              <w:rPr>
                <w:sz w:val="17"/>
              </w:rPr>
              <w:t>1 × 765</w:t>
            </w:r>
          </w:p>
        </w:tc>
        <w:tc>
          <w:tcPr>
            <w:tcW w:type="dxa" w:w="3279"/>
          </w:tcPr>
          <w:p>
            <w:pPr>
              <w:spacing w:after="0" w:line="252" w:lineRule="auto"/>
            </w:pPr>
            <w:r>
              <w:rPr>
                <w:sz w:val="17"/>
              </w:rPr>
              <w:t>LMB821_765</w:t>
            </w:r>
          </w:p>
        </w:tc>
      </w:tr>
    </w:tbl>
    <w:p>
      <w:pPr>
        <w:pStyle w:val="BeschriftungSSI"/>
      </w:pPr>
      <w:r>
        <w:t>Tab. 5: Fachaufteilung je Konfiguration (Test 17.10.2026)</w:t>
      </w: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Systemtest srv01, 17.10.2026</w:t>
      </w:r>
    </w:p>
    <w:p>
      <w:pPr>
        <w:pStyle w:val="Heading1"/>
      </w:pPr>
      <w:r>
        <w:t>7 Artikel zuordnen und Kubatur am Touch anlegen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1.</w:t>
        <w:tab/>
      </w:r>
      <w:r>
        <w:t>Das Fach auswählen.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2.</w:t>
        <w:tab/>
      </w:r>
      <w:r>
        <w:t xml:space="preserve">Im Feld </w:t>
      </w:r>
      <w:r>
        <w:rPr>
          <w:b/>
        </w:rPr>
        <w:t>Artikel</w:t>
      </w:r>
      <w:r>
        <w:t xml:space="preserve"> die Artikelnummer eingeben und </w:t>
      </w:r>
      <w:r>
        <w:rPr>
          <w:b/>
        </w:rPr>
        <w:t>Suche</w:t>
      </w:r>
      <w:r>
        <w:t xml:space="preserve"> drücken.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3.</w:t>
        <w:tab/>
      </w:r>
      <w:r>
        <w:t xml:space="preserve">Status prüfen: </w:t>
      </w:r>
      <w:r>
        <w:rPr>
          <w:b/>
        </w:rPr>
        <w:t>Kann zugeteilt werden</w:t>
      </w:r>
      <w:r>
        <w:t xml:space="preserve"> mit Maximalmenge, oder </w:t>
      </w:r>
      <w:r>
        <w:rPr>
          <w:b/>
        </w:rPr>
        <w:t>Kein Boxtyp zugeordnet</w:t>
      </w:r>
      <w:r>
        <w:t xml:space="preserve"> mit 0,00 (der grüne Haken ist dann gesperrt).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4.</w:t>
        <w:tab/>
      </w:r>
      <w:r>
        <w:t xml:space="preserve">Bei </w:t>
      </w:r>
      <w:r>
        <w:rPr>
          <w:b/>
        </w:rPr>
        <w:t>Kein Boxtyp zugeordnet</w:t>
      </w:r>
      <w:r>
        <w:t xml:space="preserve">: Die Maximalmenge für das Fach eingeben (z. B. 50) und speichern. Danach zeigt der Artikel in jedem Fach dieser Kubatur </w:t>
      </w:r>
      <w:r>
        <w:rPr>
          <w:b/>
        </w:rPr>
        <w:t>Kann zugeteilt werden</w:t>
      </w:r>
      <w:r>
        <w:t xml:space="preserve"> 50.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5.</w:t>
        <w:tab/>
      </w:r>
      <w:r>
        <w:t xml:space="preserve">Unter </w:t>
      </w:r>
      <w:r>
        <w:rPr>
          <w:b/>
        </w:rPr>
        <w:t>Lagern</w:t>
      </w:r>
      <w:r>
        <w:t xml:space="preserve"> die Menge eingeben.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6.</w:t>
        <w:tab/>
      </w:r>
      <w:r>
        <w:t xml:space="preserve">In </w:t>
      </w:r>
      <w:r>
        <w:rPr>
          <w:b/>
        </w:rPr>
        <w:t>LM101</w:t>
      </w:r>
      <w:r>
        <w:t xml:space="preserve"> erscheint </w:t>
      </w:r>
      <w:r>
        <w:rPr>
          <w:b/>
        </w:rPr>
        <w:t>Wählen Sie einen Buchungsschlüssel für die Bestandskorrekturquittierung.</w:t>
      </w:r>
      <w:r>
        <w:t xml:space="preserve"> Inventur und Grund wählen und bestätigen.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7.</w:t>
        <w:tab/>
      </w:r>
      <w:r>
        <w:t xml:space="preserve">Mit </w:t>
      </w:r>
      <w:r>
        <w:rPr>
          <w:b/>
        </w:rPr>
        <w:t>Tablar retournieren</w:t>
      </w:r>
      <w:r>
        <w:t xml:space="preserve"> (Schaltfläche ganz rechts) das Tablar zurückschicken. Meldung: </w:t>
      </w:r>
      <w:r>
        <w:rPr>
          <w:b/>
        </w:rPr>
        <w:t>In der Zugriffsöffnung ist kein Tablar vorhanden.</w:t>
      </w:r>
    </w:p>
    <w:p>
      <w:pPr>
        <w:keepNext/>
      </w:pPr>
      <w:r>
        <w:drawing>
          <wp:inline xmlns:a="http://schemas.openxmlformats.org/drawingml/2006/main" xmlns:pic="http://schemas.openxmlformats.org/drawingml/2006/picture">
            <wp:extent cx="4680000" cy="2496359"/>
            <wp:docPr id="110" name="Picture 11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retour.png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4680000" cy="249635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BeschriftungSSI"/>
      </w:pPr>
      <w:r>
        <w:t>Abb. 7: Nach Tablar retournieren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4622"/>
        <w:gridCol w:w="840"/>
        <w:gridCol w:w="2661"/>
        <w:gridCol w:w="1400"/>
      </w:tblGrid>
      <w:tr>
        <w:trPr>
          <w:tblHeader w:val="true"/>
        </w:trPr>
        <w:tc>
          <w:tcPr>
            <w:tcW w:type="dxa" w:w="4622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Artikel</w:t>
            </w:r>
          </w:p>
        </w:tc>
        <w:tc>
          <w:tcPr>
            <w:tcW w:type="dxa" w:w="840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Menge</w:t>
            </w:r>
          </w:p>
        </w:tc>
        <w:tc>
          <w:tcPr>
            <w:tcW w:type="dxa" w:w="2661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Fach</w:t>
            </w:r>
          </w:p>
        </w:tc>
        <w:tc>
          <w:tcPr>
            <w:tcW w:type="dxa" w:w="1401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Variante</w:t>
            </w:r>
          </w:p>
        </w:tc>
      </w:tr>
      <w:tr>
        <w:tc>
          <w:tcPr>
            <w:tcW w:type="dxa" w:w="4622"/>
          </w:tcPr>
          <w:p>
            <w:pPr>
              <w:spacing w:after="0" w:line="252" w:lineRule="auto"/>
            </w:pPr>
            <w:r>
              <w:rPr>
                <w:sz w:val="17"/>
              </w:rPr>
              <w:t>ART_07 WAGO 221-413</w:t>
            </w:r>
          </w:p>
        </w:tc>
        <w:tc>
          <w:tcPr>
            <w:tcW w:type="dxa" w:w="840"/>
          </w:tcPr>
          <w:p>
            <w:pPr>
              <w:spacing w:after="0" w:line="252" w:lineRule="auto"/>
            </w:pPr>
            <w:r>
              <w:rPr>
                <w:sz w:val="17"/>
              </w:rPr>
              <w:t>30</w:t>
            </w:r>
          </w:p>
        </w:tc>
        <w:tc>
          <w:tcPr>
            <w:tcW w:type="dxa" w:w="2661"/>
          </w:tcPr>
          <w:p>
            <w:pPr>
              <w:spacing w:after="0" w:line="252" w:lineRule="auto"/>
            </w:pPr>
            <w:r>
              <w:rPr>
                <w:sz w:val="17"/>
              </w:rPr>
              <w:t>29464762004-002-001</w:t>
            </w:r>
          </w:p>
        </w:tc>
        <w:tc>
          <w:tcPr>
            <w:tcW w:type="dxa" w:w="1401"/>
          </w:tcPr>
          <w:p>
            <w:pPr>
              <w:spacing w:after="0" w:line="252" w:lineRule="auto"/>
            </w:pPr>
            <w:r>
              <w:rPr>
                <w:sz w:val="17"/>
              </w:rPr>
              <w:t>LMB821_210</w:t>
            </w:r>
          </w:p>
        </w:tc>
      </w:tr>
      <w:tr>
        <w:tc>
          <w:tcPr>
            <w:tcW w:type="dxa" w:w="4622"/>
          </w:tcPr>
          <w:p>
            <w:pPr>
              <w:spacing w:after="0" w:line="252" w:lineRule="auto"/>
            </w:pPr>
            <w:r>
              <w:rPr>
                <w:sz w:val="17"/>
              </w:rPr>
              <w:t>ART_08 Sechskantmutter DIN 934 M8</w:t>
            </w:r>
          </w:p>
        </w:tc>
        <w:tc>
          <w:tcPr>
            <w:tcW w:type="dxa" w:w="840"/>
          </w:tcPr>
          <w:p>
            <w:pPr>
              <w:spacing w:after="0" w:line="252" w:lineRule="auto"/>
            </w:pPr>
            <w:r>
              <w:rPr>
                <w:sz w:val="17"/>
              </w:rPr>
              <w:t>40</w:t>
            </w:r>
          </w:p>
        </w:tc>
        <w:tc>
          <w:tcPr>
            <w:tcW w:type="dxa" w:w="2661"/>
          </w:tcPr>
          <w:p>
            <w:pPr>
              <w:spacing w:after="0" w:line="252" w:lineRule="auto"/>
            </w:pPr>
            <w:r>
              <w:rPr>
                <w:sz w:val="17"/>
              </w:rPr>
              <w:t>29464762004-004-005</w:t>
            </w:r>
          </w:p>
        </w:tc>
        <w:tc>
          <w:tcPr>
            <w:tcW w:type="dxa" w:w="1401"/>
          </w:tcPr>
          <w:p>
            <w:pPr>
              <w:spacing w:after="0" w:line="252" w:lineRule="auto"/>
            </w:pPr>
            <w:r>
              <w:rPr>
                <w:sz w:val="17"/>
              </w:rPr>
              <w:t>LMB821_210</w:t>
            </w:r>
          </w:p>
        </w:tc>
      </w:tr>
      <w:tr>
        <w:tc>
          <w:tcPr>
            <w:tcW w:type="dxa" w:w="4622"/>
          </w:tcPr>
          <w:p>
            <w:pPr>
              <w:spacing w:after="0" w:line="252" w:lineRule="auto"/>
            </w:pPr>
            <w:r>
              <w:rPr>
                <w:sz w:val="17"/>
              </w:rPr>
              <w:t>ART_11 Sicherungsring DIN 471</w:t>
            </w:r>
          </w:p>
        </w:tc>
        <w:tc>
          <w:tcPr>
            <w:tcW w:type="dxa" w:w="840"/>
          </w:tcPr>
          <w:p>
            <w:pPr>
              <w:spacing w:after="0" w:line="252" w:lineRule="auto"/>
            </w:pPr>
            <w:r>
              <w:rPr>
                <w:sz w:val="17"/>
              </w:rPr>
              <w:t>25</w:t>
            </w:r>
          </w:p>
        </w:tc>
        <w:tc>
          <w:tcPr>
            <w:tcW w:type="dxa" w:w="2661"/>
          </w:tcPr>
          <w:p>
            <w:pPr>
              <w:spacing w:after="0" w:line="252" w:lineRule="auto"/>
            </w:pPr>
            <w:r>
              <w:rPr>
                <w:sz w:val="17"/>
              </w:rPr>
              <w:t>29464762004-005-001</w:t>
            </w:r>
          </w:p>
        </w:tc>
        <w:tc>
          <w:tcPr>
            <w:tcW w:type="dxa" w:w="1401"/>
          </w:tcPr>
          <w:p>
            <w:pPr>
              <w:spacing w:after="0" w:line="252" w:lineRule="auto"/>
            </w:pPr>
            <w:r>
              <w:rPr>
                <w:sz w:val="17"/>
              </w:rPr>
              <w:t>LMB821_210</w:t>
            </w:r>
          </w:p>
        </w:tc>
      </w:tr>
    </w:tbl>
    <w:p>
      <w:pPr>
        <w:pStyle w:val="BeschriftungSSI"/>
      </w:pPr>
      <w:r>
        <w:t>Tab. 6: Im Test gebuchte Beispiele</w:t>
      </w: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Systemtest srv01, 17.10.2026</w:t>
      </w:r>
    </w:p>
    <w:p>
      <w:pPr>
        <w:pStyle w:val="Heading1"/>
      </w:pPr>
      <w:r>
        <w:t>8 Andere Wege zur Zuordnung</w:t>
      </w:r>
    </w:p>
    <w:p>
      <w:pPr>
        <w:pStyle w:val="Heading2"/>
      </w:pPr>
      <w:r>
        <w:t>8.1 Admin-Dialog LM084</w:t>
      </w:r>
    </w:p>
    <w:p>
      <w:r>
        <w:t xml:space="preserve">In </w:t>
      </w:r>
      <w:r>
        <w:rPr>
          <w:b/>
        </w:rPr>
        <w:t>LM084 | Boxtyp-Zuordnung pflegen</w:t>
      </w:r>
      <w:r>
        <w:t xml:space="preserve"> nach dem Artikel suchen; die Zuordnungen werden als Zeilen angezeigt. Spalten u. a.: </w:t>
      </w:r>
      <w:r>
        <w:rPr>
          <w:b/>
        </w:rPr>
        <w:t>Verpackungsversion</w:t>
      </w:r>
      <w:r>
        <w:t xml:space="preserve">, </w:t>
      </w:r>
      <w:r>
        <w:rPr>
          <w:b/>
        </w:rPr>
        <w:t>Boxtyp</w:t>
      </w:r>
      <w:r>
        <w:t xml:space="preserve">, </w:t>
      </w:r>
      <w:r>
        <w:rPr>
          <w:b/>
        </w:rPr>
        <w:t># Basismengeneinheiten (max.)</w:t>
      </w:r>
      <w:r>
        <w:t xml:space="preserve">, </w:t>
      </w:r>
      <w:r>
        <w:rPr>
          <w:b/>
        </w:rPr>
        <w:t># LME (max.)</w:t>
      </w:r>
      <w:r>
        <w:t xml:space="preserve">, </w:t>
      </w:r>
      <w:r>
        <w:rPr>
          <w:b/>
        </w:rPr>
        <w:t>Unbegrenzt</w:t>
      </w:r>
      <w:r>
        <w:t>. Beispiel ART_07: LMB821_210 mit 50 und LMB821_99 mit 50 (die zweite Zeile wurde am Touch angelegt).</w:t>
      </w: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FF9C4"/>
            <w:tcBorders>
              <w:top w:val="nil"/>
              <w:left w:val="single" w:sz="24" w:color="FEEE19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sz w:val="19"/>
              </w:rPr>
              <w:t>Abgrenzung</w:t>
            </w:r>
          </w:p>
          <w:p>
            <w:pPr>
              <w:spacing w:after="40"/>
            </w:pPr>
            <w:r>
              <w:rPr>
                <w:sz w:val="19"/>
              </w:rPr>
              <w:t>Das Anlegen eines ganz neuen Boxtyp-Stammsatzes im Admin ist nicht Teil dieser Anleitung.</w:t>
            </w:r>
          </w:p>
        </w:tc>
      </w:tr>
    </w:tbl>
    <w:p>
      <w:pPr>
        <w:spacing w:after="40"/>
      </w:pPr>
    </w:p>
    <w:p>
      <w:pPr>
        <w:pStyle w:val="Heading2"/>
      </w:pPr>
      <w:r>
        <w:t>8.2 Artikeltelegramm WLSITEM001 / WLSITEMCUBATURE001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1.</w:t>
        <w:tab/>
      </w:r>
      <w:r>
        <w:rPr>
          <w:b/>
        </w:rPr>
        <w:t>DI002</w:t>
      </w:r>
      <w:r>
        <w:t xml:space="preserve"> öffnen, Rechtsklick → </w:t>
      </w:r>
      <w:r>
        <w:rPr>
          <w:b/>
        </w:rPr>
        <w:t>Dateien importieren…</w:t>
      </w:r>
      <w:r>
        <w:t>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2.</w:t>
        <w:tab/>
      </w:r>
      <w:r>
        <w:t xml:space="preserve">In </w:t>
      </w:r>
      <w:r>
        <w:rPr>
          <w:b/>
        </w:rPr>
        <w:t>DI014</w:t>
      </w:r>
      <w:r>
        <w:t xml:space="preserve"> Datei wählen, Konverter </w:t>
      </w:r>
      <w:r>
        <w:rPr>
          <w:rFonts w:ascii="Consolas" w:hAnsi="Consolas" w:cs="Consolas" w:eastAsia="Consolas"/>
          <w:sz w:val="18"/>
        </w:rPr>
        <w:t>JsonConverter</w:t>
      </w:r>
      <w:r>
        <w:t xml:space="preserve">, Systempartner </w:t>
      </w:r>
      <w:r>
        <w:rPr>
          <w:rFonts w:ascii="Consolas" w:hAnsi="Consolas" w:cs="Consolas" w:eastAsia="Consolas"/>
          <w:sz w:val="18"/>
        </w:rPr>
        <w:t>HOST</w:t>
      </w:r>
      <w:r>
        <w:t xml:space="preserve">, </w:t>
      </w:r>
      <w:r>
        <w:rPr>
          <w:b/>
        </w:rPr>
        <w:t>Importieren</w:t>
      </w:r>
      <w:r>
        <w:t>.</w:t>
      </w:r>
    </w:p>
    <w:p>
      <w:pPr>
        <w:keepNext/>
      </w:pPr>
      <w:r>
        <w:drawing>
          <wp:inline xmlns:a="http://schemas.openxmlformats.org/drawingml/2006/main" xmlns:pic="http://schemas.openxmlformats.org/drawingml/2006/picture">
            <wp:extent cx="3600000" cy="1928276"/>
            <wp:docPr id="111" name="Picture 11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di014.png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3600000" cy="1928276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BeschriftungSSI"/>
      </w:pPr>
      <w:r>
        <w:t>Abb. 8: DI014 – Import (Pfad unkenntlich gemacht)</w:t>
      </w:r>
    </w:p>
    <w:tbl>
      <w:tblPr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c>
          <w:tcPr>
            <w:tcW w:type="dxa" w:w="9524"/>
            <w:shd w:val="clear" w:color="auto" w:fill="F2F2F2"/>
            <w:tcBorders>
              <w:top w:val="single" w:sz="4" w:color="BFBFBF" w:space="0"/>
              <w:left w:val="single" w:sz="4" w:color="BFBFBF" w:space="0"/>
              <w:bottom w:val="single" w:sz="4" w:color="BFBFBF" w:space="0"/>
              <w:right w:val="single" w:sz="4" w:color="BFBFBF" w:space="0"/>
            </w:tcBorders>
            <w:tcMar>
              <w:top w:w="80" w:type="dxa"/>
              <w:bottom w:w="80" w:type="dxa"/>
              <w:start w:w="120" w:type="dxa"/>
              <w:end w:w="120" w:type="dxa"/>
              <w:left w:w="120" w:type="dxa"/>
              <w:right w:w="120" w:type="dxa"/>
            </w:tcMar>
          </w:tcPr>
          <w:p>
            <w:pPr>
              <w:pStyle w:val="Code"/>
            </w:pPr>
            <w:r>
              <w:t>"WLSITEMCUBATURE001": [{</w:t>
            </w:r>
          </w:p>
          <w:p>
            <w:pPr>
              <w:pStyle w:val="Code"/>
            </w:pPr>
            <w:r>
              <w:t xml:space="preserve">  "cubatureId": "LMB821_210",</w:t>
            </w:r>
          </w:p>
          <w:p>
            <w:pPr>
              <w:pStyle w:val="Code"/>
            </w:pPr>
            <w:r>
              <w:t xml:space="preserve">  "clientId": "DEFAULT",</w:t>
            </w:r>
          </w:p>
          <w:p>
            <w:pPr>
              <w:pStyle w:val="Code"/>
            </w:pPr>
            <w:r>
              <w:t xml:space="preserve">  "itemNo": "TEST_WD_ART_14",</w:t>
            </w:r>
          </w:p>
          <w:p>
            <w:pPr>
              <w:pStyle w:val="Code"/>
            </w:pPr>
            <w:r>
              <w:t xml:space="preserve">  "variant": "00000",</w:t>
            </w:r>
          </w:p>
          <w:p>
            <w:pPr>
              <w:pStyle w:val="Code"/>
            </w:pPr>
            <w:r>
              <w:t xml:space="preserve">  "pkv": 1,</w:t>
            </w:r>
          </w:p>
          <w:p>
            <w:pPr>
              <w:pStyle w:val="Code"/>
            </w:pPr>
            <w:r>
              <w:t xml:space="preserve">  "maxNumBaseQtyUnits": 50,</w:t>
            </w:r>
          </w:p>
          <w:p>
            <w:pPr>
              <w:pStyle w:val="Code"/>
            </w:pPr>
            <w:r>
              <w:t xml:space="preserve">  "unlimited": "0",</w:t>
            </w:r>
          </w:p>
          <w:p>
            <w:pPr>
              <w:pStyle w:val="Code"/>
            </w:pPr>
            <w:r>
              <w:t xml:space="preserve">  "sequence": 2</w:t>
            </w:r>
          </w:p>
          <w:p>
            <w:pPr>
              <w:pStyle w:val="Code"/>
            </w:pPr>
            <w:r>
              <w:t>}]</w:t>
            </w:r>
          </w:p>
        </w:tc>
      </w:tr>
    </w:tbl>
    <w:p>
      <w:pPr>
        <w:pStyle w:val="BeschriftungSSI"/>
      </w:pPr>
      <w:r>
        <w:t>Abb. 9: Untersatz WLSITEMCUBATURE001 (bereinigtes Beispiel)</w:t>
      </w: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FF9C4"/>
            <w:tcBorders>
              <w:top w:val="nil"/>
              <w:left w:val="single" w:sz="24" w:color="E89A00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sz w:val="19"/>
              </w:rPr>
              <w:t>Feld unlimited</w:t>
            </w:r>
          </w:p>
          <w:p>
            <w:pPr>
              <w:spacing w:after="40"/>
            </w:pPr>
            <w:r>
              <w:rPr>
                <w:rFonts w:ascii="Consolas" w:hAnsi="Consolas" w:cs="Consolas" w:eastAsia="Consolas"/>
                <w:sz w:val="17"/>
              </w:rPr>
              <w:t>unlimited</w:t>
            </w:r>
            <w:r>
              <w:rPr>
                <w:sz w:val="19"/>
              </w:rPr>
              <w:t xml:space="preserve"> ist ein Feld mit Länge 1. Mit </w:t>
            </w:r>
            <w:r>
              <w:rPr>
                <w:rFonts w:ascii="Consolas" w:hAnsi="Consolas" w:cs="Consolas" w:eastAsia="Consolas"/>
                <w:sz w:val="17"/>
              </w:rPr>
              <w:t>false</w:t>
            </w:r>
            <w:r>
              <w:rPr>
                <w:sz w:val="19"/>
              </w:rPr>
              <w:t xml:space="preserve"> lief InSPM 1810 auf </w:t>
            </w:r>
            <w:r>
              <w:rPr>
                <w:b/>
                <w:sz w:val="19"/>
              </w:rPr>
              <w:t>Fehler</w:t>
            </w:r>
            <w:r>
              <w:rPr>
                <w:sz w:val="19"/>
              </w:rPr>
              <w:t xml:space="preserve">: </w:t>
            </w:r>
            <w:r>
              <w:rPr>
                <w:b/>
                <w:sz w:val="19"/>
              </w:rPr>
              <w:t>Wert 'false' des Feldes 'unlimited' (Unbegrenzt) ist zu lang (Ist 5, erlaubt 1).</w:t>
            </w:r>
            <w:r>
              <w:rPr>
                <w:sz w:val="19"/>
              </w:rPr>
              <w:t xml:space="preserve"> Mit </w:t>
            </w:r>
            <w:r>
              <w:rPr>
                <w:rFonts w:ascii="Consolas" w:hAnsi="Consolas" w:cs="Consolas" w:eastAsia="Consolas"/>
                <w:sz w:val="17"/>
              </w:rPr>
              <w:t>"0"</w:t>
            </w:r>
            <w:r>
              <w:rPr>
                <w:sz w:val="19"/>
              </w:rPr>
              <w:t xml:space="preserve"> wurde InSPM 1811 </w:t>
            </w:r>
            <w:r>
              <w:rPr>
                <w:b/>
                <w:sz w:val="19"/>
              </w:rPr>
              <w:t>Fertiggestellt</w:t>
            </w:r>
            <w:r>
              <w:rPr>
                <w:sz w:val="19"/>
              </w:rPr>
              <w:t>.</w:t>
            </w:r>
          </w:p>
        </w:tc>
      </w:tr>
    </w:tbl>
    <w:p>
      <w:pPr>
        <w:spacing w:after="40"/>
      </w:pPr>
    </w:p>
    <w:p>
      <w:pPr>
        <w:keepNext/>
      </w:pPr>
      <w:r>
        <w:drawing>
          <wp:inline xmlns:a="http://schemas.openxmlformats.org/drawingml/2006/main" xmlns:pic="http://schemas.openxmlformats.org/drawingml/2006/picture">
            <wp:extent cx="5400000" cy="447188"/>
            <wp:docPr id="112" name="Picture 11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di002.png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400000" cy="447188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BeschriftungSSI"/>
      </w:pPr>
      <w:r>
        <w:t>Abb. 10: DI002 – 1810 Fehler, 1811 Fertiggestellt</w:t>
      </w:r>
    </w:p>
    <w:p>
      <w:r>
        <w:t xml:space="preserve">Ergebnis in LM084 für ART_14: LMB821_210 mit 50 </w:t>
      </w:r>
      <w:r>
        <w:rPr>
          <w:b/>
        </w:rPr>
        <w:t>und</w:t>
      </w:r>
      <w:r>
        <w:t xml:space="preserve"> die bestehende Zeile TEST_WD_BOX_A2 mit 50. Das Telegramm </w:t>
      </w:r>
      <w:r>
        <w:rPr>
          <w:b/>
        </w:rPr>
        <w:t>ergänzt</w:t>
      </w:r>
      <w:r>
        <w:t xml:space="preserve"> Zuordnungen, es ersetzt sie nicht.</w:t>
      </w:r>
    </w:p>
    <w:p>
      <w:pPr>
        <w:keepNext/>
      </w:pPr>
      <w:r>
        <w:drawing>
          <wp:inline xmlns:a="http://schemas.openxmlformats.org/drawingml/2006/main" xmlns:pic="http://schemas.openxmlformats.org/drawingml/2006/picture">
            <wp:extent cx="5400000" cy="841846"/>
            <wp:docPr id="113" name="Picture 11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m084.png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400000" cy="841846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BeschriftungSSI"/>
      </w:pPr>
      <w:r>
        <w:t>Abb. 11: LM084 – ART_14 nach dem Import</w:t>
      </w:r>
    </w:p>
    <w:p>
      <w:pPr>
        <w:pStyle w:val="Heading2"/>
      </w:pPr>
      <w:r>
        <w:t>8.3 Touch-Client</w:t>
      </w:r>
    </w:p>
    <w:p>
      <w:r>
        <w:t>Siehe Kapitel 7.</w:t>
      </w: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Systemtest srv01, 17.10.2026, 14:08–14:10 Uhr; Fachwissen Marek</w:t>
      </w:r>
    </w:p>
    <w:p>
      <w:pPr>
        <w:pStyle w:val="Heading1"/>
      </w:pPr>
      <w:r>
        <w:t>9 Hinweise und Störungen</w:t>
      </w:r>
    </w:p>
    <w:p>
      <w:pPr>
        <w:pStyle w:val="ListBullet"/>
      </w:pPr>
      <w:r>
        <w:rPr>
          <w:b/>
        </w:rPr>
        <w:t>Speichern</w:t>
      </w:r>
      <w:r>
        <w:t xml:space="preserve"> bleibt nach </w:t>
      </w:r>
      <w:r>
        <w:rPr>
          <w:b/>
        </w:rPr>
        <w:t>Füllen</w:t>
      </w:r>
      <w:r>
        <w:t xml:space="preserve"> grau: Erst in die grüne Vorschau klicken.</w:t>
      </w:r>
    </w:p>
    <w:p>
      <w:pPr>
        <w:pStyle w:val="ListBullet"/>
      </w:pPr>
      <w:r>
        <w:t>Boxtyp lässt sich nicht ablegen: Langsam ziehen.</w:t>
      </w:r>
    </w:p>
    <w:p>
      <w:pPr>
        <w:pStyle w:val="ListBullet"/>
      </w:pPr>
      <w:r>
        <w:rPr>
          <w:b/>
        </w:rPr>
        <w:t>Unterteilte Box bearbeiten</w:t>
      </w:r>
      <w:r>
        <w:t xml:space="preserve"> ist grau: Die Box ist schon gespeichert. Trennwände über LM002 und die Lupe pflegen.</w:t>
      </w:r>
    </w:p>
    <w:p>
      <w:pPr>
        <w:pStyle w:val="ListBullet"/>
      </w:pPr>
      <w:r>
        <w:t xml:space="preserve">Status </w:t>
      </w:r>
      <w:r>
        <w:rPr>
          <w:b/>
        </w:rPr>
        <w:t>Kein Boxtyp zugeordnet</w:t>
      </w:r>
      <w:r>
        <w:t>: Für diese Kubatur gibt es noch keine Zuordnung. Siehe Kapitel 7, Schritt 4.</w:t>
      </w:r>
    </w:p>
    <w:p>
      <w:pPr>
        <w:pStyle w:val="ListBullet"/>
      </w:pPr>
      <w:r>
        <w:t xml:space="preserve">Nach Entfernen/Einsetzen ändert sich die Zeichnung in LM135 nicht: Siehe Kapitel 4; Ergebnis nach </w:t>
      </w:r>
      <w:r>
        <w:rPr>
          <w:b/>
        </w:rPr>
        <w:t>Speichern</w:t>
      </w:r>
      <w:r>
        <w:t xml:space="preserve"> in LM002 prüfen.</w:t>
      </w:r>
    </w:p>
    <w:p>
      <w:pPr>
        <w:pStyle w:val="ListBullet"/>
      </w:pPr>
      <w:r>
        <w:t xml:space="preserve">Nur EINEN WAMAS-Browser-Tab offen halten. Tabs im Hintergrund laufen in </w:t>
      </w:r>
      <w:r>
        <w:rPr>
          <w:b/>
        </w:rPr>
        <w:t>Session Timeout</w:t>
      </w:r>
      <w:r>
        <w:t xml:space="preserve"> bzw. </w:t>
      </w:r>
      <w:r>
        <w:rPr>
          <w:b/>
        </w:rPr>
        <w:t>Server Error</w:t>
      </w:r>
      <w:r>
        <w:t>.</w:t>
      </w:r>
    </w:p>
    <w:p>
      <w:pPr>
        <w:pStyle w:val="ListBullet"/>
      </w:pPr>
      <w:r>
        <w:t xml:space="preserve">Telegramm-Fehler „ist zu lang“ bei </w:t>
      </w:r>
      <w:r>
        <w:rPr>
          <w:rFonts w:ascii="Consolas" w:hAnsi="Consolas" w:cs="Consolas" w:eastAsia="Consolas"/>
          <w:sz w:val="18"/>
        </w:rPr>
        <w:t>unlimited</w:t>
      </w:r>
      <w:r>
        <w:t xml:space="preserve">: </w:t>
      </w:r>
      <w:r>
        <w:rPr>
          <w:rFonts w:ascii="Consolas" w:hAnsi="Consolas" w:cs="Consolas" w:eastAsia="Consolas"/>
          <w:sz w:val="18"/>
        </w:rPr>
        <w:t>"0"</w:t>
      </w:r>
      <w:r>
        <w:t xml:space="preserve"> bzw. </w:t>
      </w:r>
      <w:r>
        <w:rPr>
          <w:rFonts w:ascii="Consolas" w:hAnsi="Consolas" w:cs="Consolas" w:eastAsia="Consolas"/>
          <w:sz w:val="18"/>
        </w:rPr>
        <w:t>"1"</w:t>
      </w:r>
      <w:r>
        <w:t xml:space="preserve"> statt </w:t>
      </w:r>
      <w:r>
        <w:rPr>
          <w:rFonts w:ascii="Consolas" w:hAnsi="Consolas" w:cs="Consolas" w:eastAsia="Consolas"/>
          <w:sz w:val="18"/>
        </w:rPr>
        <w:t>false</w:t>
      </w:r>
      <w:r>
        <w:t>/</w:t>
      </w:r>
      <w:r>
        <w:rPr>
          <w:rFonts w:ascii="Consolas" w:hAnsi="Consolas" w:cs="Consolas" w:eastAsia="Consolas"/>
          <w:sz w:val="18"/>
        </w:rPr>
        <w:t>true</w:t>
      </w:r>
      <w:r>
        <w:t xml:space="preserve"> senden.</w:t>
      </w:r>
    </w:p>
    <w:p>
      <w:pPr>
        <w:pStyle w:val="Heading1"/>
      </w:pPr>
      <w:r>
        <w:t>10 Praxisbeispiel</w:t>
      </w:r>
    </w:p>
    <w:p>
      <w:r>
        <w:t>Im Test wurde ART_07 einem 99er-Fach zugeordnet (Maximalmenge 50) und war danach auf allen LMB821_99-Fächern zuteilbar. Zuvor wurde ART_07 mit 30 Stück in das 210er-Fach 29464762004-002-001 eingelagert.</w:t>
      </w:r>
    </w:p>
    <w:p>
      <w:pPr>
        <w:pStyle w:val="Heading1"/>
      </w:pPr>
      <w:r>
        <w:t>11 Quellenverzeichnis</w:t>
      </w:r>
    </w:p>
    <w:p>
      <w:pPr>
        <w:pStyle w:val="ListBullet"/>
      </w:pPr>
      <w:r>
        <w:t>Systemtest srv01, LOGIMAT A2 Öffnung 1, 17.10.2026 (Dialoge LM040, LM002, LM004, LM101, LM135, DI002, DI014, LM084); Screenshots /workspace/screens 14:09–14:15 Uhr</w:t>
      </w:r>
    </w:p>
    <w:p>
      <w:pPr>
        <w:pStyle w:val="ListBullet"/>
      </w:pPr>
      <w:r>
        <w:t>Fachwissen Marek (Konzept Trennwände/Kubaturen, LM084, Telegramm)</w:t>
      </w:r>
    </w:p>
    <w:sectPr w:rsidR="00FC693F" w:rsidRPr="0006063C" w:rsidSect="00034616">
      <w:headerReference w:type="default" r:id="rId12"/>
      <w:footerReference w:type="default" r:id="rId13"/>
      <w:pgSz w:w="11906" w:h="16838"/>
      <w:pgMar w:top="1474" w:right="1134" w:bottom="1474" w:left="1247" w:header="567" w:footer="454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  <w:r>
      <w:drawing>
        <wp:anchor distT="0" distB="0" distL="0" distR="0" simplePos="0" relativeHeight="251658344" behindDoc="1" locked="0" layoutInCell="1" allowOverlap="1">
          <wp:simplePos x="0" y="0"/>
          <wp:positionH relativeFrom="page">
            <wp:posOffset>6983999</wp:posOffset>
          </wp:positionH>
          <wp:positionV relativeFrom="page">
            <wp:posOffset>9936000</wp:posOffset>
          </wp:positionV>
          <wp:extent cx="576000" cy="648000"/>
          <wp:effectExtent l="0" t="0" r="0" b="0"/>
          <wp:wrapNone/>
          <wp:docPr id="104" name="Bild 104"/>
          <wp:cNvGraphicFramePr/>
          <a:graphic xmlns:a="http://schemas.openxmlformats.org/drawingml/2006/main" xmlns:pic="http://schemas.openxmlformats.org/drawingml/2006/picture">
            <a:graphicData uri="http://schemas.openxmlformats.org/drawingml/2006/picture">
              <pic:pic>
                <pic:nvPicPr>
                  <pic:cNvPr id="0" name="gelbes_eck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6000" cy="648000"/>
                  </a:xfrm>
                  <a:prstGeom prst="rect"/>
                </pic:spPr>
              </pic:pic>
            </a:graphicData>
          </a:graphic>
        </wp:anchor>
      </w:drawing>
    </w:r>
  </w:p>
  <w:tbl>
    <w:tblPr>
      <w:tblLook w:firstColumn="1" w:firstRow="1" w:lastColumn="0" w:lastRow="0" w:noHBand="0" w:noVBand="1" w:val="04A0"/>
      <w:tblW w:w="9525" w:type="dxa"/>
      <w:tblLayout w:type="fixed"/>
    </w:tblPr>
    <w:tblGrid>
      <w:gridCol w:w="5103"/>
      <w:gridCol w:w="4422"/>
    </w:tblGrid>
    <w:tr>
      <w:tc>
        <w:tcPr>
          <w:tcW w:type="dxa" w:w="5102"/>
        </w:tcPr>
        <w:p>
          <w:pPr>
            <w:spacing w:after="0" w:line="240" w:lineRule="auto"/>
          </w:pPr>
          <w:r>
            <w:rPr>
              <w:sz w:val="13"/>
            </w:rPr>
            <w:t>WAMAS Lift &amp; Store 2.8</w:t>
          </w:r>
        </w:p>
        <w:p>
          <w:pPr>
            <w:spacing w:after="0" w:line="240" w:lineRule="auto"/>
          </w:pPr>
          <w:r>
            <w:rPr>
              <w:sz w:val="13"/>
            </w:rPr>
            <w:t>Anleitung V 1.1</w:t>
          </w:r>
        </w:p>
        <w:p>
          <w:pPr>
            <w:spacing w:after="0" w:line="240" w:lineRule="auto"/>
          </w:pPr>
          <w:r>
            <w:rPr>
              <w:sz w:val="13"/>
            </w:rPr>
            <w:t>Standard</w:t>
          </w:r>
        </w:p>
      </w:tc>
      <w:tc>
        <w:tcPr>
          <w:tcW w:type="dxa" w:w="4422"/>
        </w:tcPr>
        <w:p>
          <w:pPr>
            <w:spacing w:before="200"/>
            <w:jc w:val="right"/>
          </w:pPr>
          <w:r>
            <w:rPr>
              <w:sz w:val="18"/>
            </w:rPr>
            <w:t xml:space="preserve">SSI SCHÄFER | Seite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 xml:space="preserve"> PAGE </w:instrText>
          </w:r>
          <w:r>
            <w:rPr>
              <w:sz w:val="18"/>
            </w:rPr>
            <w:fldChar w:fldCharType="separate"/>
          </w:r>
          <w:r>
            <w:rPr>
              <w:sz w:val="18"/>
            </w:rPr>
            <w:t>1</w:t>
          </w:r>
          <w:r>
            <w:rPr>
              <w:sz w:val="18"/>
            </w:rPr>
            <w:fldChar w:fldCharType="end"/>
          </w:r>
          <w:r>
            <w:rPr>
              <w:sz w:val="18"/>
            </w:rPr>
            <w:t>/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 xml:space="preserve"> NUMPAGES </w:instrText>
          </w:r>
          <w:r>
            <w:rPr>
              <w:sz w:val="18"/>
            </w:rPr>
            <w:fldChar w:fldCharType="separate"/>
          </w:r>
          <w:r>
            <w:rPr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  <w:spacing w:after="0"/>
      <w:jc w:val="right"/>
    </w:pPr>
    <w:r>
      <w:rPr>
        <w:sz w:val="16"/>
      </w:rPr>
      <w:t>Anleitung</w:t>
    </w:r>
  </w:p>
  <w:p>
    <w:pPr>
      <w:jc w:val="right"/>
      <w:pBdr>
        <w:bottom w:val="single" w:sz="4" w:space="4" w:color="000000"/>
      </w:pBdr>
    </w:pPr>
    <w:r>
      <w:rPr>
        <w:b/>
        <w:sz w:val="22"/>
      </w:rPr>
      <w:t>LMB-Boxen: Trennwände entfernen/einsetzen und Kubaturen – WAMAS Touch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00" w:line="276" w:lineRule="auto"/>
    </w:pPr>
    <w:rPr>
      <w:rFonts w:ascii="Arial" w:hAnsi="Arial" w:cs="Arial" w:eastAsia="Arial"/>
      <w:sz w:val="20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pageBreakBefore/>
      <w:spacing w:before="0" w:after="200"/>
      <w:outlineLvl w:val="0"/>
    </w:pPr>
    <w:rPr>
      <w:rFonts w:ascii="Arial" w:hAnsi="Arial" w:cs="Arial" w:eastAsia="Arial"/>
      <w:b/>
      <w:bCs/>
      <w:i w:val="0"/>
      <w:color w:val="000000"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80" w:after="120"/>
      <w:outlineLvl w:val="1"/>
    </w:pPr>
    <w:rPr>
      <w:rFonts w:ascii="Arial" w:hAnsi="Arial" w:cs="Arial" w:eastAsia="Arial"/>
      <w:b/>
      <w:bCs/>
      <w:i w:val="0"/>
      <w:color w:val="000000"/>
      <w:sz w:val="2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80"/>
      <w:outlineLvl w:val="2"/>
    </w:pPr>
    <w:rPr>
      <w:rFonts w:ascii="Arial" w:hAnsi="Arial" w:cs="Arial" w:eastAsia="Arial"/>
      <w:b/>
      <w:bCs/>
      <w:i w:val="0"/>
      <w:color w:val="000000"/>
      <w:sz w:val="22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="Arial" w:hAnsi="Arial" w:cs="Arial" w:eastAsia="Arial"/>
      <w:b w:val="0"/>
      <w:color w:val="000000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spacing w:after="60"/>
      <w:contextualSpacing/>
    </w:pPr>
    <w:rPr>
      <w:rFonts w:ascii="Arial" w:hAnsi="Arial" w:cs="Arial" w:eastAsia="Arial"/>
      <w:sz w:val="20"/>
    </w:r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spacing w:after="60"/>
      <w:contextualSpacing/>
    </w:pPr>
    <w:rPr>
      <w:rFonts w:ascii="Arial" w:hAnsi="Arial" w:cs="Arial" w:eastAsia="Arial"/>
      <w:sz w:val="20"/>
    </w:r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TOC1">
    <w:name w:val="TOC 1"/>
    <w:pPr>
      <w:spacing w:after="40"/>
      <w:ind w:left="0"/>
    </w:pPr>
    <w:rPr>
      <w:rFonts w:ascii="Arial" w:hAnsi="Arial" w:cs="Arial" w:eastAsia="Arial"/>
      <w:b/>
      <w:sz w:val="20"/>
    </w:rPr>
  </w:style>
  <w:style w:type="paragraph" w:customStyle="1" w:styleId="TOC2">
    <w:name w:val="TOC 2"/>
    <w:pPr>
      <w:spacing w:after="40"/>
      <w:ind w:left="340"/>
    </w:pPr>
    <w:rPr>
      <w:rFonts w:ascii="Arial" w:hAnsi="Arial" w:cs="Arial" w:eastAsia="Arial"/>
      <w:b w:val="0"/>
      <w:sz w:val="20"/>
    </w:rPr>
  </w:style>
  <w:style w:type="paragraph" w:customStyle="1" w:styleId="TOC3">
    <w:name w:val="TOC 3"/>
    <w:pPr>
      <w:spacing w:after="40"/>
      <w:ind w:left="680"/>
    </w:pPr>
    <w:rPr>
      <w:rFonts w:ascii="Arial" w:hAnsi="Arial" w:cs="Arial" w:eastAsia="Arial"/>
      <w:b w:val="0"/>
      <w:sz w:val="20"/>
    </w:rPr>
  </w:style>
  <w:style w:type="paragraph" w:customStyle="1" w:styleId="Code">
    <w:name w:val="Code"/>
    <w:pPr>
      <w:spacing w:after="0" w:line="240" w:lineRule="auto"/>
    </w:pPr>
    <w:rPr>
      <w:rFonts w:ascii="Consolas" w:hAnsi="Consolas" w:cs="Consolas" w:eastAsia="Consolas"/>
      <w:sz w:val="15"/>
    </w:rPr>
  </w:style>
  <w:style w:type="paragraph" w:customStyle="1" w:styleId="BeschriftungSSI">
    <w:name w:val="Beschriftung SSI"/>
    <w:pPr>
      <w:spacing w:before="40" w:after="160"/>
    </w:pPr>
    <w:rPr>
      <w:rFonts w:ascii="Arial" w:hAnsi="Arial" w:cs="Arial" w:eastAsia="Arial"/>
      <w:b w:val="0"/>
      <w:i/>
      <w:color w:val="444444"/>
      <w:sz w:val="17"/>
    </w:rPr>
  </w:style>
  <w:style w:type="paragraph" w:customStyle="1" w:styleId="Quelle">
    <w:name w:val="Quelle"/>
    <w:pPr>
      <w:spacing w:before="40" w:after="160"/>
    </w:pPr>
    <w:rPr>
      <w:rFonts w:ascii="Arial" w:hAnsi="Arial" w:cs="Arial" w:eastAsia="Arial"/>
      <w:b w:val="0"/>
      <w:color w:val="555555"/>
      <w:sz w:val="17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Relationship Id="rId10" Type="http://schemas.openxmlformats.org/officeDocument/2006/relationships/image" Target="media/image2.png"/><Relationship Id="rId11" Type="http://schemas.openxmlformats.org/officeDocument/2006/relationships/image" Target="media/image3.png"/><Relationship Id="rId12" Type="http://schemas.openxmlformats.org/officeDocument/2006/relationships/header" Target="header1.xml"/><Relationship Id="rId13" Type="http://schemas.openxmlformats.org/officeDocument/2006/relationships/footer" Target="footer1.xml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20" Type="http://schemas.openxmlformats.org/officeDocument/2006/relationships/image" Target="media/image11.png"/><Relationship Id="rId21" Type="http://schemas.openxmlformats.org/officeDocument/2006/relationships/image" Target="media/image12.png"/><Relationship Id="rId22" Type="http://schemas.openxmlformats.org/officeDocument/2006/relationships/image" Target="media/image13.png"/><Relationship Id="rId23" Type="http://schemas.openxmlformats.org/officeDocument/2006/relationships/image" Target="media/image14.png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LMB-Boxen: Trennwände entfernen/einsetzen und Kubaturen – WAMAS Touch</dc:title>
  <dc:subject>Unterteilte Boxen am Touch-Client pflegen und Artikeln zuordnen</dc:subject>
  <dc:creator>SSI SCHÄFER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  <dc:language>de-DE</dc:language>
</cp:coreProperties>
</file>