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Kundenanleitung</w:t>
            </w:r>
          </w:p>
          <w:p>
            <w:pPr>
              <w:spacing w:after="120"/>
            </w:pPr>
            <w:r>
              <w:rPr>
                <w:b/>
                <w:sz w:val="48"/>
              </w:rPr>
              <w:t>Manuell ein- und auslagern ohne Auftrag</w:t>
            </w:r>
          </w:p>
          <w:p>
            <w:pPr>
              <w:spacing w:after="360"/>
            </w:pPr>
            <w:r>
              <w:rPr>
                <w:b w:val="0"/>
                <w:sz w:val="32"/>
              </w:rPr>
              <w:t>WAMAS Lift &amp; Store 2.7</w:t>
            </w:r>
          </w:p>
          <w:p>
            <w:pPr>
              <w:spacing w:after="0"/>
            </w:pPr>
            <w:r>
              <w:rPr>
                <w:b w:val="0"/>
                <w:sz w:val="22"/>
              </w:rPr>
              <w:t>Kundendokument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Spontane Einlagerung und Entnahme, Umlagern, Bestandskorrektur und Tablarhandling am Touch-Client, Desktop und Mobilterminal</w:t>
            </w:r>
          </w:p>
          <w:p>
            <w:pPr>
              <w:spacing w:after="0"/>
            </w:pPr>
            <w:r>
              <w:rPr>
                <w:b w:val="0"/>
                <w:color w:val="555555"/>
                <w:sz w:val="18"/>
              </w:rPr>
              <w:t>SSI SCHÄFER</w:t>
            </w:r>
          </w:p>
        </w:tc>
      </w:tr>
    </w:tbl>
    <w:p>
      <w:pPr>
        <w:spacing w:before="8617"/>
      </w:pPr>
      <w:r>
        <w:rPr>
          <w:sz w:val="18"/>
        </w:rPr>
        <w:t>V 1.1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Begriffe</w:t>
        <w:tab/>
        <w:t>5</w:t>
      </w:r>
    </w:p>
    <w:p>
      <w:pPr>
        <w:pStyle w:val="TOC2"/>
        <w:tabs>
          <w:tab w:pos="9524" w:val="right" w:leader="dot"/>
        </w:tabs>
      </w:pPr>
      <w:r>
        <w:t>1.4 Dokumentinformationen</w:t>
        <w:tab/>
        <w:t>5</w:t>
      </w:r>
    </w:p>
    <w:p>
      <w:pPr>
        <w:pStyle w:val="TOC1"/>
        <w:tabs>
          <w:tab w:pos="9524" w:val="right" w:leader="dot"/>
        </w:tabs>
      </w:pPr>
      <w:r>
        <w:t>2 Überblick: Welche Wege gibt es ohne Auftrag?</w:t>
        <w:tab/>
        <w:t>7</w:t>
      </w:r>
    </w:p>
    <w:p>
      <w:pPr>
        <w:pStyle w:val="TOC2"/>
        <w:tabs>
          <w:tab w:pos="9524" w:val="right" w:leader="dot"/>
        </w:tabs>
      </w:pPr>
      <w:r>
        <w:t>2.1 Zwei Arten, ohne Hostauftrag zu arbeiten</w:t>
        <w:tab/>
        <w:t>7</w:t>
      </w:r>
    </w:p>
    <w:p>
      <w:pPr>
        <w:pStyle w:val="TOC2"/>
        <w:tabs>
          <w:tab w:pos="9524" w:val="right" w:leader="dot"/>
        </w:tabs>
      </w:pPr>
      <w:r>
        <w:t>2.2 Welcher Weg für welchen Fall?</w:t>
        <w:tab/>
        <w:t>7</w:t>
      </w:r>
    </w:p>
    <w:p>
      <w:pPr>
        <w:pStyle w:val="TOC2"/>
        <w:tabs>
          <w:tab w:pos="9524" w:val="right" w:leader="dot"/>
        </w:tabs>
      </w:pPr>
      <w:r>
        <w:t>2.3 Touch-Client, Desktop und Mobilterminal im Vergleich</w:t>
        <w:tab/>
        <w:t>7</w:t>
      </w:r>
    </w:p>
    <w:p>
      <w:pPr>
        <w:pStyle w:val="TOC2"/>
        <w:tabs>
          <w:tab w:pos="9524" w:val="right" w:leader="dot"/>
        </w:tabs>
      </w:pPr>
      <w:r>
        <w:t>2.4 Abgleich mit Version 2.8</w:t>
        <w:tab/>
        <w:t>8</w:t>
      </w:r>
    </w:p>
    <w:p>
      <w:pPr>
        <w:pStyle w:val="TOC1"/>
        <w:tabs>
          <w:tab w:pos="9524" w:val="right" w:leader="dot"/>
        </w:tabs>
      </w:pPr>
      <w:r>
        <w:t>3 Voraussetzungen und Konfiguration</w:t>
        <w:tab/>
        <w:t>10</w:t>
      </w:r>
    </w:p>
    <w:p>
      <w:pPr>
        <w:pStyle w:val="TOC2"/>
        <w:tabs>
          <w:tab w:pos="9524" w:val="right" w:leader="dot"/>
        </w:tabs>
      </w:pPr>
      <w:r>
        <w:t>3.1 Stammdaten</w:t>
        <w:tab/>
        <w:t>10</w:t>
      </w:r>
    </w:p>
    <w:p>
      <w:pPr>
        <w:pStyle w:val="TOC2"/>
        <w:tabs>
          <w:tab w:pos="9524" w:val="right" w:leader="dot"/>
        </w:tabs>
      </w:pPr>
      <w:r>
        <w:t>3.2 Benutzer, Rollen und Rechte</w:t>
        <w:tab/>
        <w:t>10</w:t>
      </w:r>
    </w:p>
    <w:p>
      <w:pPr>
        <w:pStyle w:val="TOC2"/>
        <w:tabs>
          <w:tab w:pos="9524" w:val="right" w:leader="dot"/>
        </w:tabs>
      </w:pPr>
      <w:r>
        <w:t>3.3 Buchungsschlüssel für spontane Buchungen</w:t>
        <w:tab/>
        <w:t>11</w:t>
      </w:r>
    </w:p>
    <w:p>
      <w:pPr>
        <w:pStyle w:val="TOC2"/>
        <w:tabs>
          <w:tab w:pos="9524" w:val="right" w:leader="dot"/>
        </w:tabs>
      </w:pPr>
      <w:r>
        <w:t>3.4 Bestandsklassifizierung</w:t>
        <w:tab/>
        <w:t>11</w:t>
      </w:r>
    </w:p>
    <w:p>
      <w:pPr>
        <w:pStyle w:val="TOC2"/>
        <w:tabs>
          <w:tab w:pos="9524" w:val="right" w:leader="dot"/>
        </w:tabs>
      </w:pPr>
      <w:r>
        <w:t>3.5 Systemparameter (LM053)</w:t>
        <w:tab/>
        <w:t>12</w:t>
      </w:r>
    </w:p>
    <w:p>
      <w:pPr>
        <w:pStyle w:val="TOC2"/>
        <w:tabs>
          <w:tab w:pos="9524" w:val="right" w:leader="dot"/>
        </w:tabs>
      </w:pPr>
      <w:r>
        <w:t>3.6 Bestätigungsart (LM060)</w:t>
        <w:tab/>
        <w:t>12</w:t>
      </w:r>
    </w:p>
    <w:p>
      <w:pPr>
        <w:pStyle w:val="TOC2"/>
        <w:tabs>
          <w:tab w:pos="9524" w:val="right" w:leader="dot"/>
        </w:tabs>
      </w:pPr>
      <w:r>
        <w:t>3.7 Globale Parameter</w:t>
        <w:tab/>
        <w:t>12</w:t>
      </w:r>
    </w:p>
    <w:p>
      <w:pPr>
        <w:pStyle w:val="TOC2"/>
        <w:tabs>
          <w:tab w:pos="9524" w:val="right" w:leader="dot"/>
        </w:tabs>
      </w:pPr>
      <w:r>
        <w:t>3.8 Anbindung an ein ERP- oder Hostsystem</w:t>
        <w:tab/>
        <w:t>13</w:t>
      </w:r>
    </w:p>
    <w:p>
      <w:pPr>
        <w:pStyle w:val="TOC1"/>
        <w:tabs>
          <w:tab w:pos="9524" w:val="right" w:leader="dot"/>
        </w:tabs>
      </w:pPr>
      <w:r>
        <w:t>4 Tablar holen, senden und zurückschicken</w:t>
        <w:tab/>
        <w:t>14</w:t>
      </w:r>
    </w:p>
    <w:p>
      <w:pPr>
        <w:pStyle w:val="TOC2"/>
        <w:tabs>
          <w:tab w:pos="9524" w:val="right" w:leader="dot"/>
        </w:tabs>
      </w:pPr>
      <w:r>
        <w:t>4.1 Tablar nach Artikel oder Bestandsattributen anfordern</w:t>
        <w:tab/>
        <w:t>14</w:t>
      </w:r>
    </w:p>
    <w:p>
      <w:pPr>
        <w:pStyle w:val="TOC2"/>
        <w:tabs>
          <w:tab w:pos="9524" w:val="right" w:leader="dot"/>
        </w:tabs>
      </w:pPr>
      <w:r>
        <w:t>4.2 Tablar nach Tablarnummer anfordern</w:t>
        <w:tab/>
        <w:t>15</w:t>
      </w:r>
    </w:p>
    <w:p>
      <w:pPr>
        <w:pStyle w:val="TOC2"/>
        <w:tabs>
          <w:tab w:pos="9524" w:val="right" w:leader="dot"/>
        </w:tabs>
      </w:pPr>
      <w:r>
        <w:t>4.3 Tablar aus einem anderen SSI LOGIMAT anfordern</w:t>
        <w:tab/>
        <w:t>15</w:t>
      </w:r>
    </w:p>
    <w:p>
      <w:pPr>
        <w:pStyle w:val="TOC2"/>
        <w:tabs>
          <w:tab w:pos="9524" w:val="right" w:leader="dot"/>
        </w:tabs>
      </w:pPr>
      <w:r>
        <w:t>4.4 Mehrere Tablare vormerken</w:t>
        <w:tab/>
        <w:t>15</w:t>
      </w:r>
    </w:p>
    <w:p>
      <w:pPr>
        <w:pStyle w:val="TOC2"/>
        <w:tabs>
          <w:tab w:pos="9524" w:val="right" w:leader="dot"/>
        </w:tabs>
      </w:pPr>
      <w:r>
        <w:t>4.5 Tablar an eine andere Zugriffsöffnung senden</w:t>
        <w:tab/>
        <w:t>15</w:t>
      </w:r>
    </w:p>
    <w:p>
      <w:pPr>
        <w:pStyle w:val="TOC2"/>
        <w:tabs>
          <w:tab w:pos="9524" w:val="right" w:leader="dot"/>
        </w:tabs>
      </w:pPr>
      <w:r>
        <w:t>4.6 Tablar zurückschicken</w:t>
        <w:tab/>
        <w:t>16</w:t>
      </w:r>
    </w:p>
    <w:p>
      <w:pPr>
        <w:pStyle w:val="TOC2"/>
        <w:tabs>
          <w:tab w:pos="9524" w:val="right" w:leader="dot"/>
        </w:tabs>
      </w:pPr>
      <w:r>
        <w:t>4.7 Tablare verwalten</w:t>
        <w:tab/>
        <w:t>16</w:t>
      </w:r>
    </w:p>
    <w:p>
      <w:pPr>
        <w:pStyle w:val="TOC1"/>
        <w:tabs>
          <w:tab w:pos="9524" w:val="right" w:leader="dot"/>
        </w:tabs>
      </w:pPr>
      <w:r>
        <w:t>5 Spontan einlagern</w:t>
        <w:tab/>
        <w:t>17</w:t>
      </w:r>
    </w:p>
    <w:p>
      <w:pPr>
        <w:pStyle w:val="TOC2"/>
        <w:tabs>
          <w:tab w:pos="9524" w:val="right" w:leader="dot"/>
        </w:tabs>
      </w:pPr>
      <w:r>
        <w:t>5.1 Ware in eine zugeordnete Box einlagern</w:t>
        <w:tab/>
        <w:t>17</w:t>
      </w:r>
    </w:p>
    <w:p>
      <w:pPr>
        <w:pStyle w:val="TOC2"/>
        <w:tabs>
          <w:tab w:pos="9524" w:val="right" w:leader="dot"/>
        </w:tabs>
      </w:pPr>
      <w:r>
        <w:t>5.2 Artikel ohne Box-Zuordnung einlagern</w:t>
        <w:tab/>
        <w:t>18</w:t>
      </w:r>
    </w:p>
    <w:p>
      <w:pPr>
        <w:pStyle w:val="TOC2"/>
        <w:tabs>
          <w:tab w:pos="9524" w:val="right" w:leader="dot"/>
        </w:tabs>
      </w:pPr>
      <w:r>
        <w:t>5.3 Neuen Artikel spontan anlegen</w:t>
        <w:tab/>
        <w:t>18</w:t>
      </w:r>
    </w:p>
    <w:p>
      <w:pPr>
        <w:pStyle w:val="TOC2"/>
        <w:tabs>
          <w:tab w:pos="9524" w:val="right" w:leader="dot"/>
        </w:tabs>
      </w:pPr>
      <w:r>
        <w:t>5.4 Große Artikel ohne Box einlagern</w:t>
        <w:tab/>
        <w:t>19</w:t>
      </w:r>
    </w:p>
    <w:p>
      <w:pPr>
        <w:pStyle w:val="TOC2"/>
        <w:tabs>
          <w:tab w:pos="9524" w:val="right" w:leader="dot"/>
        </w:tabs>
      </w:pPr>
      <w:r>
        <w:t>5.5 Mit Waage einlagern</w:t>
        <w:tab/>
        <w:t>19</w:t>
      </w:r>
    </w:p>
    <w:p>
      <w:pPr>
        <w:pStyle w:val="TOC2"/>
        <w:tabs>
          <w:tab w:pos="9524" w:val="right" w:leader="dot"/>
        </w:tabs>
      </w:pPr>
      <w:r>
        <w:t>5.6 Auffüllen, Nachschub und Rücklagerung</w:t>
        <w:tab/>
        <w:t>19</w:t>
      </w:r>
    </w:p>
    <w:p>
      <w:pPr>
        <w:pStyle w:val="TOC1"/>
        <w:tabs>
          <w:tab w:pos="9524" w:val="right" w:leader="dot"/>
        </w:tabs>
      </w:pPr>
      <w:r>
        <w:t>6 Spontan auslagern (Ad-hoc-Kommissionierung)</w:t>
        <w:tab/>
        <w:t>20</w:t>
      </w:r>
    </w:p>
    <w:p>
      <w:pPr>
        <w:pStyle w:val="TOC2"/>
        <w:tabs>
          <w:tab w:pos="9524" w:val="right" w:leader="dot"/>
        </w:tabs>
      </w:pPr>
      <w:r>
        <w:t>6.1 Ware aus einer Box entnehmen</w:t>
        <w:tab/>
        <w:t>20</w:t>
      </w:r>
    </w:p>
    <w:p>
      <w:pPr>
        <w:pStyle w:val="TOC2"/>
        <w:tabs>
          <w:tab w:pos="9524" w:val="right" w:leader="dot"/>
        </w:tabs>
      </w:pPr>
      <w:r>
        <w:t>6.2 Box wird leer</w:t>
        <w:tab/>
        <w:t>21</w:t>
      </w:r>
    </w:p>
    <w:p>
      <w:pPr>
        <w:pStyle w:val="TOC2"/>
        <w:tabs>
          <w:tab w:pos="9524" w:val="right" w:leader="dot"/>
        </w:tabs>
      </w:pPr>
      <w:r>
        <w:t>6.3 Entnahme gezielt nach MHD oder FIFO</w:t>
        <w:tab/>
        <w:t>21</w:t>
      </w:r>
    </w:p>
    <w:p>
      <w:pPr>
        <w:pStyle w:val="TOC1"/>
        <w:tabs>
          <w:tab w:pos="9524" w:val="right" w:leader="dot"/>
        </w:tabs>
      </w:pPr>
      <w:r>
        <w:t>7 Umlagern und Bestand bewegen</w:t>
        <w:tab/>
        <w:t>22</w:t>
      </w:r>
    </w:p>
    <w:p>
      <w:pPr>
        <w:pStyle w:val="TOC2"/>
        <w:tabs>
          <w:tab w:pos="9524" w:val="right" w:leader="dot"/>
        </w:tabs>
      </w:pPr>
      <w:r>
        <w:t>7.1 Boxen auf einem Tablar verdichten (Konsolidieren)</w:t>
        <w:tab/>
        <w:t>22</w:t>
      </w:r>
    </w:p>
    <w:p>
      <w:pPr>
        <w:pStyle w:val="TOC2"/>
        <w:tabs>
          <w:tab w:pos="9524" w:val="right" w:leader="dot"/>
        </w:tabs>
      </w:pPr>
      <w:r>
        <w:t>7.2 Bestand zwischen Tablaren oder Liften umlagern</w:t>
        <w:tab/>
        <w:t>22</w:t>
      </w:r>
    </w:p>
    <w:p>
      <w:pPr>
        <w:pStyle w:val="TOC2"/>
        <w:tabs>
          <w:tab w:pos="9524" w:val="right" w:leader="dot"/>
        </w:tabs>
      </w:pPr>
      <w:r>
        <w:t>7.3 Bestand zwischen externen Lagerplätzen bewegen (Mobilterminal)</w:t>
        <w:tab/>
        <w:t>22</w:t>
      </w:r>
    </w:p>
    <w:p>
      <w:pPr>
        <w:pStyle w:val="TOC2"/>
        <w:tabs>
          <w:tab w:pos="9524" w:val="right" w:leader="dot"/>
        </w:tabs>
      </w:pPr>
      <w:r>
        <w:t>7.4 Box-Fächer anpassen (Trennwände)</w:t>
        <w:tab/>
        <w:t>23</w:t>
      </w:r>
    </w:p>
    <w:p>
      <w:pPr>
        <w:pStyle w:val="TOC2"/>
        <w:tabs>
          <w:tab w:pos="9524" w:val="right" w:leader="dot"/>
        </w:tabs>
      </w:pPr>
      <w:r>
        <w:t>7.5 Externe LE zwischenlagern und wieder holen</w:t>
        <w:tab/>
        <w:t>23</w:t>
      </w:r>
    </w:p>
    <w:p>
      <w:pPr>
        <w:pStyle w:val="TOC2"/>
        <w:tabs>
          <w:tab w:pos="9524" w:val="right" w:leader="dot"/>
        </w:tabs>
      </w:pPr>
      <w:r>
        <w:t>7.6 LE auf einen Zielplatz buchen</w:t>
        <w:tab/>
        <w:t>23</w:t>
      </w:r>
    </w:p>
    <w:p>
      <w:pPr>
        <w:pStyle w:val="TOC2"/>
        <w:tabs>
          <w:tab w:pos="9524" w:val="right" w:leader="dot"/>
        </w:tabs>
      </w:pPr>
      <w:r>
        <w:t>7.7 LE für Einlagerung oder Kommissionierung sperren</w:t>
        <w:tab/>
        <w:t>23</w:t>
      </w:r>
    </w:p>
    <w:p>
      <w:pPr>
        <w:pStyle w:val="TOC1"/>
        <w:tabs>
          <w:tab w:pos="9524" w:val="right" w:leader="dot"/>
        </w:tabs>
      </w:pPr>
      <w:r>
        <w:t>8 Bestand zählen und korrigieren</w:t>
        <w:tab/>
        <w:t>24</w:t>
      </w:r>
    </w:p>
    <w:p>
      <w:pPr>
        <w:pStyle w:val="TOC2"/>
        <w:tabs>
          <w:tab w:pos="9524" w:val="right" w:leader="dot"/>
        </w:tabs>
      </w:pPr>
      <w:r>
        <w:t>8.1 Spontan zählen am Touch-Client</w:t>
        <w:tab/>
        <w:t>24</w:t>
      </w:r>
    </w:p>
    <w:p>
      <w:pPr>
        <w:pStyle w:val="TOC2"/>
        <w:tabs>
          <w:tab w:pos="9524" w:val="right" w:leader="dot"/>
        </w:tabs>
      </w:pPr>
      <w:r>
        <w:t>8.2 Spontane Inventur an externen Plätzen (Mobilterminal)</w:t>
        <w:tab/>
        <w:t>24</w:t>
      </w:r>
    </w:p>
    <w:p>
      <w:pPr>
        <w:pStyle w:val="TOC2"/>
        <w:tabs>
          <w:tab w:pos="9524" w:val="right" w:leader="dot"/>
        </w:tabs>
      </w:pPr>
      <w:r>
        <w:t>8.3 Korrektur über Zu- oder Abbuchung</w:t>
        <w:tab/>
        <w:t>24</w:t>
      </w:r>
    </w:p>
    <w:p>
      <w:pPr>
        <w:pStyle w:val="TOC2"/>
        <w:tabs>
          <w:tab w:pos="9524" w:val="right" w:leader="dot"/>
        </w:tabs>
      </w:pPr>
      <w:r>
        <w:t>8.4 Strukturierte Zählung mit Inventurbedarf</w:t>
        <w:tab/>
        <w:t>24</w:t>
      </w:r>
    </w:p>
    <w:p>
      <w:pPr>
        <w:pStyle w:val="TOC2"/>
        <w:tabs>
          <w:tab w:pos="9524" w:val="right" w:leader="dot"/>
        </w:tabs>
      </w:pPr>
      <w:r>
        <w:t>8.5 Bestandskorrektur am Desktop</w:t>
        <w:tab/>
        <w:t>25</w:t>
      </w:r>
    </w:p>
    <w:p>
      <w:pPr>
        <w:pStyle w:val="TOC1"/>
        <w:tabs>
          <w:tab w:pos="9524" w:val="right" w:leader="dot"/>
        </w:tabs>
      </w:pPr>
      <w:r>
        <w:t>9 Aufträge ohne Host selbst anlegen</w:t>
        <w:tab/>
        <w:t>26</w:t>
      </w:r>
    </w:p>
    <w:p>
      <w:pPr>
        <w:pStyle w:val="TOC2"/>
        <w:tabs>
          <w:tab w:pos="9524" w:val="right" w:leader="dot"/>
        </w:tabs>
      </w:pPr>
      <w:r>
        <w:t>9.1 Einlagerbedarf anlegen</w:t>
        <w:tab/>
        <w:t>26</w:t>
      </w:r>
    </w:p>
    <w:p>
      <w:pPr>
        <w:pStyle w:val="TOC2"/>
        <w:tabs>
          <w:tab w:pos="9524" w:val="right" w:leader="dot"/>
        </w:tabs>
      </w:pPr>
      <w:r>
        <w:t>9.2 Kommissionierbedarf anlegen</w:t>
        <w:tab/>
        <w:t>26</w:t>
      </w:r>
    </w:p>
    <w:p>
      <w:pPr>
        <w:pStyle w:val="TOC2"/>
        <w:tabs>
          <w:tab w:pos="9524" w:val="right" w:leader="dot"/>
        </w:tabs>
      </w:pPr>
      <w:r>
        <w:t>9.3 Inventurbedarf anlegen</w:t>
        <w:tab/>
        <w:t>26</w:t>
      </w:r>
    </w:p>
    <w:p>
      <w:pPr>
        <w:pStyle w:val="TOC2"/>
        <w:tabs>
          <w:tab w:pos="9524" w:val="right" w:leader="dot"/>
        </w:tabs>
      </w:pPr>
      <w:r>
        <w:t>9.4 Freigabe, Aktivierung und Abschluss</w:t>
        <w:tab/>
        <w:t>26</w:t>
      </w:r>
    </w:p>
    <w:p>
      <w:pPr>
        <w:pStyle w:val="TOC2"/>
        <w:tabs>
          <w:tab w:pos="9524" w:val="right" w:leader="dot"/>
        </w:tabs>
      </w:pPr>
      <w:r>
        <w:t>9.5 Menge anpassen, stornieren, abschließen</w:t>
        <w:tab/>
        <w:t>27</w:t>
      </w:r>
    </w:p>
    <w:p>
      <w:pPr>
        <w:pStyle w:val="TOC1"/>
        <w:tabs>
          <w:tab w:pos="9524" w:val="right" w:leader="dot"/>
        </w:tabs>
      </w:pPr>
      <w:r>
        <w:t>10 Was ohne Auftrag nicht möglich ist</w:t>
        <w:tab/>
        <w:t>28</w:t>
      </w:r>
    </w:p>
    <w:p>
      <w:pPr>
        <w:pStyle w:val="TOC1"/>
        <w:tabs>
          <w:tab w:pos="9524" w:val="right" w:leader="dot"/>
        </w:tabs>
      </w:pPr>
      <w:r>
        <w:t>11 Stolperfallen</w:t>
        <w:tab/>
        <w:t>29</w:t>
      </w:r>
    </w:p>
    <w:p>
      <w:pPr>
        <w:pStyle w:val="TOC1"/>
        <w:tabs>
          <w:tab w:pos="9524" w:val="right" w:leader="dot"/>
        </w:tabs>
      </w:pPr>
      <w:r>
        <w:t>12 Praxisbeispiele</w:t>
        <w:tab/>
        <w:t>30</w:t>
      </w:r>
    </w:p>
    <w:p>
      <w:pPr>
        <w:pStyle w:val="TOC2"/>
        <w:tabs>
          <w:tab w:pos="9524" w:val="right" w:leader="dot"/>
        </w:tabs>
      </w:pPr>
      <w:r>
        <w:t>12.1 Ungeplante Anlieferung spontan einlagern</w:t>
        <w:tab/>
        <w:t>30</w:t>
      </w:r>
    </w:p>
    <w:p>
      <w:pPr>
        <w:pStyle w:val="TOC2"/>
        <w:tabs>
          <w:tab w:pos="9524" w:val="right" w:leader="dot"/>
        </w:tabs>
      </w:pPr>
      <w:r>
        <w:t>12.2 Zähldifferenz korrigieren und Boxen verdichten</w:t>
        <w:tab/>
        <w:t>30</w:t>
      </w:r>
    </w:p>
    <w:p>
      <w:pPr>
        <w:pStyle w:val="TOC1"/>
        <w:tabs>
          <w:tab w:pos="9524" w:val="right" w:leader="dot"/>
        </w:tabs>
      </w:pPr>
      <w:r>
        <w:t>13 Dokumentationslücken und offene Fragen</w:t>
        <w:tab/>
        <w:t>31</w:t>
      </w:r>
    </w:p>
    <w:p>
      <w:pPr>
        <w:pStyle w:val="TOC1"/>
        <w:tabs>
          <w:tab w:pos="9524" w:val="right" w:leader="dot"/>
        </w:tabs>
      </w:pPr>
      <w:r>
        <w:t>14 Quellenverzeichnis</w:t>
        <w:tab/>
        <w:t>32</w:t>
      </w:r>
      <w:r>
        <w:fldChar w:fldCharType="end"/>
      </w:r>
    </w:p>
    <w:p>
      <w:pPr>
        <w:pStyle w:val="Heading1"/>
      </w:pPr>
      <w:r>
        <w:t>1 Über dieses Dokument</w:t>
      </w:r>
    </w:p>
    <w:p>
      <w:pPr>
        <w:pStyle w:val="Heading2"/>
      </w:pPr>
      <w:r>
        <w:t>1.1 Zweck</w:t>
      </w:r>
    </w:p>
    <w:p>
      <w:r>
        <w:t xml:space="preserve">Diese Anleitung beschreibt alle Wege, wie Sie in </w:t>
      </w:r>
      <w:r>
        <w:rPr>
          <w:b/>
        </w:rPr>
        <w:t>WAMAS Lift &amp; Store 2.7</w:t>
      </w:r>
      <w:r>
        <w:t xml:space="preserve"> Ware ohne einen Auftrag aus Ihrem ERP- oder Hostsystem in den SSI LOGIMAT einlagern, daraus entnehmen, umlagern oder korrigieren. Sie erfahren:</w:t>
      </w:r>
    </w:p>
    <w:p>
      <w:pPr>
        <w:pStyle w:val="ListBullet"/>
      </w:pPr>
      <w:r>
        <w:t>welche Möglichkeit für welchen Anwendungsfall geeignet ist (spontane Einlagerung, Ad-hoc-Entnahme, Auffüllen, Rücklagerung, Umlagern, Zählen und Korrigieren),</w:t>
      </w:r>
    </w:p>
    <w:p>
      <w:pPr>
        <w:pStyle w:val="ListBullet"/>
      </w:pPr>
      <w:r>
        <w:t>an welchem Gerät (Touch-Client, Desktop, Mobilterminal) und in welchem Dialog Sie arbeiten,</w:t>
      </w:r>
    </w:p>
    <w:p>
      <w:pPr>
        <w:pStyle w:val="ListBullet"/>
      </w:pPr>
      <w:r>
        <w:t>welche Rechte, Stammdaten und Einstellungen vorher eingerichtet sein müssen,</w:t>
      </w:r>
    </w:p>
    <w:p>
      <w:pPr>
        <w:pStyle w:val="ListBullet"/>
      </w:pPr>
      <w:r>
        <w:t>was ohne Auftrag nicht möglich ist und worauf Sie achten sollten.</w:t>
      </w:r>
    </w:p>
    <w:p>
      <w:r>
        <w:t>Wo sich Version 2.8 unterscheidet, ist das jeweils mit einem Hinweis vermerkt.</w:t>
      </w:r>
    </w:p>
    <w:p>
      <w:pPr>
        <w:pStyle w:val="Heading2"/>
      </w:pPr>
      <w:r>
        <w:t>1.2 Lesehinweise</w:t>
      </w:r>
    </w:p>
    <w:p>
      <w:pPr>
        <w:pStyle w:val="ListBullet"/>
      </w:pPr>
      <w:r>
        <w:t>Kapitel 2 gibt einen Überblick und hilft bei der Auswahl des richtigen Wegs.</w:t>
      </w:r>
    </w:p>
    <w:p>
      <w:pPr>
        <w:pStyle w:val="ListBullet"/>
      </w:pPr>
      <w:r>
        <w:t>Kapitel 3 richtet sich an Administratoren und beschreibt die nötigen Einstellungen.</w:t>
      </w:r>
    </w:p>
    <w:p>
      <w:pPr>
        <w:pStyle w:val="ListBullet"/>
      </w:pPr>
      <w:r>
        <w:t>Kapitel 4 bis 8 beschreiben die Abläufe Schritt für Schritt für den Anwender.</w:t>
      </w:r>
    </w:p>
    <w:p>
      <w:pPr>
        <w:pStyle w:val="ListBullet"/>
      </w:pPr>
      <w:r>
        <w:t>Kapitel 9 zeigt, wie Sie Aufträge selbst anlegen, wenn eine spontane Buchung nicht ausreicht.</w:t>
      </w:r>
    </w:p>
    <w:p>
      <w:pPr>
        <w:pStyle w:val="ListBullet"/>
      </w:pPr>
      <w:r>
        <w:t>Kapitel 10 bis 12 enthalten Abgrenzungen, Stolperfallen und zwei Praxisbeispiele.</w:t>
      </w:r>
    </w:p>
    <w:p>
      <w:pPr>
        <w:pStyle w:val="ListBullet"/>
      </w:pPr>
      <w:r>
        <w:t xml:space="preserve">Dialognamen, Icons und Buttons sind </w:t>
      </w:r>
      <w:r>
        <w:rPr>
          <w:b/>
        </w:rPr>
        <w:t>fett</w:t>
      </w:r>
      <w:r>
        <w:t xml:space="preserve"> gesetzt, Felder und Systemparameter in </w:t>
      </w:r>
      <w:r>
        <w:rPr>
          <w:rFonts w:ascii="Consolas" w:hAnsi="Consolas" w:cs="Consolas" w:eastAsia="Consolas"/>
          <w:sz w:val="18"/>
        </w:rPr>
        <w:t>Code</w:t>
      </w:r>
      <w:r>
        <w:t>-Schrift.</w:t>
      </w:r>
    </w:p>
    <w:p>
      <w:pPr>
        <w:pStyle w:val="ListBullet"/>
      </w:pPr>
      <w:r>
        <w:t>Unter jedem Abschnitt nennt eine Quellenzeile das zugehörige Kapitel im Benutzer- bzw. Administratorhandbuch.</w:t>
      </w:r>
    </w:p>
    <w:p>
      <w:pPr>
        <w:pStyle w:val="ListBullet"/>
      </w:pPr>
      <w:r>
        <w:t xml:space="preserve">Punkte, die in der Produktdokumentation nicht eindeutig beschrieben sind, sind als </w:t>
      </w:r>
      <w:r>
        <w:rPr>
          <w:b/>
        </w:rPr>
        <w:t>Dokumentationslücke</w:t>
      </w:r>
      <w:r>
        <w:t xml:space="preserve"> markiert. Bitte klären Sie diese im Zweifel mit Ihrem SSI SCHÄFER Ansprechpartner.</w:t>
      </w:r>
    </w:p>
    <w:p>
      <w:pPr>
        <w:pStyle w:val="Heading2"/>
      </w:pPr>
      <w:r>
        <w:t>1.3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03"/>
        <w:gridCol w:w="6421"/>
      </w:tblGrid>
      <w:tr>
        <w:trPr>
          <w:tblHeader w:val="true"/>
        </w:trPr>
        <w:tc>
          <w:tcPr>
            <w:tcW w:type="dxa" w:w="3103"/>
            <w:shd w:val="clear" w:color="auto" w:fill="FEEE19"/>
          </w:tcPr>
          <w:p>
            <w:pPr>
              <w:spacing w:after="0"/>
            </w:pPr>
            <w:r>
              <w:rPr>
                <w:b/>
                <w:sz w:val="17"/>
              </w:rPr>
              <w:t>Begriff</w:t>
            </w:r>
          </w:p>
        </w:tc>
        <w:tc>
          <w:tcPr>
            <w:tcW w:type="dxa" w:w="6421"/>
            <w:shd w:val="clear" w:color="auto" w:fill="FEEE19"/>
          </w:tcPr>
          <w:p>
            <w:pPr>
              <w:spacing w:after="0"/>
            </w:pPr>
            <w:r>
              <w:rPr>
                <w:b/>
                <w:sz w:val="17"/>
              </w:rPr>
              <w:t>Bedeutung</w:t>
            </w:r>
          </w:p>
        </w:tc>
      </w:tr>
      <w:tr>
        <w:tc>
          <w:tcPr>
            <w:tcW w:type="dxa" w:w="3103"/>
          </w:tcPr>
          <w:p>
            <w:pPr>
              <w:spacing w:after="0" w:line="252" w:lineRule="auto"/>
            </w:pPr>
            <w:r>
              <w:rPr>
                <w:sz w:val="17"/>
              </w:rPr>
              <w:t>Spontaner (manueller) Prozess</w:t>
            </w:r>
          </w:p>
        </w:tc>
        <w:tc>
          <w:tcPr>
            <w:tcW w:type="dxa" w:w="6421"/>
          </w:tcPr>
          <w:p>
            <w:pPr>
              <w:spacing w:after="0" w:line="252" w:lineRule="auto"/>
            </w:pPr>
            <w:r>
              <w:rPr>
                <w:sz w:val="17"/>
              </w:rPr>
              <w:t>Einlagern, Entnehmen, Verdichten oder Zählen direkt am Tablar, ohne dass im Hintergrund ein Auftrag existiert</w:t>
            </w:r>
          </w:p>
        </w:tc>
      </w:tr>
      <w:tr>
        <w:tc>
          <w:tcPr>
            <w:tcW w:type="dxa" w:w="3103"/>
          </w:tcPr>
          <w:p>
            <w:pPr>
              <w:spacing w:after="0" w:line="252" w:lineRule="auto"/>
            </w:pPr>
            <w:r>
              <w:rPr>
                <w:sz w:val="17"/>
              </w:rPr>
              <w:t>Bedarf / Auftrag</w:t>
            </w:r>
          </w:p>
        </w:tc>
        <w:tc>
          <w:tcPr>
            <w:tcW w:type="dxa" w:w="6421"/>
          </w:tcPr>
          <w:p>
            <w:pPr>
              <w:spacing w:after="0" w:line="252" w:lineRule="auto"/>
            </w:pPr>
            <w:r>
              <w:rPr>
                <w:sz w:val="17"/>
              </w:rPr>
              <w:t>Einlager-, Kommissionier- oder Inventurbedarf. Am Touch-Client werden Bedarfe als Aufträge bezeichnet</w:t>
            </w:r>
          </w:p>
        </w:tc>
      </w:tr>
      <w:tr>
        <w:tc>
          <w:tcPr>
            <w:tcW w:type="dxa" w:w="3103"/>
          </w:tcPr>
          <w:p>
            <w:pPr>
              <w:spacing w:after="0" w:line="252" w:lineRule="auto"/>
            </w:pPr>
            <w:r>
              <w:rPr>
                <w:sz w:val="17"/>
              </w:rPr>
              <w:t>Tablaranforderung</w:t>
            </w:r>
          </w:p>
        </w:tc>
        <w:tc>
          <w:tcPr>
            <w:tcW w:type="dxa" w:w="6421"/>
          </w:tcPr>
          <w:p>
            <w:pPr>
              <w:spacing w:after="0" w:line="252" w:lineRule="auto"/>
            </w:pPr>
            <w:r>
              <w:rPr>
                <w:sz w:val="17"/>
              </w:rPr>
              <w:t>Anforderung, ein Tablar an eine Zugriffsöffnung zu bringen</w:t>
            </w:r>
          </w:p>
        </w:tc>
      </w:tr>
      <w:tr>
        <w:tc>
          <w:tcPr>
            <w:tcW w:type="dxa" w:w="3103"/>
          </w:tcPr>
          <w:p>
            <w:pPr>
              <w:spacing w:after="0" w:line="252" w:lineRule="auto"/>
            </w:pPr>
            <w:r>
              <w:rPr>
                <w:sz w:val="17"/>
              </w:rPr>
              <w:t>Box</w:t>
            </w:r>
          </w:p>
        </w:tc>
        <w:tc>
          <w:tcPr>
            <w:tcW w:type="dxa" w:w="6421"/>
          </w:tcPr>
          <w:p>
            <w:pPr>
              <w:spacing w:after="0" w:line="252" w:lineRule="auto"/>
            </w:pPr>
            <w:r>
              <w:rPr>
                <w:sz w:val="17"/>
              </w:rPr>
              <w:t>Lagerfach auf dem Tablar. Eine Box kann in Fächer unterteilt sein</w:t>
            </w:r>
          </w:p>
        </w:tc>
      </w:tr>
      <w:tr>
        <w:tc>
          <w:tcPr>
            <w:tcW w:type="dxa" w:w="3103"/>
          </w:tcPr>
          <w:p>
            <w:pPr>
              <w:spacing w:after="0" w:line="252" w:lineRule="auto"/>
            </w:pPr>
            <w:r>
              <w:rPr>
                <w:sz w:val="17"/>
              </w:rPr>
              <w:t>Artikel-zu-Box-Zuordnung</w:t>
            </w:r>
          </w:p>
        </w:tc>
        <w:tc>
          <w:tcPr>
            <w:tcW w:type="dxa" w:w="6421"/>
          </w:tcPr>
          <w:p>
            <w:pPr>
              <w:spacing w:after="0" w:line="252" w:lineRule="auto"/>
            </w:pPr>
            <w:r>
              <w:rPr>
                <w:sz w:val="17"/>
              </w:rPr>
              <w:t>Legt fest, welcher Artikel in welcher Box gelagert werden darf</w:t>
            </w:r>
          </w:p>
        </w:tc>
      </w:tr>
      <w:tr>
        <w:tc>
          <w:tcPr>
            <w:tcW w:type="dxa" w:w="3103"/>
          </w:tcPr>
          <w:p>
            <w:pPr>
              <w:spacing w:after="0" w:line="252" w:lineRule="auto"/>
            </w:pPr>
            <w:r>
              <w:rPr>
                <w:sz w:val="17"/>
              </w:rPr>
              <w:t>Buchungsschlüssel</w:t>
            </w:r>
          </w:p>
        </w:tc>
        <w:tc>
          <w:tcPr>
            <w:tcW w:type="dxa" w:w="6421"/>
          </w:tcPr>
          <w:p>
            <w:pPr>
              <w:spacing w:after="0" w:line="252" w:lineRule="auto"/>
            </w:pPr>
            <w:r>
              <w:rPr>
                <w:sz w:val="17"/>
              </w:rPr>
              <w:t>Grund einer Bestandskorrektur, z. B. bei Inventur oder spontaner Buchung</w:t>
            </w:r>
          </w:p>
        </w:tc>
      </w:tr>
      <w:tr>
        <w:tc>
          <w:tcPr>
            <w:tcW w:type="dxa" w:w="3103"/>
          </w:tcPr>
          <w:p>
            <w:pPr>
              <w:spacing w:after="0" w:line="252" w:lineRule="auto"/>
            </w:pPr>
            <w:r>
              <w:rPr>
                <w:sz w:val="17"/>
              </w:rPr>
              <w:t>Systempartner</w:t>
            </w:r>
          </w:p>
        </w:tc>
        <w:tc>
          <w:tcPr>
            <w:tcW w:type="dxa" w:w="6421"/>
          </w:tcPr>
          <w:p>
            <w:pPr>
              <w:spacing w:after="0" w:line="252" w:lineRule="auto"/>
            </w:pPr>
            <w:r>
              <w:rPr>
                <w:sz w:val="17"/>
              </w:rPr>
              <w:t>Angebundenes Fremdsystem (z. B. ERP), das Meldungen von WAMAS erhält</w:t>
            </w:r>
          </w:p>
        </w:tc>
      </w:tr>
      <w:tr>
        <w:tc>
          <w:tcPr>
            <w:tcW w:type="dxa" w:w="3103"/>
          </w:tcPr>
          <w:p>
            <w:pPr>
              <w:spacing w:after="0" w:line="252" w:lineRule="auto"/>
            </w:pPr>
            <w:r>
              <w:rPr>
                <w:sz w:val="17"/>
              </w:rPr>
              <w:t>Externer Lagerplatz</w:t>
            </w:r>
          </w:p>
        </w:tc>
        <w:tc>
          <w:tcPr>
            <w:tcW w:type="dxa" w:w="6421"/>
          </w:tcPr>
          <w:p>
            <w:pPr>
              <w:spacing w:after="0" w:line="252" w:lineRule="auto"/>
            </w:pPr>
            <w:r>
              <w:rPr>
                <w:sz w:val="17"/>
              </w:rPr>
              <w:t>Lagerplatz außerhalb des SSI LOGIMAT, z. B. ein Fachbodenregal; Bedienung über das Mobilterminal</w:t>
            </w:r>
          </w:p>
        </w:tc>
      </w:tr>
      <w:tr>
        <w:tc>
          <w:tcPr>
            <w:tcW w:type="dxa" w:w="3103"/>
          </w:tcPr>
          <w:p>
            <w:pPr>
              <w:spacing w:after="0" w:line="252" w:lineRule="auto"/>
            </w:pPr>
            <w:r>
              <w:rPr>
                <w:sz w:val="17"/>
              </w:rPr>
              <w:t>LE</w:t>
            </w:r>
          </w:p>
        </w:tc>
        <w:tc>
          <w:tcPr>
            <w:tcW w:type="dxa" w:w="6421"/>
          </w:tcPr>
          <w:p>
            <w:pPr>
              <w:spacing w:after="0" w:line="252" w:lineRule="auto"/>
            </w:pPr>
            <w:r>
              <w:rPr>
                <w:sz w:val="17"/>
              </w:rPr>
              <w:t>Ladeeinheit</w:t>
            </w:r>
          </w:p>
        </w:tc>
      </w:tr>
    </w:tbl>
    <w:p>
      <w:pPr>
        <w:pStyle w:val="BeschriftungSSI"/>
      </w:pPr>
      <w:r>
        <w:t>Tab. 1: Begriffe</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Manuell ein- und auslagern ohne Auftrag</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Anwender, Key-User und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Benutzerhandbuch 2.7 (deDE), Administratorhandbuch 2.7 (deDE), Abgleich mit User Manual und Administrator Manual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77"/>
        <w:gridCol w:w="1277"/>
        <w:gridCol w:w="6969"/>
      </w:tblGrid>
      <w:tr>
        <w:trPr>
          <w:tblHeader w:val="true"/>
        </w:trPr>
        <w:tc>
          <w:tcPr>
            <w:tcW w:type="dxa" w:w="1278"/>
            <w:shd w:val="clear" w:color="auto" w:fill="FEEE19"/>
          </w:tcPr>
          <w:p>
            <w:pPr>
              <w:spacing w:after="0"/>
            </w:pPr>
            <w:r>
              <w:rPr>
                <w:b/>
                <w:sz w:val="17"/>
              </w:rPr>
              <w:t>Version</w:t>
            </w:r>
          </w:p>
        </w:tc>
        <w:tc>
          <w:tcPr>
            <w:tcW w:type="dxa" w:w="1278"/>
            <w:shd w:val="clear" w:color="auto" w:fill="FEEE19"/>
          </w:tcPr>
          <w:p>
            <w:pPr>
              <w:spacing w:after="0"/>
            </w:pPr>
            <w:r>
              <w:rPr>
                <w:b/>
                <w:sz w:val="17"/>
              </w:rPr>
              <w:t>Datum</w:t>
            </w:r>
          </w:p>
        </w:tc>
        <w:tc>
          <w:tcPr>
            <w:tcW w:type="dxa" w:w="6969"/>
            <w:shd w:val="clear" w:color="auto" w:fill="FEEE19"/>
          </w:tcPr>
          <w:p>
            <w:pPr>
              <w:spacing w:after="0"/>
            </w:pPr>
            <w:r>
              <w:rPr>
                <w:b/>
                <w:sz w:val="17"/>
              </w:rPr>
              <w:t>Änderung</w:t>
            </w:r>
          </w:p>
        </w:tc>
      </w:tr>
      <w:tr>
        <w:tc>
          <w:tcPr>
            <w:tcW w:type="dxa" w:w="1278"/>
          </w:tcPr>
          <w:p>
            <w:pPr>
              <w:spacing w:after="0" w:line="252" w:lineRule="auto"/>
            </w:pPr>
            <w:r>
              <w:rPr>
                <w:sz w:val="17"/>
              </w:rPr>
              <w:t>1.0</w:t>
            </w:r>
          </w:p>
        </w:tc>
        <w:tc>
          <w:tcPr>
            <w:tcW w:type="dxa" w:w="1278"/>
          </w:tcPr>
          <w:p>
            <w:pPr>
              <w:spacing w:after="0" w:line="252" w:lineRule="auto"/>
            </w:pPr>
            <w:r>
              <w:rPr>
                <w:sz w:val="17"/>
              </w:rPr>
              <w:t>15.10.2026</w:t>
            </w:r>
          </w:p>
        </w:tc>
        <w:tc>
          <w:tcPr>
            <w:tcW w:type="dxa" w:w="6969"/>
          </w:tcPr>
          <w:p>
            <w:pPr>
              <w:spacing w:after="0" w:line="252" w:lineRule="auto"/>
            </w:pPr>
            <w:r>
              <w:rPr>
                <w:sz w:val="17"/>
              </w:rPr>
              <w:t>Erstausgabe auf Basis der Handbücher 2.7, abgeglichen mit 2.8</w:t>
            </w:r>
          </w:p>
        </w:tc>
      </w:tr>
      <w:tr>
        <w:tc>
          <w:tcPr>
            <w:tcW w:type="dxa" w:w="1278"/>
          </w:tcPr>
          <w:p>
            <w:pPr>
              <w:spacing w:after="0" w:line="252" w:lineRule="auto"/>
            </w:pPr>
            <w:r>
              <w:rPr>
                <w:sz w:val="17"/>
              </w:rPr>
              <w:t>1.1</w:t>
            </w:r>
          </w:p>
        </w:tc>
        <w:tc>
          <w:tcPr>
            <w:tcW w:type="dxa" w:w="1278"/>
          </w:tcPr>
          <w:p>
            <w:pPr>
              <w:spacing w:after="0" w:line="252" w:lineRule="auto"/>
            </w:pPr>
            <w:r>
              <w:rPr>
                <w:sz w:val="17"/>
              </w:rPr>
              <w:t>15.10.2026</w:t>
            </w:r>
          </w:p>
        </w:tc>
        <w:tc>
          <w:tcPr>
            <w:tcW w:type="dxa" w:w="6969"/>
          </w:tcPr>
          <w:p>
            <w:pPr>
              <w:spacing w:after="0" w:line="252" w:lineRule="auto"/>
            </w:pPr>
            <w:r>
              <w:rPr>
                <w:sz w:val="17"/>
              </w:rPr>
              <w:t>10 Bildschirmfotos (Touch-Client und Desktop) aus dem SSI Sales-Tool ergänzt: Anmeldung, Hauptmenü, Tablarsuche, Einlagern, Auslagern, Inventur</w:t>
            </w:r>
          </w:p>
        </w:tc>
      </w:tr>
    </w:tbl>
    <w:p>
      <w:pPr>
        <w:pStyle w:val="BeschriftungSSI"/>
      </w:pPr>
      <w:r>
        <w:t>Tab. 2: Änderungshistorie</w:t>
      </w:r>
    </w:p>
    <w:p>
      <w:pPr>
        <w:pStyle w:val="Heading1"/>
      </w:pPr>
      <w:r>
        <w:t>2 Überblick: Welche Wege gibt es ohne Auftrag?</w:t>
      </w:r>
    </w:p>
    <w:p>
      <w:pPr>
        <w:pStyle w:val="Heading2"/>
      </w:pPr>
      <w:r>
        <w:t>2.1 Zwei Arten, ohne Hostauftrag zu arbeiten</w:t>
      </w:r>
    </w:p>
    <w:p>
      <w:r>
        <w:t>WAMAS Lift &amp; Store kennt zwei grundsätzlich verschiedene Wege, Ware ohne Auftrag aus dem ERP zu bewegen:</w:t>
      </w:r>
    </w:p>
    <w:p>
      <w:pPr>
        <w:tabs>
          <w:tab w:pos="425" w:val="left"/>
        </w:tabs>
        <w:spacing w:after="60"/>
        <w:ind w:left="425" w:hanging="425"/>
      </w:pPr>
      <w:r>
        <w:rPr>
          <w:b/>
        </w:rPr>
        <w:t>1.</w:t>
        <w:tab/>
      </w:r>
      <w:r>
        <w:rPr>
          <w:b/>
        </w:rPr>
        <w:t>Spontane (manuelle) Prozesse am Touch-Client:</w:t>
      </w:r>
      <w:r>
        <w:t xml:space="preserve"> Der Benutzer fordert ein Tablar an, lagert ein, entnimmt, verdichtet oder zählt direkt und schickt das Tablar zurück, wann er möchte. Im Hintergrund gibt es keinen Auftrag.</w:t>
      </w:r>
    </w:p>
    <w:p>
      <w:pPr>
        <w:tabs>
          <w:tab w:pos="425" w:val="left"/>
        </w:tabs>
        <w:spacing w:after="60"/>
        <w:ind w:left="425" w:hanging="425"/>
      </w:pPr>
      <w:r>
        <w:rPr>
          <w:b/>
        </w:rPr>
        <w:t>2.</w:t>
        <w:tab/>
      </w:r>
      <w:r>
        <w:rPr>
          <w:b/>
        </w:rPr>
        <w:t>Selbst angelegte Aufträge:</w:t>
      </w:r>
      <w:r>
        <w:t xml:space="preserve"> Der Benutzer legt am Desktop oder am Touch-Client einen Einlager-, Kommissionier- oder Inventurbedarf an. Dieser wird anschließend wie ein Hostauftrag freigegeben, aktiviert und systemgeführt abgearbeitet. Das ist sinnvoll bei mehreren Positionen, bei Arbeitsteilung oder wenn eine Strategie die Plätze bestimmen soll.</w:t>
      </w:r>
    </w:p>
    <w:p>
      <w:r>
        <w:t xml:space="preserve">Zusätzlich gibt es am </w:t>
      </w:r>
      <w:r>
        <w:rPr>
          <w:b/>
        </w:rPr>
        <w:t>Mobilterminal</w:t>
      </w:r>
      <w:r>
        <w:t xml:space="preserve"> zwei auftragsfreie Tätigkeiten für externe Lagerplätze: </w:t>
      </w:r>
      <w:r>
        <w:rPr>
          <w:b/>
        </w:rPr>
        <w:t>Bestand verteilen</w:t>
      </w:r>
      <w:r>
        <w:t xml:space="preserve"> und </w:t>
      </w:r>
      <w:r>
        <w:rPr>
          <w:b/>
        </w:rPr>
        <w:t>Spontane Inventur</w:t>
      </w:r>
      <w:r>
        <w:t>.</w:t>
      </w:r>
    </w:p>
    <w:p>
      <w:pPr>
        <w:pStyle w:val="Quelle"/>
      </w:pPr>
      <w:r>
        <w:rPr>
          <w:b/>
        </w:rPr>
        <w:t xml:space="preserve">Quelle: </w:t>
      </w:r>
      <w:r>
        <w:rPr>
          <w:sz w:val="17"/>
        </w:rPr>
        <w:t>Benutzerhandbuch 2.7, Kap. 6.1 (S. 77), 6.2 (S. 90) und 6.3 (S. 124)</w:t>
      </w:r>
    </w:p>
    <w:p>
      <w:pPr>
        <w:pStyle w:val="Heading2"/>
      </w:pPr>
      <w:r>
        <w:t>2.2 Welcher Weg für welchen Fall?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97"/>
        <w:gridCol w:w="2041"/>
        <w:gridCol w:w="3538"/>
        <w:gridCol w:w="748"/>
      </w:tblGrid>
      <w:tr>
        <w:trPr>
          <w:tblHeader w:val="true"/>
        </w:trPr>
        <w:tc>
          <w:tcPr>
            <w:tcW w:type="dxa" w:w="3197"/>
            <w:shd w:val="clear" w:color="auto" w:fill="FEEE19"/>
          </w:tcPr>
          <w:p>
            <w:pPr>
              <w:spacing w:after="0"/>
            </w:pPr>
            <w:r>
              <w:rPr>
                <w:b/>
                <w:sz w:val="17"/>
              </w:rPr>
              <w:t>Anwendungsfall</w:t>
            </w:r>
          </w:p>
        </w:tc>
        <w:tc>
          <w:tcPr>
            <w:tcW w:type="dxa" w:w="2041"/>
            <w:shd w:val="clear" w:color="auto" w:fill="FEEE19"/>
          </w:tcPr>
          <w:p>
            <w:pPr>
              <w:spacing w:after="0"/>
            </w:pPr>
            <w:r>
              <w:rPr>
                <w:b/>
                <w:sz w:val="17"/>
              </w:rPr>
              <w:t>Empfohlener Weg</w:t>
            </w:r>
          </w:p>
        </w:tc>
        <w:tc>
          <w:tcPr>
            <w:tcW w:type="dxa" w:w="3538"/>
            <w:shd w:val="clear" w:color="auto" w:fill="FEEE19"/>
          </w:tcPr>
          <w:p>
            <w:pPr>
              <w:spacing w:after="0"/>
            </w:pPr>
            <w:r>
              <w:rPr>
                <w:b/>
                <w:sz w:val="17"/>
              </w:rPr>
              <w:t>Gerät, Dialog</w:t>
            </w:r>
          </w:p>
        </w:tc>
        <w:tc>
          <w:tcPr>
            <w:tcW w:type="dxa" w:w="748"/>
            <w:shd w:val="clear" w:color="auto" w:fill="FEEE19"/>
          </w:tcPr>
          <w:p>
            <w:pPr>
              <w:spacing w:after="0"/>
            </w:pPr>
            <w:r>
              <w:rPr>
                <w:b/>
                <w:sz w:val="17"/>
              </w:rPr>
              <w:t>Kap.</w:t>
            </w:r>
          </w:p>
        </w:tc>
      </w:tr>
      <w:tr>
        <w:tc>
          <w:tcPr>
            <w:tcW w:type="dxa" w:w="3197"/>
          </w:tcPr>
          <w:p>
            <w:pPr>
              <w:spacing w:after="0" w:line="252" w:lineRule="auto"/>
            </w:pPr>
            <w:r>
              <w:rPr>
                <w:sz w:val="17"/>
              </w:rPr>
              <w:t>Ungeplante Anlieferung einlagern</w:t>
            </w:r>
          </w:p>
        </w:tc>
        <w:tc>
          <w:tcPr>
            <w:tcW w:type="dxa" w:w="2041"/>
          </w:tcPr>
          <w:p>
            <w:pPr>
              <w:spacing w:after="0" w:line="252" w:lineRule="auto"/>
            </w:pPr>
            <w:r>
              <w:rPr>
                <w:sz w:val="17"/>
              </w:rPr>
              <w:t>Spontan einlagern</w:t>
            </w:r>
          </w:p>
        </w:tc>
        <w:tc>
          <w:tcPr>
            <w:tcW w:type="dxa" w:w="3538"/>
          </w:tcPr>
          <w:p>
            <w:pPr>
              <w:spacing w:after="0" w:line="252" w:lineRule="auto"/>
            </w:pPr>
            <w:r>
              <w:rPr>
                <w:sz w:val="17"/>
              </w:rPr>
              <w:t xml:space="preserve">Touch-Client, </w:t>
            </w:r>
            <w:r>
              <w:rPr>
                <w:b/>
                <w:sz w:val="17"/>
              </w:rPr>
              <w:t>LM040</w:t>
            </w:r>
            <w:r>
              <w:rPr>
                <w:sz w:val="17"/>
              </w:rPr>
              <w:t xml:space="preserve"> → </w:t>
            </w:r>
            <w:r>
              <w:rPr>
                <w:b/>
                <w:sz w:val="17"/>
              </w:rPr>
              <w:t>LM002</w:t>
            </w:r>
          </w:p>
        </w:tc>
        <w:tc>
          <w:tcPr>
            <w:tcW w:type="dxa" w:w="748"/>
          </w:tcPr>
          <w:p>
            <w:pPr>
              <w:spacing w:after="0" w:line="252" w:lineRule="auto"/>
            </w:pPr>
            <w:r>
              <w:rPr>
                <w:sz w:val="17"/>
              </w:rPr>
              <w:t>5</w:t>
            </w:r>
          </w:p>
        </w:tc>
      </w:tr>
      <w:tr>
        <w:tc>
          <w:tcPr>
            <w:tcW w:type="dxa" w:w="3197"/>
          </w:tcPr>
          <w:p>
            <w:pPr>
              <w:spacing w:after="0" w:line="252" w:lineRule="auto"/>
            </w:pPr>
            <w:r>
              <w:rPr>
                <w:sz w:val="17"/>
              </w:rPr>
              <w:t>Ware sofort entnehmen (Ad-hoc-Kommissionierung)</w:t>
            </w:r>
          </w:p>
        </w:tc>
        <w:tc>
          <w:tcPr>
            <w:tcW w:type="dxa" w:w="2041"/>
          </w:tcPr>
          <w:p>
            <w:pPr>
              <w:spacing w:after="0" w:line="252" w:lineRule="auto"/>
            </w:pPr>
            <w:r>
              <w:rPr>
                <w:sz w:val="17"/>
              </w:rPr>
              <w:t>Spontan auslagern</w:t>
            </w:r>
          </w:p>
        </w:tc>
        <w:tc>
          <w:tcPr>
            <w:tcW w:type="dxa" w:w="3538"/>
          </w:tcPr>
          <w:p>
            <w:pPr>
              <w:spacing w:after="0" w:line="252" w:lineRule="auto"/>
            </w:pPr>
            <w:r>
              <w:rPr>
                <w:sz w:val="17"/>
              </w:rPr>
              <w:t xml:space="preserve">Touch-Client, </w:t>
            </w:r>
            <w:r>
              <w:rPr>
                <w:b/>
                <w:sz w:val="17"/>
              </w:rPr>
              <w:t>LM040</w:t>
            </w:r>
            <w:r>
              <w:rPr>
                <w:sz w:val="17"/>
              </w:rPr>
              <w:t xml:space="preserve"> → </w:t>
            </w:r>
            <w:r>
              <w:rPr>
                <w:b/>
                <w:sz w:val="17"/>
              </w:rPr>
              <w:t>LM002</w:t>
            </w:r>
          </w:p>
        </w:tc>
        <w:tc>
          <w:tcPr>
            <w:tcW w:type="dxa" w:w="748"/>
          </w:tcPr>
          <w:p>
            <w:pPr>
              <w:spacing w:after="0" w:line="252" w:lineRule="auto"/>
            </w:pPr>
            <w:r>
              <w:rPr>
                <w:sz w:val="17"/>
              </w:rPr>
              <w:t>6</w:t>
            </w:r>
          </w:p>
        </w:tc>
      </w:tr>
      <w:tr>
        <w:tc>
          <w:tcPr>
            <w:tcW w:type="dxa" w:w="3197"/>
          </w:tcPr>
          <w:p>
            <w:pPr>
              <w:spacing w:after="0" w:line="252" w:lineRule="auto"/>
            </w:pPr>
            <w:r>
              <w:rPr>
                <w:sz w:val="17"/>
              </w:rPr>
              <w:t>Box nachfüllen, Ware zurücklagern</w:t>
            </w:r>
          </w:p>
        </w:tc>
        <w:tc>
          <w:tcPr>
            <w:tcW w:type="dxa" w:w="2041"/>
          </w:tcPr>
          <w:p>
            <w:pPr>
              <w:spacing w:after="0" w:line="252" w:lineRule="auto"/>
            </w:pPr>
            <w:r>
              <w:rPr>
                <w:sz w:val="17"/>
              </w:rPr>
              <w:t>Spontan einlagern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5.6</w:t>
            </w:r>
          </w:p>
        </w:tc>
      </w:tr>
      <w:tr>
        <w:tc>
          <w:tcPr>
            <w:tcW w:type="dxa" w:w="3197"/>
          </w:tcPr>
          <w:p>
            <w:pPr>
              <w:spacing w:after="0" w:line="252" w:lineRule="auto"/>
            </w:pPr>
            <w:r>
              <w:rPr>
                <w:sz w:val="17"/>
              </w:rPr>
              <w:t>Bestand auf weniger Boxen verdichten</w:t>
            </w:r>
          </w:p>
        </w:tc>
        <w:tc>
          <w:tcPr>
            <w:tcW w:type="dxa" w:w="2041"/>
          </w:tcPr>
          <w:p>
            <w:pPr>
              <w:spacing w:after="0" w:line="252" w:lineRule="auto"/>
            </w:pPr>
            <w:r>
              <w:rPr>
                <w:sz w:val="17"/>
              </w:rPr>
              <w:t>Konsolidieren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7.1</w:t>
            </w:r>
          </w:p>
        </w:tc>
      </w:tr>
      <w:tr>
        <w:tc>
          <w:tcPr>
            <w:tcW w:type="dxa" w:w="3197"/>
          </w:tcPr>
          <w:p>
            <w:pPr>
              <w:spacing w:after="0" w:line="252" w:lineRule="auto"/>
            </w:pPr>
            <w:r>
              <w:rPr>
                <w:sz w:val="17"/>
              </w:rPr>
              <w:t>Bestand zwischen Tablaren umlagern</w:t>
            </w:r>
          </w:p>
        </w:tc>
        <w:tc>
          <w:tcPr>
            <w:tcW w:type="dxa" w:w="2041"/>
          </w:tcPr>
          <w:p>
            <w:pPr>
              <w:spacing w:after="0" w:line="252" w:lineRule="auto"/>
            </w:pPr>
            <w:r>
              <w:rPr>
                <w:sz w:val="17"/>
              </w:rPr>
              <w:t>Entnehmen und wieder einlagern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7.2</w:t>
            </w:r>
          </w:p>
        </w:tc>
      </w:tr>
      <w:tr>
        <w:tc>
          <w:tcPr>
            <w:tcW w:type="dxa" w:w="3197"/>
          </w:tcPr>
          <w:p>
            <w:pPr>
              <w:spacing w:after="0" w:line="252" w:lineRule="auto"/>
            </w:pPr>
            <w:r>
              <w:rPr>
                <w:sz w:val="17"/>
              </w:rPr>
              <w:t>Bestand zwischen externen Plätzen bewegen</w:t>
            </w:r>
          </w:p>
        </w:tc>
        <w:tc>
          <w:tcPr>
            <w:tcW w:type="dxa" w:w="2041"/>
          </w:tcPr>
          <w:p>
            <w:pPr>
              <w:spacing w:after="0" w:line="252" w:lineRule="auto"/>
            </w:pPr>
            <w:r>
              <w:rPr>
                <w:sz w:val="17"/>
              </w:rPr>
              <w:t>Bestand verteilen</w:t>
            </w:r>
          </w:p>
        </w:tc>
        <w:tc>
          <w:tcPr>
            <w:tcW w:type="dxa" w:w="3538"/>
          </w:tcPr>
          <w:p>
            <w:pPr>
              <w:spacing w:after="0" w:line="252" w:lineRule="auto"/>
            </w:pPr>
            <w:r>
              <w:rPr>
                <w:sz w:val="17"/>
              </w:rPr>
              <w:t xml:space="preserve">Mobilterminal, </w:t>
            </w:r>
            <w:r>
              <w:rPr>
                <w:b/>
                <w:sz w:val="17"/>
              </w:rPr>
              <w:t>WLM001</w:t>
            </w:r>
          </w:p>
        </w:tc>
        <w:tc>
          <w:tcPr>
            <w:tcW w:type="dxa" w:w="748"/>
          </w:tcPr>
          <w:p>
            <w:pPr>
              <w:spacing w:after="0" w:line="252" w:lineRule="auto"/>
            </w:pPr>
            <w:r>
              <w:rPr>
                <w:sz w:val="17"/>
              </w:rPr>
              <w:t>7.3</w:t>
            </w:r>
          </w:p>
        </w:tc>
      </w:tr>
      <w:tr>
        <w:tc>
          <w:tcPr>
            <w:tcW w:type="dxa" w:w="3197"/>
          </w:tcPr>
          <w:p>
            <w:pPr>
              <w:spacing w:after="0" w:line="252" w:lineRule="auto"/>
            </w:pPr>
            <w:r>
              <w:rPr>
                <w:sz w:val="17"/>
              </w:rPr>
              <w:t>Bestand zählen und korrigieren (Box)</w:t>
            </w:r>
          </w:p>
        </w:tc>
        <w:tc>
          <w:tcPr>
            <w:tcW w:type="dxa" w:w="2041"/>
          </w:tcPr>
          <w:p>
            <w:pPr>
              <w:spacing w:after="0" w:line="252" w:lineRule="auto"/>
            </w:pPr>
            <w:r>
              <w:rPr>
                <w:sz w:val="17"/>
              </w:rPr>
              <w:t>Zählen</w:t>
            </w:r>
          </w:p>
        </w:tc>
        <w:tc>
          <w:tcPr>
            <w:tcW w:type="dxa" w:w="3538"/>
          </w:tcPr>
          <w:p>
            <w:pPr>
              <w:spacing w:after="0" w:line="252" w:lineRule="auto"/>
            </w:pPr>
            <w:r>
              <w:rPr>
                <w:sz w:val="17"/>
              </w:rPr>
              <w:t xml:space="preserve">Touch-Client, </w:t>
            </w:r>
            <w:r>
              <w:rPr>
                <w:b/>
                <w:sz w:val="17"/>
              </w:rPr>
              <w:t>LM002</w:t>
            </w:r>
          </w:p>
        </w:tc>
        <w:tc>
          <w:tcPr>
            <w:tcW w:type="dxa" w:w="748"/>
          </w:tcPr>
          <w:p>
            <w:pPr>
              <w:spacing w:after="0" w:line="252" w:lineRule="auto"/>
            </w:pPr>
            <w:r>
              <w:rPr>
                <w:sz w:val="17"/>
              </w:rPr>
              <w:t>8.1</w:t>
            </w:r>
          </w:p>
        </w:tc>
      </w:tr>
      <w:tr>
        <w:tc>
          <w:tcPr>
            <w:tcW w:type="dxa" w:w="3197"/>
          </w:tcPr>
          <w:p>
            <w:pPr>
              <w:spacing w:after="0" w:line="252" w:lineRule="auto"/>
            </w:pPr>
            <w:r>
              <w:rPr>
                <w:sz w:val="17"/>
              </w:rPr>
              <w:t>Bestand zählen (externer Platz)</w:t>
            </w:r>
          </w:p>
        </w:tc>
        <w:tc>
          <w:tcPr>
            <w:tcW w:type="dxa" w:w="2041"/>
          </w:tcPr>
          <w:p>
            <w:pPr>
              <w:spacing w:after="0" w:line="252" w:lineRule="auto"/>
            </w:pPr>
            <w:r>
              <w:rPr>
                <w:sz w:val="17"/>
              </w:rPr>
              <w:t>Spontane Inventur</w:t>
            </w:r>
          </w:p>
        </w:tc>
        <w:tc>
          <w:tcPr>
            <w:tcW w:type="dxa" w:w="3538"/>
          </w:tcPr>
          <w:p>
            <w:pPr>
              <w:spacing w:after="0" w:line="252" w:lineRule="auto"/>
            </w:pPr>
            <w:r>
              <w:rPr>
                <w:sz w:val="17"/>
              </w:rPr>
              <w:t xml:space="preserve">Mobilterminal, </w:t>
            </w:r>
            <w:r>
              <w:rPr>
                <w:b/>
                <w:sz w:val="17"/>
              </w:rPr>
              <w:t>WLM001</w:t>
            </w:r>
          </w:p>
        </w:tc>
        <w:tc>
          <w:tcPr>
            <w:tcW w:type="dxa" w:w="748"/>
          </w:tcPr>
          <w:p>
            <w:pPr>
              <w:spacing w:after="0" w:line="252" w:lineRule="auto"/>
            </w:pPr>
            <w:r>
              <w:rPr>
                <w:sz w:val="17"/>
              </w:rPr>
              <w:t>8.2</w:t>
            </w:r>
          </w:p>
        </w:tc>
      </w:tr>
      <w:tr>
        <w:tc>
          <w:tcPr>
            <w:tcW w:type="dxa" w:w="3197"/>
          </w:tcPr>
          <w:p>
            <w:pPr>
              <w:spacing w:after="0" w:line="252" w:lineRule="auto"/>
            </w:pPr>
            <w:r>
              <w:rPr>
                <w:sz w:val="17"/>
              </w:rPr>
              <w:t>Mehrere Positionen, geplant</w:t>
            </w:r>
          </w:p>
        </w:tc>
        <w:tc>
          <w:tcPr>
            <w:tcW w:type="dxa" w:w="2041"/>
          </w:tcPr>
          <w:p>
            <w:pPr>
              <w:spacing w:after="0" w:line="252" w:lineRule="auto"/>
            </w:pPr>
            <w:r>
              <w:rPr>
                <w:sz w:val="17"/>
              </w:rPr>
              <w:t>Bedarf selbst anlegen</w:t>
            </w:r>
          </w:p>
        </w:tc>
        <w:tc>
          <w:tcPr>
            <w:tcW w:type="dxa" w:w="3538"/>
          </w:tcPr>
          <w:p>
            <w:pPr>
              <w:spacing w:after="0" w:line="252" w:lineRule="auto"/>
            </w:pPr>
            <w:r>
              <w:rPr>
                <w:sz w:val="17"/>
              </w:rPr>
              <w:t xml:space="preserve">Desktop </w:t>
            </w:r>
            <w:r>
              <w:rPr>
                <w:b/>
                <w:sz w:val="17"/>
              </w:rPr>
              <w:t>LM081/LM072/LM091</w:t>
            </w:r>
            <w:r>
              <w:rPr>
                <w:sz w:val="17"/>
              </w:rPr>
              <w:t xml:space="preserve">, Touch </w:t>
            </w:r>
            <w:r>
              <w:rPr>
                <w:b/>
                <w:sz w:val="17"/>
              </w:rPr>
              <w:t>LM086/LM087</w:t>
            </w:r>
          </w:p>
        </w:tc>
        <w:tc>
          <w:tcPr>
            <w:tcW w:type="dxa" w:w="748"/>
          </w:tcPr>
          <w:p>
            <w:pPr>
              <w:spacing w:after="0" w:line="252" w:lineRule="auto"/>
            </w:pPr>
            <w:r>
              <w:rPr>
                <w:sz w:val="17"/>
              </w:rPr>
              <w:t>9</w:t>
            </w:r>
          </w:p>
        </w:tc>
      </w:tr>
      <w:tr>
        <w:tc>
          <w:tcPr>
            <w:tcW w:type="dxa" w:w="3197"/>
          </w:tcPr>
          <w:p>
            <w:pPr>
              <w:spacing w:after="0" w:line="252" w:lineRule="auto"/>
            </w:pPr>
            <w:r>
              <w:rPr>
                <w:sz w:val="17"/>
              </w:rPr>
              <w:t>Tablar holen, senden, zurückschicken</w:t>
            </w:r>
          </w:p>
        </w:tc>
        <w:tc>
          <w:tcPr>
            <w:tcW w:type="dxa" w:w="2041"/>
          </w:tcPr>
          <w:p>
            <w:pPr>
              <w:spacing w:after="0" w:line="252" w:lineRule="auto"/>
            </w:pPr>
            <w:r>
              <w:rPr>
                <w:sz w:val="17"/>
              </w:rPr>
              <w:t>Tablaranforderung</w:t>
            </w:r>
          </w:p>
        </w:tc>
        <w:tc>
          <w:tcPr>
            <w:tcW w:type="dxa" w:w="3538"/>
          </w:tcPr>
          <w:p>
            <w:pPr>
              <w:spacing w:after="0" w:line="252" w:lineRule="auto"/>
            </w:pPr>
            <w:r>
              <w:rPr>
                <w:sz w:val="17"/>
              </w:rPr>
              <w:t xml:space="preserve">Touch-Client, </w:t>
            </w:r>
            <w:r>
              <w:rPr>
                <w:b/>
                <w:sz w:val="17"/>
              </w:rPr>
              <w:t>LM040</w:t>
            </w:r>
            <w:r>
              <w:rPr>
                <w:sz w:val="17"/>
              </w:rPr>
              <w:t xml:space="preserve">, </w:t>
            </w:r>
            <w:r>
              <w:rPr>
                <w:b/>
                <w:sz w:val="17"/>
              </w:rPr>
              <w:t>LM002</w:t>
            </w:r>
          </w:p>
        </w:tc>
        <w:tc>
          <w:tcPr>
            <w:tcW w:type="dxa" w:w="748"/>
          </w:tcPr>
          <w:p>
            <w:pPr>
              <w:spacing w:after="0" w:line="252" w:lineRule="auto"/>
            </w:pPr>
            <w:r>
              <w:rPr>
                <w:sz w:val="17"/>
              </w:rPr>
              <w:t>4</w:t>
            </w:r>
          </w:p>
        </w:tc>
      </w:tr>
      <w:tr>
        <w:tc>
          <w:tcPr>
            <w:tcW w:type="dxa" w:w="3197"/>
          </w:tcPr>
          <w:p>
            <w:pPr>
              <w:spacing w:after="0" w:line="252" w:lineRule="auto"/>
            </w:pPr>
            <w:r>
              <w:rPr>
                <w:sz w:val="17"/>
              </w:rPr>
              <w:t>Externe LE zwischenlagern und wieder holen</w:t>
            </w:r>
          </w:p>
        </w:tc>
        <w:tc>
          <w:tcPr>
            <w:tcW w:type="dxa" w:w="2041"/>
          </w:tcPr>
          <w:p>
            <w:pPr>
              <w:spacing w:after="0" w:line="252" w:lineRule="auto"/>
            </w:pPr>
            <w:r>
              <w:rPr>
                <w:sz w:val="17"/>
              </w:rPr>
              <w:t>LE kennzeichnen</w:t>
            </w:r>
          </w:p>
        </w:tc>
        <w:tc>
          <w:tcPr>
            <w:tcW w:type="dxa" w:w="3538"/>
          </w:tcPr>
          <w:p>
            <w:pPr>
              <w:spacing w:after="0" w:line="252" w:lineRule="auto"/>
            </w:pPr>
            <w:r>
              <w:rPr>
                <w:sz w:val="17"/>
              </w:rPr>
              <w:t xml:space="preserve">Touch-Client, </w:t>
            </w:r>
            <w:r>
              <w:rPr>
                <w:b/>
                <w:sz w:val="17"/>
              </w:rPr>
              <w:t>LM045</w:t>
            </w:r>
          </w:p>
        </w:tc>
        <w:tc>
          <w:tcPr>
            <w:tcW w:type="dxa" w:w="748"/>
          </w:tcPr>
          <w:p>
            <w:pPr>
              <w:spacing w:after="0" w:line="252" w:lineRule="auto"/>
            </w:pPr>
            <w:r>
              <w:rPr>
                <w:sz w:val="17"/>
              </w:rPr>
              <w:t>7.5</w:t>
            </w:r>
          </w:p>
        </w:tc>
      </w:tr>
    </w:tbl>
    <w:p>
      <w:pPr>
        <w:pStyle w:val="BeschriftungSSI"/>
      </w:pPr>
      <w:r>
        <w:t>Tab. 3: Auswahlhilfe</w:t>
      </w:r>
    </w:p>
    <w:p>
      <w:pPr>
        <w:pStyle w:val="Heading2"/>
      </w:pPr>
      <w:r>
        <w:t>2.3 Touch-Client, Desktop und Mobilterminal im Vergleich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40"/>
        <w:gridCol w:w="2002"/>
        <w:gridCol w:w="2487"/>
        <w:gridCol w:w="1395"/>
      </w:tblGrid>
      <w:tr>
        <w:trPr>
          <w:tblHeader w:val="true"/>
        </w:trPr>
        <w:tc>
          <w:tcPr>
            <w:tcW w:type="dxa" w:w="3640"/>
            <w:shd w:val="clear" w:color="auto" w:fill="FEEE19"/>
          </w:tcPr>
          <w:p>
            <w:pPr>
              <w:spacing w:after="0"/>
            </w:pPr>
            <w:r>
              <w:rPr>
                <w:b/>
                <w:sz w:val="17"/>
              </w:rPr>
              <w:t>Funktion</w:t>
            </w:r>
          </w:p>
        </w:tc>
        <w:tc>
          <w:tcPr>
            <w:tcW w:type="dxa" w:w="2002"/>
            <w:shd w:val="clear" w:color="auto" w:fill="FEEE19"/>
          </w:tcPr>
          <w:p>
            <w:pPr>
              <w:spacing w:after="0"/>
            </w:pPr>
            <w:r>
              <w:rPr>
                <w:b/>
                <w:sz w:val="17"/>
              </w:rPr>
              <w:t>Touch-Client</w:t>
            </w:r>
          </w:p>
        </w:tc>
        <w:tc>
          <w:tcPr>
            <w:tcW w:type="dxa" w:w="2487"/>
            <w:shd w:val="clear" w:color="auto" w:fill="FEEE19"/>
          </w:tcPr>
          <w:p>
            <w:pPr>
              <w:spacing w:after="0"/>
            </w:pPr>
            <w:r>
              <w:rPr>
                <w:b/>
                <w:sz w:val="17"/>
              </w:rPr>
              <w:t>Desktop</w:t>
            </w:r>
          </w:p>
        </w:tc>
        <w:tc>
          <w:tcPr>
            <w:tcW w:type="dxa" w:w="1395"/>
            <w:shd w:val="clear" w:color="auto" w:fill="FEEE19"/>
          </w:tcPr>
          <w:p>
            <w:pPr>
              <w:spacing w:after="0"/>
            </w:pPr>
            <w:r>
              <w:rPr>
                <w:b/>
                <w:sz w:val="17"/>
              </w:rPr>
              <w:t>Mobilterminal</w:t>
            </w:r>
          </w:p>
        </w:tc>
      </w:tr>
      <w:tr>
        <w:tc>
          <w:tcPr>
            <w:tcW w:type="dxa" w:w="3640"/>
          </w:tcPr>
          <w:p>
            <w:pPr>
              <w:spacing w:after="0" w:line="252" w:lineRule="auto"/>
            </w:pPr>
            <w:r>
              <w:rPr>
                <w:sz w:val="17"/>
              </w:rPr>
              <w:t>Tablar anfordern, senden, zurückschicken</w:t>
            </w:r>
          </w:p>
        </w:tc>
        <w:tc>
          <w:tcPr>
            <w:tcW w:type="dxa" w:w="2002"/>
          </w:tcPr>
          <w:p>
            <w:pPr>
              <w:spacing w:after="0" w:line="252" w:lineRule="auto"/>
            </w:pPr>
            <w:r>
              <w:rPr>
                <w:sz w:val="17"/>
              </w:rPr>
              <w:t>Ja</w:t>
            </w:r>
          </w:p>
        </w:tc>
        <w:tc>
          <w:tcPr>
            <w:tcW w:type="dxa" w:w="2487"/>
          </w:tcPr>
          <w:p>
            <w:pPr>
              <w:spacing w:after="0" w:line="252" w:lineRule="auto"/>
            </w:pPr>
            <w:r>
              <w:rPr>
                <w:sz w:val="17"/>
              </w:rPr>
              <w:t>Nein</w:t>
            </w:r>
          </w:p>
        </w:tc>
        <w:tc>
          <w:tcPr>
            <w:tcW w:type="dxa" w:w="1395"/>
          </w:tcPr>
          <w:p>
            <w:pPr>
              <w:spacing w:after="0" w:line="252" w:lineRule="auto"/>
            </w:pPr>
            <w:r>
              <w:rPr>
                <w:sz w:val="17"/>
              </w:rPr>
              <w:t>Nein</w:t>
            </w:r>
          </w:p>
        </w:tc>
      </w:tr>
      <w:tr>
        <w:tc>
          <w:tcPr>
            <w:tcW w:type="dxa" w:w="3640"/>
          </w:tcPr>
          <w:p>
            <w:pPr>
              <w:spacing w:after="0" w:line="252" w:lineRule="auto"/>
            </w:pPr>
            <w:r>
              <w:rPr>
                <w:sz w:val="17"/>
              </w:rPr>
              <w:t>Spontan einlagern / entnehmen / verdichten / zählen (SSI LOGIMAT)</w:t>
            </w:r>
          </w:p>
        </w:tc>
        <w:tc>
          <w:tcPr>
            <w:tcW w:type="dxa" w:w="2002"/>
          </w:tcPr>
          <w:p>
            <w:pPr>
              <w:spacing w:after="0" w:line="252" w:lineRule="auto"/>
            </w:pPr>
            <w:r>
              <w:rPr>
                <w:sz w:val="17"/>
              </w:rPr>
              <w:t>Ja</w:t>
            </w:r>
          </w:p>
        </w:tc>
        <w:tc>
          <w:tcPr>
            <w:tcW w:type="dxa" w:w="2487"/>
          </w:tcPr>
          <w:p>
            <w:pPr>
              <w:spacing w:after="0" w:line="252" w:lineRule="auto"/>
            </w:pPr>
            <w:r>
              <w:rPr>
                <w:sz w:val="17"/>
              </w:rPr>
              <w:t>Nein</w:t>
            </w:r>
          </w:p>
        </w:tc>
        <w:tc>
          <w:tcPr>
            <w:tcW w:type="dxa" w:w="1395"/>
          </w:tcPr>
          <w:p>
            <w:pPr>
              <w:spacing w:after="0" w:line="252" w:lineRule="auto"/>
            </w:pPr>
            <w:r>
              <w:rPr>
                <w:sz w:val="17"/>
              </w:rPr>
              <w:t>Nein</w:t>
            </w:r>
          </w:p>
        </w:tc>
      </w:tr>
      <w:tr>
        <w:tc>
          <w:tcPr>
            <w:tcW w:type="dxa" w:w="3640"/>
          </w:tcPr>
          <w:p>
            <w:pPr>
              <w:spacing w:after="0" w:line="252" w:lineRule="auto"/>
            </w:pPr>
            <w:r>
              <w:rPr>
                <w:sz w:val="17"/>
              </w:rPr>
              <w:t>Artikel-zu-Box-Zuordnung, Artikel spontan anlegen</w:t>
            </w:r>
          </w:p>
        </w:tc>
        <w:tc>
          <w:tcPr>
            <w:tcW w:type="dxa" w:w="2002"/>
          </w:tcPr>
          <w:p>
            <w:pPr>
              <w:spacing w:after="0" w:line="252" w:lineRule="auto"/>
            </w:pPr>
            <w:r>
              <w:rPr>
                <w:sz w:val="17"/>
              </w:rPr>
              <w:t>Ja</w:t>
            </w:r>
          </w:p>
        </w:tc>
        <w:tc>
          <w:tcPr>
            <w:tcW w:type="dxa" w:w="2487"/>
          </w:tcPr>
          <w:p>
            <w:pPr>
              <w:spacing w:after="0" w:line="252" w:lineRule="auto"/>
            </w:pPr>
            <w:r>
              <w:rPr>
                <w:sz w:val="17"/>
              </w:rPr>
              <w:t>Stammdaten (Artikel, Boxtyp-Zuordnung)</w:t>
            </w:r>
          </w:p>
        </w:tc>
        <w:tc>
          <w:tcPr>
            <w:tcW w:type="dxa" w:w="1395"/>
          </w:tcPr>
          <w:p>
            <w:pPr>
              <w:spacing w:after="0" w:line="252" w:lineRule="auto"/>
            </w:pPr>
            <w:r>
              <w:rPr>
                <w:sz w:val="17"/>
              </w:rPr>
              <w:t>Nein</w:t>
            </w:r>
          </w:p>
        </w:tc>
      </w:tr>
      <w:tr>
        <w:tc>
          <w:tcPr>
            <w:tcW w:type="dxa" w:w="3640"/>
          </w:tcPr>
          <w:p>
            <w:pPr>
              <w:spacing w:after="0" w:line="252" w:lineRule="auto"/>
            </w:pPr>
            <w:r>
              <w:rPr>
                <w:sz w:val="17"/>
              </w:rPr>
              <w:t>Bedarf manuell anlegen</w:t>
            </w:r>
          </w:p>
        </w:tc>
        <w:tc>
          <w:tcPr>
            <w:tcW w:type="dxa" w:w="2002"/>
          </w:tcPr>
          <w:p>
            <w:pPr>
              <w:spacing w:after="0" w:line="252" w:lineRule="auto"/>
            </w:pPr>
            <w:r>
              <w:rPr>
                <w:sz w:val="17"/>
              </w:rPr>
              <w:t>Einlager- und Kommissionierbedarf</w:t>
            </w:r>
          </w:p>
        </w:tc>
        <w:tc>
          <w:tcPr>
            <w:tcW w:type="dxa" w:w="2487"/>
          </w:tcPr>
          <w:p>
            <w:pPr>
              <w:spacing w:after="0" w:line="252" w:lineRule="auto"/>
            </w:pPr>
            <w:r>
              <w:rPr>
                <w:sz w:val="17"/>
              </w:rPr>
              <w:t>Einlager-, Kommissionier-, Inventurbedarf</w:t>
            </w:r>
          </w:p>
        </w:tc>
        <w:tc>
          <w:tcPr>
            <w:tcW w:type="dxa" w:w="1395"/>
          </w:tcPr>
          <w:p>
            <w:pPr>
              <w:spacing w:after="0" w:line="252" w:lineRule="auto"/>
            </w:pPr>
            <w:r>
              <w:rPr>
                <w:sz w:val="17"/>
              </w:rPr>
              <w:t>Nein</w:t>
            </w:r>
          </w:p>
        </w:tc>
      </w:tr>
      <w:tr>
        <w:tc>
          <w:tcPr>
            <w:tcW w:type="dxa" w:w="3640"/>
          </w:tcPr>
          <w:p>
            <w:pPr>
              <w:spacing w:after="0" w:line="252" w:lineRule="auto"/>
            </w:pPr>
            <w:r>
              <w:rPr>
                <w:sz w:val="17"/>
              </w:rPr>
              <w:t>Bedarf abarbeiten</w:t>
            </w:r>
          </w:p>
        </w:tc>
        <w:tc>
          <w:tcPr>
            <w:tcW w:type="dxa" w:w="2002"/>
          </w:tcPr>
          <w:p>
            <w:pPr>
              <w:spacing w:after="0" w:line="252" w:lineRule="auto"/>
            </w:pPr>
            <w:r>
              <w:rPr>
                <w:sz w:val="17"/>
              </w:rPr>
              <w:t>Ja</w:t>
            </w:r>
          </w:p>
        </w:tc>
        <w:tc>
          <w:tcPr>
            <w:tcW w:type="dxa" w:w="2487"/>
          </w:tcPr>
          <w:p>
            <w:pPr>
              <w:spacing w:after="0" w:line="252" w:lineRule="auto"/>
            </w:pPr>
            <w:r>
              <w:rPr>
                <w:sz w:val="17"/>
              </w:rPr>
              <w:t>Nein</w:t>
            </w:r>
          </w:p>
        </w:tc>
        <w:tc>
          <w:tcPr>
            <w:tcW w:type="dxa" w:w="1395"/>
          </w:tcPr>
          <w:p>
            <w:pPr>
              <w:spacing w:after="0" w:line="252" w:lineRule="auto"/>
            </w:pPr>
            <w:r>
              <w:rPr>
                <w:sz w:val="17"/>
              </w:rPr>
              <w:t>Nur externe Lagerplätze</w:t>
            </w:r>
          </w:p>
        </w:tc>
      </w:tr>
      <w:tr>
        <w:tc>
          <w:tcPr>
            <w:tcW w:type="dxa" w:w="3640"/>
          </w:tcPr>
          <w:p>
            <w:pPr>
              <w:spacing w:after="0" w:line="252" w:lineRule="auto"/>
            </w:pPr>
            <w:r>
              <w:rPr>
                <w:sz w:val="17"/>
              </w:rPr>
              <w:t>Bestand verteilen, spontane Inventur (externe Plätze)</w:t>
            </w:r>
          </w:p>
        </w:tc>
        <w:tc>
          <w:tcPr>
            <w:tcW w:type="dxa" w:w="2002"/>
          </w:tcPr>
          <w:p>
            <w:pPr>
              <w:spacing w:after="0" w:line="252" w:lineRule="auto"/>
            </w:pPr>
            <w:r>
              <w:rPr>
                <w:sz w:val="17"/>
              </w:rPr>
              <w:t>Nein</w:t>
            </w:r>
          </w:p>
        </w:tc>
        <w:tc>
          <w:tcPr>
            <w:tcW w:type="dxa" w:w="2487"/>
          </w:tcPr>
          <w:p>
            <w:pPr>
              <w:spacing w:after="0" w:line="252" w:lineRule="auto"/>
            </w:pPr>
            <w:r>
              <w:rPr>
                <w:sz w:val="17"/>
              </w:rPr>
              <w:t>Nein</w:t>
            </w:r>
          </w:p>
        </w:tc>
        <w:tc>
          <w:tcPr>
            <w:tcW w:type="dxa" w:w="1395"/>
          </w:tcPr>
          <w:p>
            <w:pPr>
              <w:spacing w:after="0" w:line="252" w:lineRule="auto"/>
            </w:pPr>
            <w:r>
              <w:rPr>
                <w:sz w:val="17"/>
              </w:rPr>
              <w:t>Ja</w:t>
            </w:r>
          </w:p>
        </w:tc>
      </w:tr>
      <w:tr>
        <w:tc>
          <w:tcPr>
            <w:tcW w:type="dxa" w:w="3640"/>
          </w:tcPr>
          <w:p>
            <w:pPr>
              <w:spacing w:after="0" w:line="252" w:lineRule="auto"/>
            </w:pPr>
            <w:r>
              <w:rPr>
                <w:sz w:val="17"/>
              </w:rPr>
              <w:t>LE sperren / entsperren</w:t>
            </w:r>
          </w:p>
        </w:tc>
        <w:tc>
          <w:tcPr>
            <w:tcW w:type="dxa" w:w="2002"/>
          </w:tcPr>
          <w:p>
            <w:pPr>
              <w:spacing w:after="0" w:line="252" w:lineRule="auto"/>
            </w:pPr>
            <w:r>
              <w:rPr>
                <w:sz w:val="17"/>
              </w:rPr>
              <w:t>Nein</w:t>
            </w:r>
          </w:p>
        </w:tc>
        <w:tc>
          <w:tcPr>
            <w:tcW w:type="dxa" w:w="2487"/>
          </w:tcPr>
          <w:p>
            <w:pPr>
              <w:spacing w:after="0" w:line="252" w:lineRule="auto"/>
            </w:pPr>
            <w:r>
              <w:rPr>
                <w:sz w:val="17"/>
              </w:rPr>
              <w:t>Ja (</w:t>
            </w:r>
            <w:r>
              <w:rPr>
                <w:b/>
                <w:sz w:val="17"/>
              </w:rPr>
              <w:t>SM023</w:t>
            </w:r>
            <w:r>
              <w:rPr>
                <w:sz w:val="17"/>
              </w:rPr>
              <w:t>)</w:t>
            </w:r>
          </w:p>
        </w:tc>
        <w:tc>
          <w:tcPr>
            <w:tcW w:type="dxa" w:w="1395"/>
          </w:tcPr>
          <w:p>
            <w:pPr>
              <w:spacing w:after="0" w:line="252" w:lineRule="auto"/>
            </w:pPr>
            <w:r>
              <w:rPr>
                <w:sz w:val="17"/>
              </w:rPr>
              <w:t>Nein</w:t>
            </w:r>
          </w:p>
        </w:tc>
      </w:tr>
      <w:tr>
        <w:tc>
          <w:tcPr>
            <w:tcW w:type="dxa" w:w="3640"/>
          </w:tcPr>
          <w:p>
            <w:pPr>
              <w:spacing w:after="0" w:line="252" w:lineRule="auto"/>
            </w:pPr>
            <w:r>
              <w:rPr>
                <w:sz w:val="17"/>
              </w:rPr>
              <w:t>Einstellungen, Rechte, Parameter</w:t>
            </w:r>
          </w:p>
        </w:tc>
        <w:tc>
          <w:tcPr>
            <w:tcW w:type="dxa" w:w="2002"/>
          </w:tcPr>
          <w:p>
            <w:pPr>
              <w:spacing w:after="0" w:line="252" w:lineRule="auto"/>
            </w:pPr>
            <w:r>
              <w:rPr>
                <w:sz w:val="17"/>
              </w:rPr>
              <w:t>Nein</w:t>
            </w:r>
          </w:p>
        </w:tc>
        <w:tc>
          <w:tcPr>
            <w:tcW w:type="dxa" w:w="2487"/>
          </w:tcPr>
          <w:p>
            <w:pPr>
              <w:spacing w:after="0" w:line="252" w:lineRule="auto"/>
            </w:pPr>
            <w:r>
              <w:rPr>
                <w:sz w:val="17"/>
              </w:rPr>
              <w:t>Ja</w:t>
            </w:r>
          </w:p>
        </w:tc>
        <w:tc>
          <w:tcPr>
            <w:tcW w:type="dxa" w:w="1395"/>
          </w:tcPr>
          <w:p>
            <w:pPr>
              <w:spacing w:after="0" w:line="252" w:lineRule="auto"/>
            </w:pPr>
            <w:r>
              <w:rPr>
                <w:sz w:val="17"/>
              </w:rPr>
              <w:t>Nein</w:t>
            </w:r>
          </w:p>
        </w:tc>
      </w:tr>
    </w:tbl>
    <w:p>
      <w:pPr>
        <w:pStyle w:val="BeschriftungSSI"/>
      </w:pPr>
      <w:r>
        <w:t>Tab. 4: Funktionen je Gerät</w:t>
      </w:r>
    </w:p>
    <w:p>
      <w:r>
        <w:t>Der SSI LOGIMAT selbst wird nur über den Touch-Client bedient. Der Desktop dient der Pflege von Stammdaten, Aufträgen und Einstellungen.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zu den Bildschirmfotos</w:t>
            </w:r>
          </w:p>
          <w:p>
            <w:pPr>
              <w:spacing w:after="40"/>
            </w:pPr>
            <w:r>
              <w:rPr>
                <w:sz w:val="19"/>
              </w:rPr>
              <w:t>Die Abbildungen stammen aus dem SSI Sales-Tool (Präsentation) und zeigen die englische Oberfläche. Das Release ist im Sales-Tool nicht angegeben; die Titelleisten zeigen einen Teststand 2.7.0. In der deutschen Oberfläche und in Ihrem Release können Beschriftungen, Icons und Layout abweichen.</w:t>
            </w:r>
          </w:p>
        </w:tc>
      </w:tr>
    </w:tbl>
    <w:p>
      <w:pPr>
        <w:spacing w:after="40"/>
      </w:pPr>
    </w:p>
    <w:p>
      <w:pPr>
        <w:keepNext/>
      </w:pPr>
      <w:r>
        <w:drawing>
          <wp:inline xmlns:a="http://schemas.openxmlformats.org/drawingml/2006/main" xmlns:pic="http://schemas.openxmlformats.org/drawingml/2006/picture">
            <wp:extent cx="5040000" cy="2835000"/>
            <wp:docPr id="104" name="Picture 104"/>
            <wp:cNvGraphicFramePr>
              <a:graphicFrameLocks noChangeAspect="1"/>
            </wp:cNvGraphicFramePr>
            <a:graphic>
              <a:graphicData uri="http://schemas.openxmlformats.org/drawingml/2006/picture">
                <pic:pic>
                  <pic:nvPicPr>
                    <pic:cNvPr id="0" name="touch_login.png"/>
                    <pic:cNvPicPr/>
                  </pic:nvPicPr>
                  <pic:blipFill>
                    <a:blip r:embed="rId14"/>
                    <a:stretch>
                      <a:fillRect/>
                    </a:stretch>
                  </pic:blipFill>
                  <pic:spPr>
                    <a:xfrm>
                      <a:off x="0" y="0"/>
                      <a:ext cx="5040000" cy="2835000"/>
                    </a:xfrm>
                    <a:prstGeom prst="rect"/>
                  </pic:spPr>
                </pic:pic>
              </a:graphicData>
            </a:graphic>
          </wp:inline>
        </w:drawing>
      </w:r>
    </w:p>
    <w:p>
      <w:pPr>
        <w:pStyle w:val="BeschriftungSSI"/>
      </w:pPr>
      <w:r>
        <w:t>Abb. 1: Touch-Client – Anmeldung (Quelle: SSI Sales-Tool)</w:t>
      </w:r>
    </w:p>
    <w:p>
      <w:pPr>
        <w:keepNext/>
      </w:pPr>
      <w:r>
        <w:drawing>
          <wp:inline xmlns:a="http://schemas.openxmlformats.org/drawingml/2006/main" xmlns:pic="http://schemas.openxmlformats.org/drawingml/2006/picture">
            <wp:extent cx="5040000" cy="2835000"/>
            <wp:docPr id="105" name="Picture 105"/>
            <wp:cNvGraphicFramePr>
              <a:graphicFrameLocks noChangeAspect="1"/>
            </wp:cNvGraphicFramePr>
            <a:graphic>
              <a:graphicData uri="http://schemas.openxmlformats.org/drawingml/2006/picture">
                <pic:pic>
                  <pic:nvPicPr>
                    <pic:cNvPr id="0" name="touch_hauptmenue.png"/>
                    <pic:cNvPicPr/>
                  </pic:nvPicPr>
                  <pic:blipFill>
                    <a:blip r:embed="rId15"/>
                    <a:stretch>
                      <a:fillRect/>
                    </a:stretch>
                  </pic:blipFill>
                  <pic:spPr>
                    <a:xfrm>
                      <a:off x="0" y="0"/>
                      <a:ext cx="5040000" cy="2835000"/>
                    </a:xfrm>
                    <a:prstGeom prst="rect"/>
                  </pic:spPr>
                </pic:pic>
              </a:graphicData>
            </a:graphic>
          </wp:inline>
        </w:drawing>
      </w:r>
    </w:p>
    <w:p>
      <w:pPr>
        <w:pStyle w:val="BeschriftungSSI"/>
      </w:pPr>
      <w:r>
        <w:t>Abb. 2: Touch-Client – Hauptmenü mit Kacheln Picking, Storage, Inventory, Manual operations (Quelle: SSI Sales-Tool)</w:t>
      </w:r>
    </w:p>
    <w:p>
      <w:pPr>
        <w:pStyle w:val="Quelle"/>
      </w:pPr>
      <w:r>
        <w:rPr>
          <w:b/>
        </w:rPr>
        <w:t xml:space="preserve">Quelle: </w:t>
      </w:r>
      <w:r>
        <w:rPr>
          <w:sz w:val="17"/>
        </w:rPr>
        <w:t>Benutzerhandbuch 2.7, Kap. 6.1–6.3 (S. 77–130), 6.7.2 (S. 151)</w:t>
      </w:r>
    </w:p>
    <w:p>
      <w:pPr>
        <w:pStyle w:val="Heading2"/>
      </w:pPr>
      <w:r>
        <w:t>2.4 Abgleich mit Version 2.8</w:t>
      </w:r>
    </w:p>
    <w:p>
      <w:r>
        <w:t>Die spontanen Prozesse am Touch-Client (Kapitel 6.1 des Benutzerhandbuchs) sind in 2.8 inhaltlich gleich beschrieben, einschließlich Buchungsschlüsselabfrage und Waage. Neu bzw. geändert in 2.8:</w:t>
      </w:r>
    </w:p>
    <w:p>
      <w:pPr>
        <w:pStyle w:val="ListBullet"/>
      </w:pPr>
      <w:r>
        <w:rPr>
          <w:b/>
        </w:rPr>
        <w:t>Nachschubaufträge</w:t>
      </w:r>
      <w:r>
        <w:t xml:space="preserve"> zwischen externen Lagerplätzen und SSI LOGIMAT in beide Richtungen, angelegt aus einer Nachschubkonfiguration (</w:t>
      </w:r>
      <w:r>
        <w:rPr>
          <w:b/>
        </w:rPr>
        <w:t>LM175</w:t>
      </w:r>
      <w:r>
        <w:t xml:space="preserve">) manuell am Desktop oder automatisch per Job, überwacht in </w:t>
      </w:r>
      <w:r>
        <w:rPr>
          <w:b/>
        </w:rPr>
        <w:t>LM170</w:t>
      </w:r>
      <w:r>
        <w:t>. Siehe Kapitel 5.6.</w:t>
      </w:r>
    </w:p>
    <w:p>
      <w:pPr>
        <w:pStyle w:val="ListBullet"/>
      </w:pPr>
      <w:r>
        <w:rPr>
          <w:b/>
        </w:rPr>
        <w:t>Externe LE-ID</w:t>
      </w:r>
      <w:r>
        <w:t xml:space="preserve"> eines bereits freigegebenen Kommissionierbedarfs kann nachträglich geändert werden (Touch-Client </w:t>
      </w:r>
      <w:r>
        <w:rPr>
          <w:b/>
        </w:rPr>
        <w:t>LM108</w:t>
      </w:r>
      <w:r>
        <w:t xml:space="preserve">, Desktop </w:t>
      </w:r>
      <w:r>
        <w:rPr>
          <w:b/>
        </w:rPr>
        <w:t>LM165</w:t>
      </w:r>
      <w:r>
        <w:t>).</w:t>
      </w:r>
    </w:p>
    <w:p>
      <w:pPr>
        <w:pStyle w:val="ListBullet"/>
      </w:pPr>
      <w:r>
        <w:t>Die Zuordnung einer Waage zu Zugriffsöffnungen ist im Benutzerhandbuch 2.8 in Kapitel 6.4.13 beschrieben (2.7: Kapitel 5.7).</w:t>
      </w:r>
    </w:p>
    <w:p>
      <w:pPr>
        <w:pStyle w:val="ListBullet"/>
      </w:pPr>
      <w:r>
        <w:t>Die Handbücher 2.8 liegen nur in Englisch vor; Dialogbezeichnungen können in der deutschen Oberfläche abweichen.</w:t>
      </w:r>
    </w:p>
    <w:p>
      <w:pPr>
        <w:pStyle w:val="Quelle"/>
      </w:pPr>
      <w:r>
        <w:rPr>
          <w:b/>
        </w:rPr>
        <w:t xml:space="preserve">Quelle: </w:t>
      </w:r>
      <w:r>
        <w:rPr>
          <w:sz w:val="17"/>
        </w:rPr>
        <w:t>User Manual 2.8, Kap. 6.1 (S. 71), 6.2.4 (S. 104), 6.2.5.3 (S. 108), 6.4.13 (S. 133); Administrator Manual 2.8, Kap. 3.1.11 (S. 25)</w:t>
      </w:r>
    </w:p>
    <w:p>
      <w:pPr>
        <w:pStyle w:val="Heading1"/>
      </w:pPr>
      <w:r>
        <w:t>3 Voraussetzungen und Konfiguration</w:t>
      </w:r>
    </w:p>
    <w:p>
      <w:pPr>
        <w:pStyle w:val="Heading2"/>
      </w:pPr>
      <w:r>
        <w:t>3.1 Stammdaten</w:t>
      </w:r>
    </w:p>
    <w:p>
      <w:r>
        <w:t>Damit spontan eingelagert werden kann, müssen folgende Stammdaten vorhanden sein:</w:t>
      </w:r>
    </w:p>
    <w:p>
      <w:pPr>
        <w:pStyle w:val="ListBullet"/>
      </w:pPr>
      <w:r>
        <w:rPr>
          <w:b/>
        </w:rPr>
        <w:t>Artikel</w:t>
      </w:r>
      <w:r>
        <w:t xml:space="preserve"> mit Verpackungsversion und Basismengeneinheit. Fehlt ein Artikel, kann er am Touch-Client spontan angelegt werden (Kapitel 5.3).</w:t>
      </w:r>
    </w:p>
    <w:p>
      <w:pPr>
        <w:pStyle w:val="ListBullet"/>
      </w:pPr>
      <w:r>
        <w:rPr>
          <w:b/>
        </w:rPr>
        <w:t>Tablarlayout</w:t>
      </w:r>
      <w:r>
        <w:t xml:space="preserve"> mit Boxen, das der realen Anordnung auf dem Tablar entspricht (Bearbeitung über </w:t>
      </w:r>
      <w:r>
        <w:rPr>
          <w:b/>
        </w:rPr>
        <w:t>LM004 Tablarlayouteditor</w:t>
      </w:r>
      <w:r>
        <w:t>).</w:t>
      </w:r>
    </w:p>
    <w:p>
      <w:pPr>
        <w:pStyle w:val="ListBullet"/>
      </w:pPr>
      <w:r>
        <w:rPr>
          <w:b/>
        </w:rPr>
        <w:t>Artikel-zu-Box-Zuordnung</w:t>
      </w:r>
      <w:r>
        <w:t>: Einer Box kann nur Bestand hinzugefügt werden, wenn ihr vorher ein Artikel zugeordnet wurde.</w:t>
      </w:r>
    </w:p>
    <w:p>
      <w:pPr>
        <w:pStyle w:val="ListBullet"/>
      </w:pPr>
      <w:r>
        <w:t xml:space="preserve">Optional </w:t>
      </w:r>
      <w:r>
        <w:rPr>
          <w:b/>
        </w:rPr>
        <w:t>Boxtyp-Zuordnungen</w:t>
      </w:r>
      <w:r>
        <w:t xml:space="preserve"> (</w:t>
      </w:r>
      <w:r>
        <w:rPr>
          <w:b/>
        </w:rPr>
        <w:t>LM084</w:t>
      </w:r>
      <w:r>
        <w:t xml:space="preserve">) bzw. </w:t>
      </w:r>
      <w:r>
        <w:rPr>
          <w:b/>
        </w:rPr>
        <w:t>Warengruppe-zu-Boxtyp-Zuordnungen</w:t>
      </w:r>
      <w:r>
        <w:t xml:space="preserve"> (</w:t>
      </w:r>
      <w:r>
        <w:rPr>
          <w:b/>
        </w:rPr>
        <w:t>LM144</w:t>
      </w:r>
      <w:r>
        <w:t>) mit der maximalen Menge je Box. Sie bestimmen den Füllgrad und verhindern Überfüllung.</w:t>
      </w:r>
    </w:p>
    <w:p>
      <w:pPr>
        <w:pStyle w:val="ListBullet"/>
      </w:pPr>
      <w:r>
        <w:t xml:space="preserve">Für Bestandsattribute wie MHD, Charge oder Produktionsdatum: Festlegung, ob die Eingabe nicht anwendbar, optional oder obligatorisch ist (Systemparameter </w:t>
      </w:r>
      <w:r>
        <w:rPr>
          <w:b/>
        </w:rPr>
        <w:t>LM053</w:t>
      </w:r>
      <w:r>
        <w:t xml:space="preserve"> bzw. Artikel).</w:t>
      </w:r>
    </w:p>
    <w:p>
      <w:pPr>
        <w:pStyle w:val="Quelle"/>
      </w:pPr>
      <w:r>
        <w:rPr>
          <w:b/>
        </w:rPr>
        <w:t xml:space="preserve">Quelle: </w:t>
      </w:r>
      <w:r>
        <w:rPr>
          <w:sz w:val="17"/>
        </w:rPr>
        <w:t>Benutzerhandbuch 2.7, Kap. 5.6 (S. 73–75), 6.1.4 (S. 82–84), 6.5.2 (S. 144); Administratorhandbuch 2.7, Kap. 3.1.3.1 (S. 15), 3.1.7–3.1.8 (S. 21–23)</w:t>
      </w:r>
    </w:p>
    <w:p>
      <w:pPr>
        <w:pStyle w:val="Heading2"/>
      </w:pPr>
      <w:r>
        <w:t>3.2 Benutzer, Rollen und Rechte</w:t>
      </w:r>
    </w:p>
    <w:p>
      <w:r>
        <w:t>Die Rechte werden in der Benutzerverwaltung am Desktop gepflegt. Für spontane Prozesse sind folgende Ebenen relevant: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362"/>
        <w:gridCol w:w="799"/>
        <w:gridCol w:w="4362"/>
      </w:tblGrid>
      <w:tr>
        <w:trPr>
          <w:tblHeader w:val="true"/>
        </w:trPr>
        <w:tc>
          <w:tcPr>
            <w:tcW w:type="dxa" w:w="4362"/>
            <w:shd w:val="clear" w:color="auto" w:fill="FEEE19"/>
          </w:tcPr>
          <w:p>
            <w:pPr>
              <w:spacing w:after="0"/>
            </w:pPr>
            <w:r>
              <w:rPr>
                <w:b/>
                <w:sz w:val="17"/>
              </w:rPr>
              <w:t>Ebene</w:t>
            </w:r>
          </w:p>
        </w:tc>
        <w:tc>
          <w:tcPr>
            <w:tcW w:type="dxa" w:w="800"/>
            <w:shd w:val="clear" w:color="auto" w:fill="FEEE19"/>
          </w:tcPr>
          <w:p>
            <w:pPr>
              <w:spacing w:after="0"/>
            </w:pPr>
            <w:r>
              <w:rPr>
                <w:b/>
                <w:sz w:val="17"/>
              </w:rPr>
              <w:t>Dialog</w:t>
            </w:r>
          </w:p>
        </w:tc>
        <w:tc>
          <w:tcPr>
            <w:tcW w:type="dxa" w:w="4362"/>
            <w:shd w:val="clear" w:color="auto" w:fill="FEEE19"/>
          </w:tcPr>
          <w:p>
            <w:pPr>
              <w:spacing w:after="0"/>
            </w:pPr>
            <w:r>
              <w:rPr>
                <w:b/>
                <w:sz w:val="17"/>
              </w:rPr>
              <w:t>Wirkung für spontane Prozesse</w:t>
            </w:r>
          </w:p>
        </w:tc>
      </w:tr>
      <w:tr>
        <w:tc>
          <w:tcPr>
            <w:tcW w:type="dxa" w:w="4362"/>
          </w:tcPr>
          <w:p>
            <w:pPr>
              <w:spacing w:after="0" w:line="252" w:lineRule="auto"/>
            </w:pPr>
            <w:r>
              <w:rPr>
                <w:sz w:val="17"/>
              </w:rPr>
              <w:t>Benutzer und Login</w:t>
            </w:r>
          </w:p>
        </w:tc>
        <w:tc>
          <w:tcPr>
            <w:tcW w:type="dxa" w:w="800"/>
          </w:tcPr>
          <w:p>
            <w:pPr>
              <w:spacing w:after="0" w:line="252" w:lineRule="auto"/>
            </w:pPr>
            <w:r>
              <w:rPr>
                <w:b/>
                <w:sz w:val="17"/>
              </w:rPr>
              <w:t>UM002</w:t>
            </w:r>
          </w:p>
        </w:tc>
        <w:tc>
          <w:tcPr>
            <w:tcW w:type="dxa" w:w="4362"/>
          </w:tcPr>
          <w:p>
            <w:pPr>
              <w:spacing w:after="0" w:line="252" w:lineRule="auto"/>
            </w:pPr>
            <w:r>
              <w:rPr>
                <w:sz w:val="17"/>
              </w:rPr>
              <w:t>Login je Anwendung (Desktop, Mobil); Zuordnung von Rolle, Datenzugriffs- und Bereichsprofil</w:t>
            </w:r>
          </w:p>
        </w:tc>
      </w:tr>
      <w:tr>
        <w:tc>
          <w:tcPr>
            <w:tcW w:type="dxa" w:w="4362"/>
          </w:tcPr>
          <w:p>
            <w:pPr>
              <w:spacing w:after="0" w:line="252" w:lineRule="auto"/>
            </w:pPr>
            <w:r>
              <w:rPr>
                <w:sz w:val="17"/>
              </w:rPr>
              <w:t>Rolle</w:t>
            </w:r>
          </w:p>
        </w:tc>
        <w:tc>
          <w:tcPr>
            <w:tcW w:type="dxa" w:w="800"/>
          </w:tcPr>
          <w:p>
            <w:pPr>
              <w:spacing w:after="0" w:line="252" w:lineRule="auto"/>
            </w:pPr>
            <w:r>
              <w:rPr>
                <w:b/>
                <w:sz w:val="17"/>
              </w:rPr>
              <w:t>UM003</w:t>
            </w:r>
          </w:p>
        </w:tc>
        <w:tc>
          <w:tcPr>
            <w:tcW w:type="dxa" w:w="4362"/>
          </w:tcPr>
          <w:p>
            <w:pPr>
              <w:spacing w:after="0" w:line="252" w:lineRule="auto"/>
            </w:pPr>
            <w:r>
              <w:rPr>
                <w:sz w:val="17"/>
              </w:rPr>
              <w:t>Bündelt Applikations-Zugriffs-Profile, z. B. Rolle „Lagerbetrieb“ oder „Inventur“</w:t>
            </w:r>
          </w:p>
        </w:tc>
      </w:tr>
      <w:tr>
        <w:tc>
          <w:tcPr>
            <w:tcW w:type="dxa" w:w="4362"/>
          </w:tcPr>
          <w:p>
            <w:pPr>
              <w:spacing w:after="0" w:line="252" w:lineRule="auto"/>
            </w:pPr>
            <w:r>
              <w:rPr>
                <w:sz w:val="17"/>
              </w:rPr>
              <w:t xml:space="preserve">Applikations-Zugriffs-Profil, Registerkarte </w:t>
            </w:r>
            <w:r>
              <w:rPr>
                <w:b/>
                <w:sz w:val="17"/>
              </w:rPr>
              <w:t>Touch-Zugriff</w:t>
            </w:r>
          </w:p>
        </w:tc>
        <w:tc>
          <w:tcPr>
            <w:tcW w:type="dxa" w:w="800"/>
          </w:tcPr>
          <w:p>
            <w:pPr>
              <w:spacing w:after="0" w:line="252" w:lineRule="auto"/>
            </w:pPr>
            <w:r>
              <w:rPr>
                <w:b/>
                <w:sz w:val="17"/>
              </w:rPr>
              <w:t>UM004</w:t>
            </w:r>
          </w:p>
        </w:tc>
        <w:tc>
          <w:tcPr>
            <w:tcW w:type="dxa" w:w="4362"/>
          </w:tcPr>
          <w:p>
            <w:pPr>
              <w:spacing w:after="0" w:line="252" w:lineRule="auto"/>
            </w:pPr>
            <w:r>
              <w:rPr>
                <w:sz w:val="17"/>
              </w:rPr>
              <w:t xml:space="preserve">Je </w:t>
            </w:r>
            <w:r>
              <w:rPr>
                <w:b/>
                <w:sz w:val="17"/>
              </w:rPr>
              <w:t>Zulässiger Arbeitsmodus</w:t>
            </w:r>
            <w:r>
              <w:rPr>
                <w:sz w:val="17"/>
              </w:rPr>
              <w:t xml:space="preserve"> (Prozess): welche Touch-Dialoge sichtbar sind und welche Aktionen (Icons) gesperrt sind</w:t>
            </w:r>
          </w:p>
        </w:tc>
      </w:tr>
      <w:tr>
        <w:tc>
          <w:tcPr>
            <w:tcW w:type="dxa" w:w="4362"/>
          </w:tcPr>
          <w:p>
            <w:pPr>
              <w:spacing w:after="0" w:line="252" w:lineRule="auto"/>
            </w:pPr>
            <w:r>
              <w:rPr>
                <w:sz w:val="17"/>
              </w:rPr>
              <w:t xml:space="preserve">Registerkarte </w:t>
            </w:r>
            <w:r>
              <w:rPr>
                <w:b/>
                <w:sz w:val="17"/>
              </w:rPr>
              <w:t>Desktop-Zugriff</w:t>
            </w:r>
          </w:p>
        </w:tc>
        <w:tc>
          <w:tcPr>
            <w:tcW w:type="dxa" w:w="800"/>
          </w:tcPr>
          <w:p>
            <w:pPr>
              <w:spacing w:after="0" w:line="252" w:lineRule="auto"/>
            </w:pPr>
            <w:r>
              <w:rPr>
                <w:b/>
                <w:sz w:val="17"/>
              </w:rPr>
              <w:t>UM004</w:t>
            </w:r>
          </w:p>
        </w:tc>
        <w:tc>
          <w:tcPr>
            <w:tcW w:type="dxa" w:w="4362"/>
          </w:tcPr>
          <w:p>
            <w:pPr>
              <w:spacing w:after="0" w:line="252" w:lineRule="auto"/>
            </w:pPr>
            <w:r>
              <w:rPr>
                <w:sz w:val="17"/>
              </w:rPr>
              <w:t>Zugriff auf Desktop-Dialoge (Vollzugriff, schreibgeschützt, unsichtbar), Aktionen im Kontextmenü</w:t>
            </w:r>
          </w:p>
        </w:tc>
      </w:tr>
      <w:tr>
        <w:tc>
          <w:tcPr>
            <w:tcW w:type="dxa" w:w="4362"/>
          </w:tcPr>
          <w:p>
            <w:pPr>
              <w:spacing w:after="0" w:line="252" w:lineRule="auto"/>
            </w:pPr>
            <w:r>
              <w:rPr>
                <w:sz w:val="17"/>
              </w:rPr>
              <w:t xml:space="preserve">Registerkarte </w:t>
            </w:r>
            <w:r>
              <w:rPr>
                <w:b/>
                <w:sz w:val="17"/>
              </w:rPr>
              <w:t>Mobiler Zugriff</w:t>
            </w:r>
          </w:p>
        </w:tc>
        <w:tc>
          <w:tcPr>
            <w:tcW w:type="dxa" w:w="800"/>
          </w:tcPr>
          <w:p>
            <w:pPr>
              <w:spacing w:after="0" w:line="252" w:lineRule="auto"/>
            </w:pPr>
            <w:r>
              <w:rPr>
                <w:b/>
                <w:sz w:val="17"/>
              </w:rPr>
              <w:t>UM004</w:t>
            </w:r>
          </w:p>
        </w:tc>
        <w:tc>
          <w:tcPr>
            <w:tcW w:type="dxa" w:w="4362"/>
          </w:tcPr>
          <w:p>
            <w:pPr>
              <w:spacing w:after="0" w:line="252" w:lineRule="auto"/>
            </w:pPr>
            <w:r>
              <w:rPr>
                <w:sz w:val="17"/>
              </w:rPr>
              <w:t>Welche Tätigkeiten am Mobilterminal erlaubt sind. Standardmäßig sind alle erlaubt; gesperrt wird gezielt</w:t>
            </w:r>
          </w:p>
        </w:tc>
      </w:tr>
      <w:tr>
        <w:tc>
          <w:tcPr>
            <w:tcW w:type="dxa" w:w="4362"/>
          </w:tcPr>
          <w:p>
            <w:pPr>
              <w:spacing w:after="0" w:line="252" w:lineRule="auto"/>
            </w:pPr>
            <w:r>
              <w:rPr>
                <w:sz w:val="17"/>
              </w:rPr>
              <w:t>Datenzugriffsprofil</w:t>
            </w:r>
          </w:p>
        </w:tc>
        <w:tc>
          <w:tcPr>
            <w:tcW w:type="dxa" w:w="800"/>
          </w:tcPr>
          <w:p>
            <w:pPr>
              <w:spacing w:after="0" w:line="252" w:lineRule="auto"/>
            </w:pPr>
            <w:r>
              <w:rPr>
                <w:b/>
                <w:sz w:val="17"/>
              </w:rPr>
              <w:t>UM002</w:t>
            </w:r>
          </w:p>
        </w:tc>
        <w:tc>
          <w:tcPr>
            <w:tcW w:type="dxa" w:w="4362"/>
          </w:tcPr>
          <w:p>
            <w:pPr>
              <w:spacing w:after="0" w:line="252" w:lineRule="auto"/>
            </w:pPr>
            <w:r>
              <w:rPr>
                <w:sz w:val="17"/>
              </w:rPr>
              <w:t>Auf welche Datensätze der Benutzer zugreifen darf</w:t>
            </w:r>
          </w:p>
        </w:tc>
      </w:tr>
      <w:tr>
        <w:tc>
          <w:tcPr>
            <w:tcW w:type="dxa" w:w="4362"/>
          </w:tcPr>
          <w:p>
            <w:pPr>
              <w:spacing w:after="0" w:line="252" w:lineRule="auto"/>
            </w:pPr>
            <w:r>
              <w:rPr>
                <w:sz w:val="17"/>
              </w:rPr>
              <w:t>Bereichsprofil</w:t>
            </w:r>
          </w:p>
        </w:tc>
        <w:tc>
          <w:tcPr>
            <w:tcW w:type="dxa" w:w="800"/>
          </w:tcPr>
          <w:p>
            <w:pPr>
              <w:spacing w:after="0" w:line="252" w:lineRule="auto"/>
            </w:pPr>
            <w:r>
              <w:rPr>
                <w:b/>
                <w:sz w:val="17"/>
              </w:rPr>
              <w:t>UM011</w:t>
            </w:r>
          </w:p>
        </w:tc>
        <w:tc>
          <w:tcPr>
            <w:tcW w:type="dxa" w:w="4362"/>
          </w:tcPr>
          <w:p>
            <w:pPr>
              <w:spacing w:after="0" w:line="252" w:lineRule="auto"/>
            </w:pPr>
            <w:r>
              <w:rPr>
                <w:sz w:val="17"/>
              </w:rPr>
              <w:t xml:space="preserve">Auf welche Bereiche der Benutzer </w:t>
            </w:r>
            <w:r>
              <w:rPr>
                <w:b/>
                <w:sz w:val="17"/>
              </w:rPr>
              <w:t>nicht</w:t>
            </w:r>
            <w:r>
              <w:rPr>
                <w:sz w:val="17"/>
              </w:rPr>
              <w:t xml:space="preserve"> zugreifen darf</w:t>
            </w:r>
          </w:p>
        </w:tc>
      </w:tr>
      <w:tr>
        <w:tc>
          <w:tcPr>
            <w:tcW w:type="dxa" w:w="4362"/>
          </w:tcPr>
          <w:p>
            <w:pPr>
              <w:spacing w:after="0" w:line="252" w:lineRule="auto"/>
            </w:pPr>
            <w:r>
              <w:rPr>
                <w:sz w:val="17"/>
              </w:rPr>
              <w:t>Bestandsklassifizierung „erweiterte Berechtigungen“</w:t>
            </w:r>
          </w:p>
        </w:tc>
        <w:tc>
          <w:tcPr>
            <w:tcW w:type="dxa" w:w="800"/>
          </w:tcPr>
          <w:p>
            <w:pPr>
              <w:spacing w:after="0" w:line="252" w:lineRule="auto"/>
            </w:pPr>
            <w:r>
              <w:rPr>
                <w:b/>
                <w:sz w:val="17"/>
              </w:rPr>
              <w:t>MD017</w:t>
            </w:r>
          </w:p>
        </w:tc>
        <w:tc>
          <w:tcPr>
            <w:tcW w:type="dxa" w:w="4362"/>
          </w:tcPr>
          <w:p>
            <w:pPr>
              <w:spacing w:after="0" w:line="252" w:lineRule="auto"/>
            </w:pPr>
            <w:r>
              <w:rPr>
                <w:sz w:val="17"/>
              </w:rPr>
              <w:t>Korrekturen bestimmter Bestandsklassifizierungen nur durch berechtigte Benutzer (z. B. Zoll, Quarantäne)</w:t>
            </w:r>
          </w:p>
        </w:tc>
      </w:tr>
    </w:tbl>
    <w:p>
      <w:pPr>
        <w:pStyle w:val="BeschriftungSSI"/>
      </w:pPr>
      <w:r>
        <w:t>Tab. 5: Rechteebenen</w:t>
      </w:r>
    </w:p>
    <w:p>
      <w:r>
        <w:t>Einstellungen im Applikations-Zugriffs-Profil sind immer einschränkend: Ein Feld kann z. B. von „Vollzugriff“ auf „schreibgeschützt“ gesetzt werden, nicht umgekehrt. Änderungen wirken bei der nächsten Anmeldung. Aktionen, die in einem der Profile einer Rolle erlaubt sind, darf der Benutzer ausführen. Empfehlung: Legen Sie für spontane Buchungen eine eigene Rolle an (z. B. „Key-User Lager“) und sperren Sie für normale Kommissionierer die Icons, die Bestand ohne Auftrag verändern, falls spontane Buchungen nur einem eingeschränkten Personenkreis erlaubt sein sollen.</w:t>
      </w:r>
    </w:p>
    <w:p>
      <w:pPr>
        <w:pStyle w:val="Quelle"/>
      </w:pPr>
      <w:r>
        <w:rPr>
          <w:b/>
        </w:rPr>
        <w:t xml:space="preserve">Quelle: </w:t>
      </w:r>
      <w:r>
        <w:rPr>
          <w:sz w:val="17"/>
        </w:rPr>
        <w:t>Administratorhandbuch 2.7, Kap. 3.3 (S. 42–55), 3.3.4.2–3.3.4.6 (S. 50–53), 3.3.6 (S. 54), 3.6.1.9 (S. 108)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Rechte auf Tablar und Artikel</w:t>
            </w:r>
          </w:p>
          <w:p>
            <w:pPr>
              <w:spacing w:after="40"/>
            </w:pPr>
            <w:r>
              <w:rPr>
                <w:sz w:val="19"/>
              </w:rPr>
              <w:t xml:space="preserve">Das Benutzerhandbuch nennt als Voraussetzung für das Anfordern eines Tablars, dass „der Benutzer berechtigt ist, das Tablar und/oder die Artikel auf dem Tablar anzufordern“. Welche Einstellung (Datenzugriffsprofil, Bereichsprofil oder Touch-Zugriff) dieses Recht genau steuert, ist nicht beschrieben. Ebenso fehlt eine Liste der Aktions-IDs der Touch-Dialoge </w:t>
            </w:r>
            <w:r>
              <w:rPr>
                <w:b/>
                <w:sz w:val="19"/>
              </w:rPr>
              <w:t>LM002</w:t>
            </w:r>
            <w:r>
              <w:rPr>
                <w:sz w:val="19"/>
              </w:rPr>
              <w:t xml:space="preserve"> und </w:t>
            </w:r>
            <w:r>
              <w:rPr>
                <w:b/>
                <w:sz w:val="19"/>
              </w:rPr>
              <w:t>LM040</w:t>
            </w:r>
            <w:r>
              <w:rPr>
                <w:sz w:val="19"/>
              </w:rPr>
              <w: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Super-User</w:t>
            </w:r>
          </w:p>
          <w:p>
            <w:pPr>
              <w:spacing w:after="40"/>
            </w:pPr>
            <w:r>
              <w:rPr>
                <w:sz w:val="19"/>
              </w:rPr>
              <w:t xml:space="preserve">Für Super-User gelten keine Applikations- und Datenzugriffsprofile. Die Checkbox </w:t>
            </w:r>
            <w:r>
              <w:rPr>
                <w:b/>
                <w:sz w:val="19"/>
              </w:rPr>
              <w:t>Super-User</w:t>
            </w:r>
            <w:r>
              <w:rPr>
                <w:sz w:val="19"/>
              </w:rPr>
              <w:t xml:space="preserve"> sollte laut Administratorhandbuch für Kundenbenutzer nicht aktiviert werden.</w:t>
            </w:r>
          </w:p>
        </w:tc>
      </w:tr>
    </w:tbl>
    <w:p>
      <w:pPr>
        <w:spacing w:after="40"/>
      </w:pPr>
    </w:p>
    <w:p>
      <w:pPr>
        <w:pStyle w:val="Heading2"/>
      </w:pPr>
      <w:r>
        <w:t>3.3 Buchungsschlüssel für spontane Buchungen</w:t>
      </w:r>
    </w:p>
    <w:p>
      <w:r>
        <w:t xml:space="preserve">Bei spontanen Buchungen kann WAMAS nach einem Buchungsschlüssel (Grund) fragen. Das wird je Klient im Dialog </w:t>
      </w:r>
      <w:r>
        <w:rPr>
          <w:b/>
        </w:rPr>
        <w:t>MD017 Klient pflegen</w:t>
      </w:r>
      <w:r>
        <w:t xml:space="preserve">, Registerkarte </w:t>
      </w:r>
      <w:r>
        <w:rPr>
          <w:b/>
        </w:rPr>
        <w:t>Buchungsschlüssel</w:t>
      </w:r>
      <w:r>
        <w:t>, eingestellt: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Checkbox</w:t>
            </w:r>
          </w:p>
        </w:tc>
        <w:tc>
          <w:tcPr>
            <w:tcW w:type="dxa" w:w="4762"/>
            <w:shd w:val="clear" w:color="auto" w:fill="FEEE19"/>
          </w:tcPr>
          <w:p>
            <w:pPr>
              <w:spacing w:after="0"/>
            </w:pPr>
            <w:r>
              <w:rPr>
                <w:b/>
                <w:sz w:val="17"/>
              </w:rPr>
              <w:t>Wirkung</w:t>
            </w:r>
          </w:p>
        </w:tc>
      </w:tr>
      <w:tr>
        <w:tc>
          <w:tcPr>
            <w:tcW w:type="dxa" w:w="4762"/>
          </w:tcPr>
          <w:p>
            <w:pPr>
              <w:spacing w:after="0" w:line="252" w:lineRule="auto"/>
            </w:pPr>
            <w:r>
              <w:rPr>
                <w:b/>
                <w:sz w:val="17"/>
              </w:rPr>
              <w:t>Für Bestandskorrektur erlaubt</w:t>
            </w:r>
          </w:p>
        </w:tc>
        <w:tc>
          <w:tcPr>
            <w:tcW w:type="dxa" w:w="4762"/>
          </w:tcPr>
          <w:p>
            <w:pPr>
              <w:spacing w:after="0" w:line="252" w:lineRule="auto"/>
            </w:pPr>
            <w:r>
              <w:rPr>
                <w:sz w:val="17"/>
              </w:rPr>
              <w:t>Schlüssel ist für Bestandskorrekturen auswählbar</w:t>
            </w:r>
          </w:p>
        </w:tc>
      </w:tr>
      <w:tr>
        <w:tc>
          <w:tcPr>
            <w:tcW w:type="dxa" w:w="4762"/>
          </w:tcPr>
          <w:p>
            <w:pPr>
              <w:spacing w:after="0" w:line="252" w:lineRule="auto"/>
            </w:pPr>
            <w:r>
              <w:rPr>
                <w:b/>
                <w:sz w:val="17"/>
              </w:rPr>
              <w:t>Für Inventur erlaubt</w:t>
            </w:r>
          </w:p>
        </w:tc>
        <w:tc>
          <w:tcPr>
            <w:tcW w:type="dxa" w:w="4762"/>
          </w:tcPr>
          <w:p>
            <w:pPr>
              <w:spacing w:after="0" w:line="252" w:lineRule="auto"/>
            </w:pPr>
            <w:r>
              <w:rPr>
                <w:sz w:val="17"/>
              </w:rPr>
              <w:t>Schlüssel ist für Inventurdifferenzen auswählbar</w:t>
            </w:r>
          </w:p>
        </w:tc>
      </w:tr>
      <w:tr>
        <w:tc>
          <w:tcPr>
            <w:tcW w:type="dxa" w:w="4762"/>
          </w:tcPr>
          <w:p>
            <w:pPr>
              <w:spacing w:after="0" w:line="252" w:lineRule="auto"/>
            </w:pPr>
            <w:r>
              <w:rPr>
                <w:b/>
                <w:sz w:val="17"/>
              </w:rPr>
              <w:t>Für spontane Erfassung erlaubt</w:t>
            </w:r>
          </w:p>
        </w:tc>
        <w:tc>
          <w:tcPr>
            <w:tcW w:type="dxa" w:w="4762"/>
          </w:tcPr>
          <w:p>
            <w:pPr>
              <w:spacing w:after="0" w:line="252" w:lineRule="auto"/>
            </w:pPr>
            <w:r>
              <w:rPr>
                <w:sz w:val="17"/>
              </w:rPr>
              <w:t>Schlüssel ist für spontane Einlagerung auswählbar</w:t>
            </w:r>
          </w:p>
        </w:tc>
      </w:tr>
      <w:tr>
        <w:tc>
          <w:tcPr>
            <w:tcW w:type="dxa" w:w="4762"/>
          </w:tcPr>
          <w:p>
            <w:pPr>
              <w:spacing w:after="0" w:line="252" w:lineRule="auto"/>
            </w:pPr>
            <w:r>
              <w:rPr>
                <w:b/>
                <w:sz w:val="17"/>
              </w:rPr>
              <w:t>Für spontane Auslagerung erlaubt</w:t>
            </w:r>
          </w:p>
        </w:tc>
        <w:tc>
          <w:tcPr>
            <w:tcW w:type="dxa" w:w="4762"/>
          </w:tcPr>
          <w:p>
            <w:pPr>
              <w:spacing w:after="0" w:line="252" w:lineRule="auto"/>
            </w:pPr>
            <w:r>
              <w:rPr>
                <w:sz w:val="17"/>
              </w:rPr>
              <w:t>Schlüssel ist für spontane Entnahme auswählbar</w:t>
            </w:r>
          </w:p>
        </w:tc>
      </w:tr>
      <w:tr>
        <w:tc>
          <w:tcPr>
            <w:tcW w:type="dxa" w:w="4762"/>
          </w:tcPr>
          <w:p>
            <w:pPr>
              <w:spacing w:after="0" w:line="252" w:lineRule="auto"/>
            </w:pPr>
            <w:r>
              <w:rPr>
                <w:b/>
                <w:sz w:val="17"/>
              </w:rPr>
              <w:t>Standard für spontane Erfassung</w:t>
            </w:r>
            <w:r>
              <w:rPr>
                <w:sz w:val="17"/>
              </w:rPr>
              <w:t xml:space="preserve"> (Benutzerhandbuch: „Standard für spontane Einlagerung“)</w:t>
            </w:r>
          </w:p>
        </w:tc>
        <w:tc>
          <w:tcPr>
            <w:tcW w:type="dxa" w:w="4762"/>
          </w:tcPr>
          <w:p>
            <w:pPr>
              <w:spacing w:after="0" w:line="252" w:lineRule="auto"/>
            </w:pPr>
            <w:r>
              <w:rPr>
                <w:sz w:val="17"/>
              </w:rPr>
              <w:t xml:space="preserve">Ist sie gesetzt, öffnet sich nach der spontanen Einlagerung </w:t>
            </w:r>
            <w:r>
              <w:rPr>
                <w:b/>
                <w:sz w:val="17"/>
              </w:rPr>
              <w:t>LM101 Buchungsschlüssel auswählen</w:t>
            </w:r>
          </w:p>
        </w:tc>
      </w:tr>
      <w:tr>
        <w:tc>
          <w:tcPr>
            <w:tcW w:type="dxa" w:w="4762"/>
          </w:tcPr>
          <w:p>
            <w:pPr>
              <w:spacing w:after="0" w:line="252" w:lineRule="auto"/>
            </w:pPr>
            <w:r>
              <w:rPr>
                <w:b/>
                <w:sz w:val="17"/>
              </w:rPr>
              <w:t>Standard für spontane Auslagerung</w:t>
            </w:r>
          </w:p>
        </w:tc>
        <w:tc>
          <w:tcPr>
            <w:tcW w:type="dxa" w:w="4762"/>
          </w:tcPr>
          <w:p>
            <w:pPr>
              <w:spacing w:after="0" w:line="252" w:lineRule="auto"/>
            </w:pPr>
            <w:r>
              <w:rPr>
                <w:sz w:val="17"/>
              </w:rPr>
              <w:t xml:space="preserve">Ist sie gesetzt, öffnet sich nach der spontanen Entnahme </w:t>
            </w:r>
            <w:r>
              <w:rPr>
                <w:b/>
                <w:sz w:val="17"/>
              </w:rPr>
              <w:t>LM101 Buchungsschlüssel auswählen</w:t>
            </w:r>
          </w:p>
        </w:tc>
      </w:tr>
      <w:tr>
        <w:tc>
          <w:tcPr>
            <w:tcW w:type="dxa" w:w="4762"/>
          </w:tcPr>
          <w:p>
            <w:pPr>
              <w:spacing w:after="0" w:line="252" w:lineRule="auto"/>
            </w:pPr>
            <w:r>
              <w:rPr>
                <w:b/>
                <w:sz w:val="17"/>
              </w:rPr>
              <w:t>Kostenstellenregistrierung</w:t>
            </w:r>
          </w:p>
        </w:tc>
        <w:tc>
          <w:tcPr>
            <w:tcW w:type="dxa" w:w="4762"/>
          </w:tcPr>
          <w:p>
            <w:pPr>
              <w:spacing w:after="0" w:line="252" w:lineRule="auto"/>
            </w:pPr>
            <w:r>
              <w:rPr>
                <w:sz w:val="17"/>
              </w:rPr>
              <w:t>Irrelevant, optional oder obligatorisch bei Mengendifferenz in der Inventur</w:t>
            </w:r>
          </w:p>
        </w:tc>
      </w:tr>
    </w:tbl>
    <w:p>
      <w:pPr>
        <w:pStyle w:val="BeschriftungSSI"/>
      </w:pPr>
      <w:r>
        <w:t>Tab. 6: Buchungsschlüssel-Einstellungen (Auszug)</w:t>
      </w:r>
    </w:p>
    <w:p>
      <w:r>
        <w:t xml:space="preserve">Ob im Dialog </w:t>
      </w:r>
      <w:r>
        <w:rPr>
          <w:b/>
        </w:rPr>
        <w:t>LM101</w:t>
      </w:r>
      <w:r>
        <w:t xml:space="preserve"> zusätzlich ein Text im Feld </w:t>
      </w:r>
      <w:r>
        <w:rPr>
          <w:b/>
        </w:rPr>
        <w:t>Grund</w:t>
      </w:r>
      <w:r>
        <w:t xml:space="preserve"> Pflicht ist, steuert der globale Parameter </w:t>
      </w:r>
      <w:r>
        <w:rPr>
          <w:rFonts w:ascii="Consolas" w:hAnsi="Consolas" w:cs="Consolas" w:eastAsia="Consolas"/>
          <w:sz w:val="18"/>
        </w:rPr>
        <w:t>logimat.dialogs.lm101.askFillReason</w:t>
      </w:r>
      <w:r>
        <w:t xml:space="preserve"> (Standard </w:t>
      </w:r>
      <w:r>
        <w:rPr>
          <w:rFonts w:ascii="Consolas" w:hAnsi="Consolas" w:cs="Consolas" w:eastAsia="Consolas"/>
          <w:sz w:val="18"/>
        </w:rPr>
        <w:t>true</w:t>
      </w:r>
      <w:r>
        <w:t xml:space="preserve"> = Grund muss eingegeben werden). Ist ein Systempartner angebunden, können die WAMAS-Buchungsschlüssel im Dialog </w:t>
      </w:r>
      <w:r>
        <w:rPr>
          <w:b/>
        </w:rPr>
        <w:t>MD063 Zuordnung Buchungsschlüssel für Systempartner pflegen</w:t>
      </w:r>
      <w:r>
        <w:t xml:space="preserve"> auf die Schlüssel und Bewegungsgründe des Fremdsystems abgebildet werden (je Buchungsrichtung, Auslöser und Bestandsklassifizierung).</w:t>
      </w:r>
    </w:p>
    <w:p>
      <w:pPr>
        <w:pStyle w:val="Quelle"/>
      </w:pPr>
      <w:r>
        <w:rPr>
          <w:b/>
        </w:rPr>
        <w:t xml:space="preserve">Quelle: </w:t>
      </w:r>
      <w:r>
        <w:rPr>
          <w:sz w:val="17"/>
        </w:rPr>
        <w:t>Administratorhandbuch 2.7, Kap. 3.6.1.8 (S. 106–107), 3.5.4 (S. 92–93), 3.11.2 (S. 179); Benutzerhandbuch 2.7, Kap. 6.1.4–6.1.5 (S. 82–86)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Standard-Schlüssel immer auch erlauben</w:t>
            </w:r>
          </w:p>
          <w:p>
            <w:pPr>
              <w:spacing w:after="40"/>
            </w:pPr>
            <w:r>
              <w:rPr>
                <w:sz w:val="19"/>
              </w:rPr>
              <w:t>Wenn Sie für einen Prozess einen Standard-Buchungsschlüssel setzen, aktivieren Sie für diesen Schlüssel auch die passende Checkbox „… erlaubt“.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Bezeichnung der Checkbox</w:t>
            </w:r>
          </w:p>
          <w:p>
            <w:pPr>
              <w:spacing w:after="40"/>
            </w:pPr>
            <w:r>
              <w:rPr>
                <w:sz w:val="19"/>
              </w:rPr>
              <w:t xml:space="preserve">Das Benutzerhandbuch nennt die Checkbox „Standard für spontane Einlagerung“, das Administratorhandbuch „Standard für spontane Erfassung“ und beschreibt sie als Vorbelegung „auf dem Mobil-Client“. Am Touch-Client öffnet sich laut Benutzerhandbuch der Dialog </w:t>
            </w:r>
            <w:r>
              <w:rPr>
                <w:b/>
                <w:sz w:val="19"/>
              </w:rPr>
              <w:t>LM101</w:t>
            </w:r>
            <w:r>
              <w:rPr>
                <w:sz w:val="19"/>
              </w:rPr>
              <w:t>. Bitte die tatsächliche Bezeichnung und Wirkung in Ihrem System prüfen.</w:t>
            </w:r>
          </w:p>
        </w:tc>
      </w:tr>
    </w:tbl>
    <w:p>
      <w:pPr>
        <w:spacing w:after="40"/>
      </w:pPr>
    </w:p>
    <w:p>
      <w:pPr>
        <w:pStyle w:val="Heading2"/>
      </w:pPr>
      <w:r>
        <w:t>3.4 Bestandsklassifizierung</w:t>
      </w:r>
    </w:p>
    <w:p>
      <w:r>
        <w:t xml:space="preserve">Im Dialog </w:t>
      </w:r>
      <w:r>
        <w:rPr>
          <w:b/>
        </w:rPr>
        <w:t>MD017 Klient pflegen</w:t>
      </w:r>
      <w:r>
        <w:t xml:space="preserve">, Registerkarte </w:t>
      </w:r>
      <w:r>
        <w:rPr>
          <w:b/>
        </w:rPr>
        <w:t>Bestandsklassifizierung</w:t>
      </w:r>
      <w:r>
        <w:t>, legen Sie fest, ob für eine Bestandsklassifizierung (z. B. „normal“, „gesperrt“, „zu prüfen“) Korrekturen zulässig sind:</w:t>
      </w:r>
    </w:p>
    <w:p>
      <w:pPr>
        <w:pStyle w:val="ListBullet"/>
      </w:pPr>
      <w:r>
        <w:rPr>
          <w:b/>
        </w:rPr>
        <w:t>Negative Bestandskorrektur erlauben</w:t>
      </w:r>
    </w:p>
    <w:p>
      <w:pPr>
        <w:pStyle w:val="ListBullet"/>
      </w:pPr>
      <w:r>
        <w:rPr>
          <w:b/>
        </w:rPr>
        <w:t>Positive Bestandskorrektur erlauben</w:t>
      </w:r>
    </w:p>
    <w:p>
      <w:pPr>
        <w:pStyle w:val="ListBullet"/>
      </w:pPr>
      <w:r>
        <w:rPr>
          <w:b/>
        </w:rPr>
        <w:t>Änderungen erfordern erweiterte Berechtigungen</w:t>
      </w:r>
    </w:p>
    <w:p>
      <w:r>
        <w:t>Ist eine Korrekturrichtung nicht erlaubt, kann der Bestand dieser Klassifizierung nicht spontan in diese Richtung verändert werden.</w:t>
      </w:r>
    </w:p>
    <w:p>
      <w:pPr>
        <w:pStyle w:val="Quelle"/>
      </w:pPr>
      <w:r>
        <w:rPr>
          <w:b/>
        </w:rPr>
        <w:t xml:space="preserve">Quelle: </w:t>
      </w:r>
      <w:r>
        <w:rPr>
          <w:sz w:val="17"/>
        </w:rPr>
        <w:t>Administratorhandbuch 2.7, Kap. 3.6.1.9 (S. 108)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Das Handbuch beschreibt nicht ausdrücklich, ob spontanes Einlagern bzw. Entnehmen am Touch-Client als positive bzw. negative Bestandskorrektur im Sinne dieser Checkboxen gewertet wird. Die Ergebnisbeschreibung („eine Bestandskorrekturmeldung wird gesendet“) legt das nahe.</w:t>
            </w:r>
          </w:p>
        </w:tc>
      </w:tr>
    </w:tbl>
    <w:p>
      <w:pPr>
        <w:spacing w:after="40"/>
      </w:pPr>
    </w:p>
    <w:p>
      <w:pPr>
        <w:pStyle w:val="Heading2"/>
      </w:pPr>
      <w:r>
        <w:t>3.5 Systemparameter (LM053)</w:t>
      </w:r>
    </w:p>
    <w:p>
      <w:r>
        <w:t xml:space="preserve">Im Dialog </w:t>
      </w:r>
      <w:r>
        <w:rPr>
          <w:b/>
        </w:rPr>
        <w:t>LM053 Systemparameter pflegen</w:t>
      </w:r>
      <w:r>
        <w:t xml:space="preserve"> (je Lagerstandort) sind für spontane Prozesse besonders wichtig: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Bereich / Feld</w:t>
            </w:r>
          </w:p>
        </w:tc>
        <w:tc>
          <w:tcPr>
            <w:tcW w:type="dxa" w:w="4762"/>
            <w:shd w:val="clear" w:color="auto" w:fill="FEEE19"/>
          </w:tcPr>
          <w:p>
            <w:pPr>
              <w:spacing w:after="0"/>
            </w:pPr>
            <w:r>
              <w:rPr>
                <w:b/>
                <w:sz w:val="17"/>
              </w:rPr>
              <w:t>Wirkung</w:t>
            </w:r>
          </w:p>
        </w:tc>
      </w:tr>
      <w:tr>
        <w:tc>
          <w:tcPr>
            <w:tcW w:type="dxa" w:w="4762"/>
          </w:tcPr>
          <w:p>
            <w:pPr>
              <w:spacing w:after="0" w:line="252" w:lineRule="auto"/>
            </w:pPr>
            <w:r>
              <w:rPr>
                <w:b/>
                <w:sz w:val="17"/>
              </w:rPr>
              <w:t>Zuordnungsmodus</w:t>
            </w:r>
          </w:p>
        </w:tc>
        <w:tc>
          <w:tcPr>
            <w:tcW w:type="dxa" w:w="4762"/>
          </w:tcPr>
          <w:p>
            <w:pPr>
              <w:spacing w:after="0" w:line="252" w:lineRule="auto"/>
            </w:pPr>
            <w:r>
              <w:rPr>
                <w:b/>
                <w:sz w:val="17"/>
              </w:rPr>
              <w:t>Standard</w:t>
            </w:r>
            <w:r>
              <w:rPr>
                <w:sz w:val="17"/>
              </w:rPr>
              <w:t xml:space="preserve">: Wird eine Box leer, fragt WAMAS, ob die Artikel-zu-Box-Zuordnung bleibt. </w:t>
            </w:r>
            <w:r>
              <w:rPr>
                <w:b/>
                <w:sz w:val="17"/>
              </w:rPr>
              <w:t>Fixiert</w:t>
            </w:r>
            <w:r>
              <w:rPr>
                <w:sz w:val="17"/>
              </w:rPr>
              <w:t xml:space="preserve">: Zuordnung bleibt. </w:t>
            </w:r>
            <w:r>
              <w:rPr>
                <w:b/>
                <w:sz w:val="17"/>
              </w:rPr>
              <w:t>Float</w:t>
            </w:r>
            <w:r>
              <w:rPr>
                <w:sz w:val="17"/>
              </w:rPr>
              <w:t>: Zuordnung wird automatisch entfernt</w:t>
            </w:r>
          </w:p>
        </w:tc>
      </w:tr>
      <w:tr>
        <w:tc>
          <w:tcPr>
            <w:tcW w:type="dxa" w:w="4762"/>
          </w:tcPr>
          <w:p>
            <w:pPr>
              <w:spacing w:after="0" w:line="252" w:lineRule="auto"/>
            </w:pPr>
            <w:r>
              <w:rPr>
                <w:b/>
                <w:sz w:val="17"/>
              </w:rPr>
              <w:t>Bestandsidentifizierungsattribute</w:t>
            </w:r>
            <w:r>
              <w:rPr>
                <w:sz w:val="17"/>
              </w:rPr>
              <w:t xml:space="preserve">, </w:t>
            </w:r>
            <w:r>
              <w:rPr>
                <w:b/>
                <w:sz w:val="17"/>
              </w:rPr>
              <w:t>Bestandsführungs-</w:t>
            </w:r>
            <w:r>
              <w:rPr>
                <w:sz w:val="17"/>
              </w:rPr>
              <w:t xml:space="preserve"> und </w:t>
            </w:r>
            <w:r>
              <w:rPr>
                <w:b/>
                <w:sz w:val="17"/>
              </w:rPr>
              <w:t>Warenausgangseigenschaften</w:t>
            </w:r>
          </w:p>
        </w:tc>
        <w:tc>
          <w:tcPr>
            <w:tcW w:type="dxa" w:w="4762"/>
          </w:tcPr>
          <w:p>
            <w:pPr>
              <w:spacing w:after="0" w:line="252" w:lineRule="auto"/>
            </w:pPr>
            <w:r>
              <w:rPr>
                <w:sz w:val="17"/>
              </w:rPr>
              <w:t>MHD, Produktionsdatum, Charge: nicht anwendbar, optional oder obligatorisch</w:t>
            </w:r>
          </w:p>
        </w:tc>
      </w:tr>
      <w:tr>
        <w:tc>
          <w:tcPr>
            <w:tcW w:type="dxa" w:w="4762"/>
          </w:tcPr>
          <w:p>
            <w:pPr>
              <w:spacing w:after="0" w:line="252" w:lineRule="auto"/>
            </w:pPr>
            <w:r>
              <w:rPr>
                <w:b/>
                <w:sz w:val="17"/>
              </w:rPr>
              <w:t>Bestandsgewicht anzeigen</w:t>
            </w:r>
          </w:p>
        </w:tc>
        <w:tc>
          <w:tcPr>
            <w:tcW w:type="dxa" w:w="4762"/>
          </w:tcPr>
          <w:p>
            <w:pPr>
              <w:spacing w:after="0" w:line="252" w:lineRule="auto"/>
            </w:pPr>
            <w:r>
              <w:rPr>
                <w:sz w:val="17"/>
              </w:rPr>
              <w:t xml:space="preserve">Gewicht der Ware in </w:t>
            </w:r>
            <w:r>
              <w:rPr>
                <w:b/>
                <w:sz w:val="17"/>
              </w:rPr>
              <w:t>LM002</w:t>
            </w:r>
            <w:r>
              <w:rPr>
                <w:sz w:val="17"/>
              </w:rPr>
              <w:t xml:space="preserve"> bzw. </w:t>
            </w:r>
            <w:r>
              <w:rPr>
                <w:b/>
                <w:sz w:val="17"/>
              </w:rPr>
              <w:t>LM035</w:t>
            </w:r>
            <w:r>
              <w:rPr>
                <w:sz w:val="17"/>
              </w:rPr>
              <w:t xml:space="preserve"> anzeigen</w:t>
            </w:r>
          </w:p>
        </w:tc>
      </w:tr>
      <w:tr>
        <w:tc>
          <w:tcPr>
            <w:tcW w:type="dxa" w:w="4762"/>
          </w:tcPr>
          <w:p>
            <w:pPr>
              <w:spacing w:after="0" w:line="252" w:lineRule="auto"/>
            </w:pPr>
            <w:r>
              <w:rPr>
                <w:sz w:val="17"/>
              </w:rPr>
              <w:t xml:space="preserve">Registerkarte </w:t>
            </w:r>
            <w:r>
              <w:rPr>
                <w:b/>
                <w:sz w:val="17"/>
              </w:rPr>
              <w:t>Bestandsauswahlmodus</w:t>
            </w:r>
          </w:p>
        </w:tc>
        <w:tc>
          <w:tcPr>
            <w:tcW w:type="dxa" w:w="4762"/>
          </w:tcPr>
          <w:p>
            <w:pPr>
              <w:spacing w:after="0" w:line="252" w:lineRule="auto"/>
            </w:pPr>
            <w:r>
              <w:rPr>
                <w:sz w:val="17"/>
              </w:rPr>
              <w:t xml:space="preserve">MHD- und Produktionsdatumsregeln u. a. für </w:t>
            </w:r>
            <w:r>
              <w:rPr>
                <w:b/>
                <w:sz w:val="17"/>
              </w:rPr>
              <w:t>Einlagervorgang in LM040</w:t>
            </w:r>
            <w:r>
              <w:rPr>
                <w:sz w:val="17"/>
              </w:rPr>
              <w:t xml:space="preserve">, </w:t>
            </w:r>
            <w:r>
              <w:rPr>
                <w:b/>
                <w:sz w:val="17"/>
              </w:rPr>
              <w:t>Kommissioniertätigkeit in LM040</w:t>
            </w:r>
            <w:r>
              <w:rPr>
                <w:sz w:val="17"/>
              </w:rPr>
              <w:t xml:space="preserve"> und </w:t>
            </w:r>
            <w:r>
              <w:rPr>
                <w:b/>
                <w:sz w:val="17"/>
              </w:rPr>
              <w:t>Kein Vorgang in LM040 ausgewählt</w:t>
            </w:r>
          </w:p>
        </w:tc>
      </w:tr>
      <w:tr>
        <w:tc>
          <w:tcPr>
            <w:tcW w:type="dxa" w:w="4762"/>
          </w:tcPr>
          <w:p>
            <w:pPr>
              <w:spacing w:after="0" w:line="252" w:lineRule="auto"/>
            </w:pPr>
            <w:r>
              <w:rPr>
                <w:sz w:val="17"/>
              </w:rPr>
              <w:t xml:space="preserve">Registerkarte </w:t>
            </w:r>
            <w:r>
              <w:rPr>
                <w:b/>
                <w:sz w:val="17"/>
              </w:rPr>
              <w:t>Konfiguration der Touch-Client-Benutzeroberfläche</w:t>
            </w:r>
          </w:p>
        </w:tc>
        <w:tc>
          <w:tcPr>
            <w:tcW w:type="dxa" w:w="4762"/>
          </w:tcPr>
          <w:p>
            <w:pPr>
              <w:spacing w:after="0" w:line="252" w:lineRule="auto"/>
            </w:pPr>
            <w:r>
              <w:rPr>
                <w:sz w:val="17"/>
              </w:rPr>
              <w:t xml:space="preserve">Registerkarten und Infoelemente in </w:t>
            </w:r>
            <w:r>
              <w:rPr>
                <w:b/>
                <w:sz w:val="17"/>
              </w:rPr>
              <w:t>LM002</w:t>
            </w:r>
            <w:r>
              <w:rPr>
                <w:sz w:val="17"/>
              </w:rPr>
              <w:t>/</w:t>
            </w:r>
            <w:r>
              <w:rPr>
                <w:b/>
                <w:sz w:val="17"/>
              </w:rPr>
              <w:t>LM035</w:t>
            </w:r>
            <w:r>
              <w:rPr>
                <w:sz w:val="17"/>
              </w:rPr>
              <w:t xml:space="preserve"> je Prozess (Einlagerung, Kommissionierung, Inventur, Konsolidierung)</w:t>
            </w:r>
          </w:p>
        </w:tc>
      </w:tr>
    </w:tbl>
    <w:p>
      <w:pPr>
        <w:pStyle w:val="BeschriftungSSI"/>
      </w:pPr>
      <w:r>
        <w:t>Tab. 7: Systemparameter mit Bezug zu spontanen Prozessen</w:t>
      </w:r>
    </w:p>
    <w:p>
      <w:pPr>
        <w:pStyle w:val="Quelle"/>
      </w:pPr>
      <w:r>
        <w:rPr>
          <w:b/>
        </w:rPr>
        <w:t xml:space="preserve">Quelle: </w:t>
      </w:r>
      <w:r>
        <w:rPr>
          <w:sz w:val="17"/>
        </w:rPr>
        <w:t>Administratorhandbuch 2.7, Kap. 3.1.3 (S. 15–19)</w:t>
      </w:r>
    </w:p>
    <w:p>
      <w:pPr>
        <w:pStyle w:val="Heading2"/>
      </w:pPr>
      <w:r>
        <w:t>3.6 Bestätigungsart (LM060)</w:t>
      </w:r>
    </w:p>
    <w:p>
      <w:r>
        <w:t xml:space="preserve">Im Dialog </w:t>
      </w:r>
      <w:r>
        <w:rPr>
          <w:b/>
        </w:rPr>
        <w:t>LM060 Vorgangsbestätigungszuordnung pflegen</w:t>
      </w:r>
      <w:r>
        <w:t xml:space="preserve"> legen Sie je Vorgang (Alle, Einlagerung, Kommissionierung, Inventur, Konsolidierung) und optional je Zone oder Klient fest, ob ein Vorgang am Touch-Client in einem Schritt oder in zwei Schritten bestätigt werden muss. Die 2-Schritt-Bestätigung ist für spontane Korrekturen eine wirksame Absicherung gegen Fehleingaben.</w:t>
      </w:r>
    </w:p>
    <w:p>
      <w:pPr>
        <w:pStyle w:val="Quelle"/>
      </w:pPr>
      <w:r>
        <w:rPr>
          <w:b/>
        </w:rPr>
        <w:t xml:space="preserve">Quelle: </w:t>
      </w:r>
      <w:r>
        <w:rPr>
          <w:sz w:val="17"/>
        </w:rPr>
        <w:t>Administratorhandbuch 2.7, Kap. 3.1.6 (S. 21)</w:t>
      </w:r>
    </w:p>
    <w:p>
      <w:pPr>
        <w:pStyle w:val="Heading2"/>
      </w:pPr>
      <w:r>
        <w:t>3.7 Globale Parameter</w:t>
      </w:r>
    </w:p>
    <w:p>
      <w:r>
        <w:t xml:space="preserve">Die folgenden globalen Parameter (Dialog </w:t>
      </w:r>
      <w:r>
        <w:rPr>
          <w:b/>
        </w:rPr>
        <w:t>FW028</w:t>
      </w:r>
      <w:r>
        <w:t>) beeinflussen das Arbeiten ohne Auftrag. Änderungen sollten nur in Abstimmung mit SSI SCHÄFER erfolgen.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55"/>
        <w:gridCol w:w="4969"/>
      </w:tblGrid>
      <w:tr>
        <w:trPr>
          <w:tblHeader w:val="true"/>
        </w:trPr>
        <w:tc>
          <w:tcPr>
            <w:tcW w:type="dxa" w:w="4555"/>
            <w:shd w:val="clear" w:color="auto" w:fill="FEEE19"/>
          </w:tcPr>
          <w:p>
            <w:pPr>
              <w:spacing w:after="0"/>
            </w:pPr>
            <w:r>
              <w:rPr>
                <w:b/>
                <w:sz w:val="17"/>
              </w:rPr>
              <w:t>Parameter</w:t>
            </w:r>
          </w:p>
        </w:tc>
        <w:tc>
          <w:tcPr>
            <w:tcW w:type="dxa" w:w="4969"/>
            <w:shd w:val="clear" w:color="auto" w:fill="FEEE19"/>
          </w:tcPr>
          <w:p>
            <w:pPr>
              <w:spacing w:after="0"/>
            </w:pPr>
            <w:r>
              <w:rPr>
                <w:b/>
                <w:sz w:val="17"/>
              </w:rPr>
              <w:t>Wirkung</w:t>
            </w:r>
          </w:p>
        </w:tc>
      </w:tr>
      <w:tr>
        <w:tc>
          <w:tcPr>
            <w:tcW w:type="dxa" w:w="4555"/>
          </w:tcPr>
          <w:p>
            <w:pPr>
              <w:spacing w:after="0" w:line="252" w:lineRule="auto"/>
            </w:pPr>
            <w:r>
              <w:rPr>
                <w:rFonts w:ascii="Consolas" w:hAnsi="Consolas" w:cs="Consolas" w:eastAsia="Consolas"/>
                <w:sz w:val="15"/>
              </w:rPr>
              <w:t>logimat.defaultDialog</w:t>
            </w:r>
          </w:p>
        </w:tc>
        <w:tc>
          <w:tcPr>
            <w:tcW w:type="dxa" w:w="4969"/>
          </w:tcPr>
          <w:p>
            <w:pPr>
              <w:spacing w:after="0" w:line="252" w:lineRule="auto"/>
            </w:pPr>
            <w:r>
              <w:rPr>
                <w:sz w:val="17"/>
              </w:rPr>
              <w:t>Startdialog nach der Anmeldung am Touch-Client</w:t>
            </w:r>
          </w:p>
        </w:tc>
      </w:tr>
      <w:tr>
        <w:tc>
          <w:tcPr>
            <w:tcW w:type="dxa" w:w="4555"/>
          </w:tcPr>
          <w:p>
            <w:pPr>
              <w:spacing w:after="0" w:line="252" w:lineRule="auto"/>
            </w:pPr>
            <w:r>
              <w:rPr>
                <w:rFonts w:ascii="Consolas" w:hAnsi="Consolas" w:cs="Consolas" w:eastAsia="Consolas"/>
                <w:sz w:val="15"/>
              </w:rPr>
              <w:t>logimat.dialogs.lm040.defaultTab</w:t>
            </w:r>
          </w:p>
        </w:tc>
        <w:tc>
          <w:tcPr>
            <w:tcW w:type="dxa" w:w="4969"/>
          </w:tcPr>
          <w:p>
            <w:pPr>
              <w:spacing w:after="0" w:line="252" w:lineRule="auto"/>
            </w:pPr>
            <w:r>
              <w:rPr>
                <w:sz w:val="17"/>
              </w:rPr>
              <w:t xml:space="preserve">Standardregisterkarte in </w:t>
            </w:r>
            <w:r>
              <w:rPr>
                <w:b/>
                <w:sz w:val="17"/>
              </w:rPr>
              <w:t>LM040</w:t>
            </w:r>
            <w:r>
              <w:rPr>
                <w:sz w:val="17"/>
              </w:rPr>
              <w:t xml:space="preserve"> (Standard: </w:t>
            </w:r>
            <w:r>
              <w:rPr>
                <w:b/>
                <w:sz w:val="17"/>
              </w:rPr>
              <w:t>Übersicht Tablare</w:t>
            </w:r>
            <w:r>
              <w:rPr>
                <w:sz w:val="17"/>
              </w:rPr>
              <w:t>)</w:t>
            </w:r>
          </w:p>
        </w:tc>
      </w:tr>
      <w:tr>
        <w:tc>
          <w:tcPr>
            <w:tcW w:type="dxa" w:w="4555"/>
          </w:tcPr>
          <w:p>
            <w:pPr>
              <w:spacing w:after="0" w:line="252" w:lineRule="auto"/>
            </w:pPr>
            <w:r>
              <w:rPr>
                <w:rFonts w:ascii="Consolas" w:hAnsi="Consolas" w:cs="Consolas" w:eastAsia="Consolas"/>
                <w:sz w:val="15"/>
              </w:rPr>
              <w:t>logimat.dialogs.lm040.trays.workingMode</w:t>
            </w:r>
          </w:p>
        </w:tc>
        <w:tc>
          <w:tcPr>
            <w:tcW w:type="dxa" w:w="4969"/>
          </w:tcPr>
          <w:p>
            <w:pPr>
              <w:spacing w:after="0" w:line="252" w:lineRule="auto"/>
            </w:pPr>
            <w:r>
              <w:rPr>
                <w:sz w:val="17"/>
              </w:rPr>
              <w:t>Suche nach Tablar (Standard) oder nach Artikel</w:t>
            </w:r>
          </w:p>
        </w:tc>
      </w:tr>
      <w:tr>
        <w:tc>
          <w:tcPr>
            <w:tcW w:type="dxa" w:w="4555"/>
          </w:tcPr>
          <w:p>
            <w:pPr>
              <w:spacing w:after="0" w:line="252" w:lineRule="auto"/>
            </w:pPr>
            <w:r>
              <w:rPr>
                <w:rFonts w:ascii="Consolas" w:hAnsi="Consolas" w:cs="Consolas" w:eastAsia="Consolas"/>
                <w:sz w:val="15"/>
              </w:rPr>
              <w:t>logimat.dialogs.lm040.trays.search.mode</w:t>
            </w:r>
          </w:p>
        </w:tc>
        <w:tc>
          <w:tcPr>
            <w:tcW w:type="dxa" w:w="4969"/>
          </w:tcPr>
          <w:p>
            <w:pPr>
              <w:spacing w:after="0" w:line="252" w:lineRule="auto"/>
            </w:pPr>
            <w:r>
              <w:rPr>
                <w:sz w:val="17"/>
              </w:rPr>
              <w:t>Standard-Suchbereich: aktueller LOGIMAT, aktuelle Zone oder alle Zonen</w:t>
            </w:r>
          </w:p>
        </w:tc>
      </w:tr>
      <w:tr>
        <w:tc>
          <w:tcPr>
            <w:tcW w:type="dxa" w:w="4555"/>
          </w:tcPr>
          <w:p>
            <w:pPr>
              <w:spacing w:after="0" w:line="252" w:lineRule="auto"/>
            </w:pPr>
            <w:r>
              <w:rPr>
                <w:rFonts w:ascii="Consolas" w:hAnsi="Consolas" w:cs="Consolas" w:eastAsia="Consolas"/>
                <w:sz w:val="15"/>
              </w:rPr>
              <w:t>logimat.dialogs.lm040.trays.sort.mode</w:t>
            </w:r>
          </w:p>
        </w:tc>
        <w:tc>
          <w:tcPr>
            <w:tcW w:type="dxa" w:w="4969"/>
          </w:tcPr>
          <w:p>
            <w:pPr>
              <w:spacing w:after="0" w:line="252" w:lineRule="auto"/>
            </w:pPr>
            <w:r>
              <w:rPr>
                <w:sz w:val="17"/>
              </w:rPr>
              <w:t>Sortierung der Tablarsuche; FIFO nur bei Suche mit Artikel und Betriebsart „Auslagern“</w:t>
            </w:r>
          </w:p>
        </w:tc>
      </w:tr>
      <w:tr>
        <w:tc>
          <w:tcPr>
            <w:tcW w:type="dxa" w:w="4555"/>
          </w:tcPr>
          <w:p>
            <w:pPr>
              <w:spacing w:after="0" w:line="252" w:lineRule="auto"/>
            </w:pPr>
            <w:r>
              <w:rPr>
                <w:rFonts w:ascii="Consolas" w:hAnsi="Consolas" w:cs="Consolas" w:eastAsia="Consolas"/>
                <w:sz w:val="15"/>
              </w:rPr>
              <w:t>logimat.send.tray.back.delay</w:t>
            </w:r>
          </w:p>
        </w:tc>
        <w:tc>
          <w:tcPr>
            <w:tcW w:type="dxa" w:w="4969"/>
          </w:tcPr>
          <w:p>
            <w:pPr>
              <w:spacing w:after="0" w:line="252" w:lineRule="auto"/>
            </w:pPr>
            <w:r>
              <w:rPr>
                <w:sz w:val="17"/>
              </w:rPr>
              <w:t>Verzögerung in Sekunden, bevor das Tablar nach dem letzten Vorgang zurückfährt</w:t>
            </w:r>
          </w:p>
        </w:tc>
      </w:tr>
      <w:tr>
        <w:tc>
          <w:tcPr>
            <w:tcW w:type="dxa" w:w="4555"/>
          </w:tcPr>
          <w:p>
            <w:pPr>
              <w:spacing w:after="0" w:line="252" w:lineRule="auto"/>
            </w:pPr>
            <w:r>
              <w:rPr>
                <w:rFonts w:ascii="Consolas" w:hAnsi="Consolas" w:cs="Consolas" w:eastAsia="Consolas"/>
                <w:sz w:val="15"/>
              </w:rPr>
              <w:t>logimat.demand.sendTrayBack</w:t>
            </w:r>
          </w:p>
        </w:tc>
        <w:tc>
          <w:tcPr>
            <w:tcW w:type="dxa" w:w="4969"/>
          </w:tcPr>
          <w:p>
            <w:pPr>
              <w:spacing w:after="0" w:line="252" w:lineRule="auto"/>
            </w:pPr>
            <w:r>
              <w:rPr>
                <w:sz w:val="17"/>
              </w:rPr>
              <w:t xml:space="preserve">Automatisches Zurückschicken; laut Handbuch </w:t>
            </w:r>
            <w:r>
              <w:rPr>
                <w:b/>
                <w:sz w:val="17"/>
              </w:rPr>
              <w:t>nicht</w:t>
            </w:r>
            <w:r>
              <w:rPr>
                <w:sz w:val="17"/>
              </w:rPr>
              <w:t xml:space="preserve"> für manuell angelegte Tablaranforderungen</w:t>
            </w:r>
          </w:p>
        </w:tc>
      </w:tr>
      <w:tr>
        <w:tc>
          <w:tcPr>
            <w:tcW w:type="dxa" w:w="4555"/>
          </w:tcPr>
          <w:p>
            <w:pPr>
              <w:spacing w:after="0" w:line="252" w:lineRule="auto"/>
            </w:pPr>
            <w:r>
              <w:rPr>
                <w:rFonts w:ascii="Consolas" w:hAnsi="Consolas" w:cs="Consolas" w:eastAsia="Consolas"/>
                <w:sz w:val="15"/>
              </w:rPr>
              <w:t>logimat.dialogs.lm002.switchDialogOnTrayLeave</w:t>
            </w:r>
          </w:p>
        </w:tc>
        <w:tc>
          <w:tcPr>
            <w:tcW w:type="dxa" w:w="4969"/>
          </w:tcPr>
          <w:p>
            <w:pPr>
              <w:spacing w:after="0" w:line="252" w:lineRule="auto"/>
            </w:pPr>
            <w:r>
              <w:rPr>
                <w:sz w:val="17"/>
              </w:rPr>
              <w:t xml:space="preserve">Wechsel zurück nach </w:t>
            </w:r>
            <w:r>
              <w:rPr>
                <w:b/>
                <w:sz w:val="17"/>
              </w:rPr>
              <w:t>LM040</w:t>
            </w:r>
            <w:r>
              <w:rPr>
                <w:sz w:val="17"/>
              </w:rPr>
              <w:t>, wenn das Tablar die Öffnung verlässt und keine weitere Anforderung aktiv wird</w:t>
            </w:r>
          </w:p>
        </w:tc>
      </w:tr>
      <w:tr>
        <w:tc>
          <w:tcPr>
            <w:tcW w:type="dxa" w:w="4555"/>
          </w:tcPr>
          <w:p>
            <w:pPr>
              <w:spacing w:after="0" w:line="252" w:lineRule="auto"/>
            </w:pPr>
            <w:r>
              <w:rPr>
                <w:rFonts w:ascii="Consolas" w:hAnsi="Consolas" w:cs="Consolas" w:eastAsia="Consolas"/>
                <w:sz w:val="15"/>
              </w:rPr>
              <w:t>logimat.dialogs.lm002.limitBoxToMaxAmountForInventory</w:t>
            </w:r>
          </w:p>
        </w:tc>
        <w:tc>
          <w:tcPr>
            <w:tcW w:type="dxa" w:w="4969"/>
          </w:tcPr>
          <w:p>
            <w:pPr>
              <w:spacing w:after="0" w:line="252" w:lineRule="auto"/>
            </w:pPr>
            <w:r>
              <w:rPr>
                <w:sz w:val="17"/>
              </w:rPr>
              <w:t>Gezählte Menge auf die maximale Boxmenge begrenzen</w:t>
            </w:r>
          </w:p>
        </w:tc>
      </w:tr>
      <w:tr>
        <w:tc>
          <w:tcPr>
            <w:tcW w:type="dxa" w:w="4555"/>
          </w:tcPr>
          <w:p>
            <w:pPr>
              <w:spacing w:after="0" w:line="252" w:lineRule="auto"/>
            </w:pPr>
            <w:r>
              <w:rPr>
                <w:rFonts w:ascii="Consolas" w:hAnsi="Consolas" w:cs="Consolas" w:eastAsia="Consolas"/>
                <w:sz w:val="15"/>
              </w:rPr>
              <w:t>logimat.dialogs.lm101.askFillReason</w:t>
            </w:r>
          </w:p>
        </w:tc>
        <w:tc>
          <w:tcPr>
            <w:tcW w:type="dxa" w:w="4969"/>
          </w:tcPr>
          <w:p>
            <w:pPr>
              <w:spacing w:after="0" w:line="252" w:lineRule="auto"/>
            </w:pPr>
            <w:r>
              <w:rPr>
                <w:sz w:val="17"/>
              </w:rPr>
              <w:t xml:space="preserve">Grund im Dialog </w:t>
            </w:r>
            <w:r>
              <w:rPr>
                <w:b/>
                <w:sz w:val="17"/>
              </w:rPr>
              <w:t>LM101</w:t>
            </w:r>
            <w:r>
              <w:rPr>
                <w:sz w:val="17"/>
              </w:rPr>
              <w:t xml:space="preserve"> Pflicht (Standard </w:t>
            </w:r>
            <w:r>
              <w:rPr>
                <w:rFonts w:ascii="Consolas" w:hAnsi="Consolas" w:cs="Consolas" w:eastAsia="Consolas"/>
                <w:sz w:val="15"/>
              </w:rPr>
              <w:t>true</w:t>
            </w:r>
            <w:r>
              <w:rPr>
                <w:sz w:val="17"/>
              </w:rPr>
              <w:t>)</w:t>
            </w:r>
          </w:p>
        </w:tc>
      </w:tr>
      <w:tr>
        <w:tc>
          <w:tcPr>
            <w:tcW w:type="dxa" w:w="4555"/>
          </w:tcPr>
          <w:p>
            <w:pPr>
              <w:spacing w:after="0" w:line="252" w:lineRule="auto"/>
            </w:pPr>
            <w:r>
              <w:rPr>
                <w:rFonts w:ascii="Consolas" w:hAnsi="Consolas" w:cs="Consolas" w:eastAsia="Consolas"/>
                <w:sz w:val="15"/>
              </w:rPr>
              <w:t>logimat.workingMode</w:t>
            </w:r>
          </w:p>
        </w:tc>
        <w:tc>
          <w:tcPr>
            <w:tcW w:type="dxa" w:w="4969"/>
          </w:tcPr>
          <w:p>
            <w:pPr>
              <w:spacing w:after="0" w:line="252" w:lineRule="auto"/>
            </w:pPr>
            <w:r>
              <w:rPr>
                <w:b/>
                <w:sz w:val="17"/>
              </w:rPr>
              <w:t>FORCE</w:t>
            </w:r>
            <w:r>
              <w:rPr>
                <w:sz w:val="17"/>
              </w:rPr>
              <w:t xml:space="preserve"> (Standard) oder </w:t>
            </w:r>
            <w:r>
              <w:rPr>
                <w:b/>
                <w:sz w:val="17"/>
              </w:rPr>
              <w:t>FREE</w:t>
            </w:r>
            <w:r>
              <w:rPr>
                <w:sz w:val="17"/>
              </w:rPr>
              <w:t xml:space="preserve"> bei Arbeit an mehreren Zugriffsöffnungen</w:t>
            </w:r>
          </w:p>
        </w:tc>
      </w:tr>
      <w:tr>
        <w:tc>
          <w:tcPr>
            <w:tcW w:type="dxa" w:w="4555"/>
          </w:tcPr>
          <w:p>
            <w:pPr>
              <w:spacing w:after="0" w:line="252" w:lineRule="auto"/>
            </w:pPr>
            <w:r>
              <w:rPr>
                <w:rFonts w:ascii="Consolas" w:hAnsi="Consolas" w:cs="Consolas" w:eastAsia="Consolas"/>
                <w:sz w:val="15"/>
              </w:rPr>
              <w:t>logimat.user.allowMultipleZones</w:t>
            </w:r>
          </w:p>
        </w:tc>
        <w:tc>
          <w:tcPr>
            <w:tcW w:type="dxa" w:w="4969"/>
          </w:tcPr>
          <w:p>
            <w:pPr>
              <w:spacing w:after="0" w:line="252" w:lineRule="auto"/>
            </w:pPr>
            <w:r>
              <w:rPr>
                <w:sz w:val="17"/>
              </w:rPr>
              <w:t>Anmeldung an LOGIMATs aus verschiedenen Zonen erlaubt</w:t>
            </w:r>
          </w:p>
        </w:tc>
      </w:tr>
      <w:tr>
        <w:tc>
          <w:tcPr>
            <w:tcW w:type="dxa" w:w="4555"/>
          </w:tcPr>
          <w:p>
            <w:pPr>
              <w:spacing w:after="0" w:line="252" w:lineRule="auto"/>
            </w:pPr>
            <w:r>
              <w:rPr>
                <w:rFonts w:ascii="Consolas" w:hAnsi="Consolas" w:cs="Consolas" w:eastAsia="Consolas"/>
                <w:sz w:val="15"/>
              </w:rPr>
              <w:t>logimat.autoGenerateLuId</w:t>
            </w:r>
          </w:p>
        </w:tc>
        <w:tc>
          <w:tcPr>
            <w:tcW w:type="dxa" w:w="4969"/>
          </w:tcPr>
          <w:p>
            <w:pPr>
              <w:spacing w:after="0" w:line="252" w:lineRule="auto"/>
            </w:pPr>
            <w:r>
              <w:rPr>
                <w:sz w:val="17"/>
              </w:rPr>
              <w:t xml:space="preserve">LE-ID und Barcode für neue Boxen automatisch erzeugen (Standard </w:t>
            </w:r>
            <w:r>
              <w:rPr>
                <w:rFonts w:ascii="Consolas" w:hAnsi="Consolas" w:cs="Consolas" w:eastAsia="Consolas"/>
                <w:sz w:val="15"/>
              </w:rPr>
              <w:t>true</w:t>
            </w:r>
            <w:r>
              <w:rPr>
                <w:sz w:val="17"/>
              </w:rPr>
              <w:t>)</w:t>
            </w:r>
          </w:p>
        </w:tc>
      </w:tr>
      <w:tr>
        <w:tc>
          <w:tcPr>
            <w:tcW w:type="dxa" w:w="4555"/>
          </w:tcPr>
          <w:p>
            <w:pPr>
              <w:spacing w:after="0" w:line="252" w:lineRule="auto"/>
            </w:pPr>
            <w:r>
              <w:rPr>
                <w:rFonts w:ascii="Consolas" w:hAnsi="Consolas" w:cs="Consolas" w:eastAsia="Consolas"/>
                <w:sz w:val="15"/>
              </w:rPr>
              <w:t>logimat.stock.enableHomogenityCheck</w:t>
            </w:r>
          </w:p>
        </w:tc>
        <w:tc>
          <w:tcPr>
            <w:tcW w:type="dxa" w:w="4969"/>
          </w:tcPr>
          <w:p>
            <w:pPr>
              <w:spacing w:after="0" w:line="252" w:lineRule="auto"/>
            </w:pPr>
            <w:r>
              <w:rPr>
                <w:sz w:val="17"/>
              </w:rPr>
              <w:t>Homogenitätsprüfung bei der Einlagerung</w:t>
            </w:r>
          </w:p>
        </w:tc>
      </w:tr>
    </w:tbl>
    <w:p>
      <w:pPr>
        <w:pStyle w:val="BeschriftungSSI"/>
      </w:pPr>
      <w:r>
        <w:t>Tab. 8: Globale Parameter (Auszug)</w:t>
      </w:r>
    </w:p>
    <w:p>
      <w:pPr>
        <w:pStyle w:val="Quelle"/>
      </w:pPr>
      <w:r>
        <w:rPr>
          <w:b/>
        </w:rPr>
        <w:t xml:space="preserve">Quelle: </w:t>
      </w:r>
      <w:r>
        <w:rPr>
          <w:sz w:val="17"/>
        </w:rPr>
        <w:t>Administratorhandbuch 2.7, Kap. 3.11.2 (S. 173–191)</w:t>
      </w:r>
    </w:p>
    <w:p>
      <w:pPr>
        <w:pStyle w:val="Heading2"/>
      </w:pPr>
      <w:r>
        <w:t>3.8 Anbindung an ein ERP- oder Hostsystem</w:t>
      </w:r>
    </w:p>
    <w:p>
      <w:r>
        <w:t xml:space="preserve">Auch wenn Sie ohne Auftrag arbeiten, informiert WAMAS ein angebundenes Fremdsystem: Nach spontaner Einlagerung, spontaner Entnahme und bei Zähldifferenzen wird eine </w:t>
      </w:r>
      <w:r>
        <w:rPr>
          <w:b/>
        </w:rPr>
        <w:t>Bestandskorrekturmeldung</w:t>
      </w:r>
      <w:r>
        <w:t xml:space="preserve"> an den Systempartner gesendet. Voraussetzung ist eine entsprechende Schnittstellenkonfiguration (Registerkarte </w:t>
      </w:r>
      <w:r>
        <w:rPr>
          <w:b/>
        </w:rPr>
        <w:t>Bestandskorrekturquittierung</w:t>
      </w:r>
      <w:r>
        <w:t xml:space="preserve"> des Systempartners). Ob Differenzen automatisch bestätigt werden, regelt die </w:t>
      </w:r>
      <w:r>
        <w:rPr>
          <w:b/>
        </w:rPr>
        <w:t>Differenznachweiszuordnung</w:t>
      </w:r>
      <w:r>
        <w:t xml:space="preserve"> (</w:t>
      </w:r>
      <w:r>
        <w:rPr>
          <w:b/>
        </w:rPr>
        <w:t>SM043</w:t>
      </w:r>
      <w:r>
        <w:t>), z. B. unterhalb einer kritischen Menge oder eines kritischen Werts.</w:t>
      </w:r>
    </w:p>
    <w:p>
      <w:pPr>
        <w:pStyle w:val="Quelle"/>
      </w:pPr>
      <w:r>
        <w:rPr>
          <w:b/>
        </w:rPr>
        <w:t xml:space="preserve">Quelle: </w:t>
      </w:r>
      <w:r>
        <w:rPr>
          <w:sz w:val="17"/>
        </w:rPr>
        <w:t>Benutzerhandbuch 2.7, Kap. 6.1.4–6.1.7 (S. 82–89); Administratorhandbuch 2.7, Kap. 3.1.9.2.1 (S. 24) und 3.5.2.9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Spontane Buchungen und ERP-Bestand</w:t>
            </w:r>
          </w:p>
          <w:p>
            <w:pPr>
              <w:spacing w:after="40"/>
            </w:pPr>
            <w:r>
              <w:rPr>
                <w:sz w:val="19"/>
              </w:rPr>
              <w:t>Jede spontane Buchung ändert den Bestand ohne Bezug zu einem ERP-Beleg. Stimmen Sie mit Ihrer ERP-Abteilung ab, wie Bestandskorrekturen dort verbucht werden, bevor spontane Buchungen im Tagesbetrieb freigegeben werden.</w:t>
            </w:r>
          </w:p>
        </w:tc>
      </w:tr>
    </w:tbl>
    <w:p>
      <w:pPr>
        <w:spacing w:after="40"/>
      </w:pPr>
    </w:p>
    <w:p>
      <w:pPr>
        <w:pStyle w:val="Heading1"/>
      </w:pPr>
      <w:r>
        <w:t>4 Tablar holen, senden und zurückschicken</w:t>
      </w:r>
    </w:p>
    <w:p>
      <w:pPr>
        <w:pStyle w:val="Heading2"/>
      </w:pPr>
      <w:r>
        <w:t>4.1 Tablar nach Artikel oder Bestandsattributen anfordern</w:t>
      </w:r>
    </w:p>
    <w:p>
      <w:r>
        <w:t xml:space="preserve">Voraussetzung: Sie sind am Touch-Client angemeldet, der Dialog </w:t>
      </w:r>
      <w:r>
        <w:rPr>
          <w:b/>
        </w:rPr>
        <w:t>LM040 Übersicht WAMAS L&amp;S</w:t>
      </w:r>
      <w:r>
        <w:t xml:space="preserve"> ist auf der Registerkarte </w:t>
      </w:r>
      <w:r>
        <w:rPr>
          <w:b/>
        </w:rPr>
        <w:t>Übersicht Tablare</w:t>
      </w:r>
      <w:r>
        <w:t xml:space="preserve"> geöffnet, und Sie sind berechtigt, das Tablar bzw. die Artikel anzufordern.</w:t>
      </w:r>
    </w:p>
    <w:p>
      <w:pPr>
        <w:tabs>
          <w:tab w:pos="425" w:val="left"/>
        </w:tabs>
        <w:spacing w:after="60"/>
        <w:ind w:left="425" w:hanging="425"/>
      </w:pPr>
      <w:r>
        <w:rPr>
          <w:b/>
        </w:rPr>
        <w:t>1.</w:t>
        <w:tab/>
      </w:r>
      <w:r>
        <w:t xml:space="preserve">Wählen Sie den Vorgang über ein Icon: </w:t>
      </w:r>
      <w:r>
        <w:rPr>
          <w:b/>
        </w:rPr>
        <w:t>EINLAGERN</w:t>
      </w:r>
      <w:r>
        <w:t xml:space="preserve"> (Ware einlagern), </w:t>
      </w:r>
      <w:r>
        <w:rPr>
          <w:b/>
        </w:rPr>
        <w:t>AUSLAGERN</w:t>
      </w:r>
      <w:r>
        <w:t xml:space="preserve"> (Ware kommissionieren) oder </w:t>
      </w:r>
      <w:r>
        <w:rPr>
          <w:b/>
        </w:rPr>
        <w:t>ZÄHLEN</w:t>
      </w:r>
      <w:r>
        <w:t xml:space="preserve"> (Inventur). Das Icon wird hervorgehoben.</w:t>
      </w:r>
    </w:p>
    <w:p>
      <w:pPr>
        <w:tabs>
          <w:tab w:pos="425" w:val="left"/>
        </w:tabs>
        <w:spacing w:after="60"/>
        <w:ind w:left="425" w:hanging="425"/>
      </w:pPr>
      <w:r>
        <w:rPr>
          <w:b/>
        </w:rPr>
        <w:t>2.</w:t>
        <w:tab/>
      </w:r>
      <w:r>
        <w:t xml:space="preserve">Geben Sie im Feld </w:t>
      </w:r>
      <w:r>
        <w:rPr>
          <w:b/>
        </w:rPr>
        <w:t>Artikel</w:t>
      </w:r>
      <w:r>
        <w:t xml:space="preserve"> die Artikelnummer oder die Bezeichnung ein. Ist die Eingabe nicht eindeutig, wählen Sie den Artikel in </w:t>
      </w:r>
      <w:r>
        <w:rPr>
          <w:b/>
        </w:rPr>
        <w:t>LM037 Artikel wählen</w:t>
      </w:r>
      <w:r>
        <w:t xml:space="preserve"> und tippen auf </w:t>
      </w:r>
      <w:r>
        <w:rPr>
          <w:b/>
        </w:rPr>
        <w:t>Bestätigen</w:t>
      </w:r>
      <w:r>
        <w:t>.</w:t>
      </w:r>
    </w:p>
    <w:p>
      <w:pPr>
        <w:tabs>
          <w:tab w:pos="425" w:val="left"/>
        </w:tabs>
        <w:spacing w:after="60"/>
        <w:ind w:left="425" w:hanging="425"/>
      </w:pPr>
      <w:r>
        <w:rPr>
          <w:b/>
        </w:rPr>
        <w:t>3.</w:t>
        <w:tab/>
      </w:r>
      <w:r>
        <w:t xml:space="preserve">Tippen Sie auf das Icon </w:t>
      </w:r>
      <w:r>
        <w:rPr>
          <w:b/>
        </w:rPr>
        <w:t>Suche</w:t>
      </w:r>
      <w:r>
        <w:t>.</w:t>
      </w:r>
    </w:p>
    <w:p>
      <w:pPr>
        <w:tabs>
          <w:tab w:pos="425" w:val="left"/>
        </w:tabs>
        <w:spacing w:after="60"/>
        <w:ind w:left="425" w:hanging="425"/>
      </w:pPr>
      <w:r>
        <w:rPr>
          <w:b/>
        </w:rPr>
        <w:t>4.</w:t>
        <w:tab/>
      </w:r>
      <w:r>
        <w:t>Wählen Sie die gewünschte Tablarzeile aus.</w:t>
      </w:r>
    </w:p>
    <w:p>
      <w:pPr>
        <w:tabs>
          <w:tab w:pos="425" w:val="left"/>
        </w:tabs>
        <w:spacing w:after="60"/>
        <w:ind w:left="425" w:hanging="425"/>
      </w:pPr>
      <w:r>
        <w:rPr>
          <w:b/>
        </w:rPr>
        <w:t>5.</w:t>
        <w:tab/>
      </w:r>
      <w:r>
        <w:t>Tippen Sie auf</w:t>
      </w:r>
    </w:p>
    <w:p>
      <w:pPr>
        <w:pStyle w:val="ListBullet2"/>
      </w:pPr>
      <w:r>
        <w:rPr>
          <w:b/>
        </w:rPr>
        <w:t>Tablar anfordern</w:t>
      </w:r>
      <w:r>
        <w:t>, um das Tablar sofort anzufordern und freizugeben, oder</w:t>
      </w:r>
    </w:p>
    <w:p>
      <w:pPr>
        <w:pStyle w:val="ListBullet2"/>
      </w:pPr>
      <w:r>
        <w:rPr>
          <w:b/>
        </w:rPr>
        <w:t>Tablar anfordern und neue Anforderung</w:t>
      </w:r>
      <w:r>
        <w:t>, um weitere Tablare anzufordern.</w:t>
      </w:r>
    </w:p>
    <w:p>
      <w:r>
        <w:t xml:space="preserve">Ergebnis: Bei </w:t>
      </w:r>
      <w:r>
        <w:rPr>
          <w:b/>
        </w:rPr>
        <w:t>Tablar anfordern</w:t>
      </w:r>
      <w:r>
        <w:t xml:space="preserve"> öffnet sich </w:t>
      </w:r>
      <w:r>
        <w:rPr>
          <w:b/>
        </w:rPr>
        <w:t>LM002 Ausführen von Tablarvorgängen</w:t>
      </w:r>
      <w:r>
        <w:t>. Das Tablar fährt zur Zugriffsöffnung, sobald kein anderes Tablar mit höherer Priorität ansteht. Passende Boxen werden hervorgehoben. Ist eine Artikel-zu-Box-Zuordnung vorhanden, wird beim Antippen der Box das Prozess-Icon automatisch aktiviert.</w:t>
      </w:r>
    </w:p>
    <w:p>
      <w:pPr>
        <w:keepNext/>
      </w:pPr>
      <w:r>
        <w:drawing>
          <wp:inline xmlns:a="http://schemas.openxmlformats.org/drawingml/2006/main" xmlns:pic="http://schemas.openxmlformats.org/drawingml/2006/picture">
            <wp:extent cx="5400000" cy="3037500"/>
            <wp:docPr id="106" name="Picture 106"/>
            <wp:cNvGraphicFramePr>
              <a:graphicFrameLocks noChangeAspect="1"/>
            </wp:cNvGraphicFramePr>
            <a:graphic>
              <a:graphicData uri="http://schemas.openxmlformats.org/drawingml/2006/picture">
                <pic:pic>
                  <pic:nvPicPr>
                    <pic:cNvPr id="0" name="lm040_suche.png"/>
                    <pic:cNvPicPr/>
                  </pic:nvPicPr>
                  <pic:blipFill>
                    <a:blip r:embed="rId16"/>
                    <a:stretch>
                      <a:fillRect/>
                    </a:stretch>
                  </pic:blipFill>
                  <pic:spPr>
                    <a:xfrm>
                      <a:off x="0" y="0"/>
                      <a:ext cx="5400000" cy="3037500"/>
                    </a:xfrm>
                    <a:prstGeom prst="rect"/>
                  </pic:spPr>
                </pic:pic>
              </a:graphicData>
            </a:graphic>
          </wp:inline>
        </w:drawing>
      </w:r>
    </w:p>
    <w:p>
      <w:pPr>
        <w:pStyle w:val="BeschriftungSSI"/>
      </w:pPr>
      <w:r>
        <w:t>Abb. 3: Touch-Client – LM040 Übersicht Tablare, Suche nach Artikel (Quelle: SSI Sales-Tool)</w:t>
      </w:r>
    </w:p>
    <w:p>
      <w:pPr>
        <w:keepNext/>
      </w:pPr>
      <w:r>
        <w:drawing>
          <wp:inline xmlns:a="http://schemas.openxmlformats.org/drawingml/2006/main" xmlns:pic="http://schemas.openxmlformats.org/drawingml/2006/picture">
            <wp:extent cx="5400000" cy="3037500"/>
            <wp:docPr id="107" name="Picture 107"/>
            <wp:cNvGraphicFramePr>
              <a:graphicFrameLocks noChangeAspect="1"/>
            </wp:cNvGraphicFramePr>
            <a:graphic>
              <a:graphicData uri="http://schemas.openxmlformats.org/drawingml/2006/picture">
                <pic:pic>
                  <pic:nvPicPr>
                    <pic:cNvPr id="0" name="lm040_ergebnis.png"/>
                    <pic:cNvPicPr/>
                  </pic:nvPicPr>
                  <pic:blipFill>
                    <a:blip r:embed="rId17"/>
                    <a:stretch>
                      <a:fillRect/>
                    </a:stretch>
                  </pic:blipFill>
                  <pic:spPr>
                    <a:xfrm>
                      <a:off x="0" y="0"/>
                      <a:ext cx="5400000" cy="3037500"/>
                    </a:xfrm>
                    <a:prstGeom prst="rect"/>
                  </pic:spPr>
                </pic:pic>
              </a:graphicData>
            </a:graphic>
          </wp:inline>
        </w:drawing>
      </w:r>
    </w:p>
    <w:p>
      <w:pPr>
        <w:pStyle w:val="BeschriftungSSI"/>
      </w:pPr>
      <w:r>
        <w:t>Abb. 4: Touch-Client – LM040 Suchergebnis mit Tablarzeilen (Quelle: SSI Sales-Tool)</w:t>
      </w:r>
    </w:p>
    <w:p>
      <w:pPr>
        <w:pStyle w:val="Quelle"/>
      </w:pPr>
      <w:r>
        <w:rPr>
          <w:b/>
        </w:rPr>
        <w:t xml:space="preserve">Quelle: </w:t>
      </w:r>
      <w:r>
        <w:rPr>
          <w:sz w:val="17"/>
        </w:rPr>
        <w:t>Benutzerhandbuch 2.7, Kap. 6.1.1.1 (S. 77–78)</w:t>
      </w:r>
    </w:p>
    <w:p>
      <w:pPr>
        <w:pStyle w:val="Heading2"/>
      </w:pPr>
      <w:r>
        <w:t>4.2 Tablar nach Tablarnummer anfordern</w:t>
      </w:r>
    </w:p>
    <w:p>
      <w:pPr>
        <w:tabs>
          <w:tab w:pos="425" w:val="left"/>
        </w:tabs>
        <w:spacing w:after="60"/>
        <w:ind w:left="425" w:hanging="425"/>
      </w:pPr>
      <w:r>
        <w:rPr>
          <w:b/>
        </w:rPr>
        <w:t>1.</w:t>
        <w:tab/>
      </w:r>
      <w:r>
        <w:t xml:space="preserve">In </w:t>
      </w:r>
      <w:r>
        <w:rPr>
          <w:b/>
        </w:rPr>
        <w:t>LM040</w:t>
      </w:r>
      <w:r>
        <w:t xml:space="preserve">, Registerkarte </w:t>
      </w:r>
      <w:r>
        <w:rPr>
          <w:b/>
        </w:rPr>
        <w:t>Übersicht Tablare</w:t>
      </w:r>
      <w:r>
        <w:t xml:space="preserve">, die Tablar-ID im Feld </w:t>
      </w:r>
      <w:r>
        <w:rPr>
          <w:b/>
        </w:rPr>
        <w:t>Tablar</w:t>
      </w:r>
      <w:r>
        <w:t xml:space="preserve"> eingeben.</w:t>
      </w:r>
    </w:p>
    <w:p>
      <w:pPr>
        <w:tabs>
          <w:tab w:pos="425" w:val="left"/>
        </w:tabs>
        <w:spacing w:after="60"/>
        <w:ind w:left="425" w:hanging="425"/>
      </w:pPr>
      <w:r>
        <w:rPr>
          <w:b/>
        </w:rPr>
        <w:t>2.</w:t>
        <w:tab/>
      </w:r>
      <w:r>
        <w:rPr>
          <w:b/>
        </w:rPr>
        <w:t>Tablar anfordern</w:t>
      </w:r>
      <w:r>
        <w:t xml:space="preserve"> oder </w:t>
      </w:r>
      <w:r>
        <w:rPr>
          <w:b/>
        </w:rPr>
        <w:t>Tablar anfordern und neue Anforderung</w:t>
      </w:r>
      <w:r>
        <w:t xml:space="preserve"> antippen.</w:t>
      </w:r>
    </w:p>
    <w:p>
      <w:r>
        <w:t>Dieser Weg eignet sich, wenn Sie wissen, auf welchem Tablar die Ware liegt, oder wenn Sie ein leeres Tablar für eine Einlagerung holen möchten.</w:t>
      </w:r>
    </w:p>
    <w:p>
      <w:pPr>
        <w:pStyle w:val="Quelle"/>
      </w:pPr>
      <w:r>
        <w:rPr>
          <w:b/>
        </w:rPr>
        <w:t xml:space="preserve">Quelle: </w:t>
      </w:r>
      <w:r>
        <w:rPr>
          <w:sz w:val="17"/>
        </w:rPr>
        <w:t>Benutzerhandbuch 2.7, Kap. 6.1.1.2 (S. 78–79)</w:t>
      </w:r>
    </w:p>
    <w:p>
      <w:pPr>
        <w:pStyle w:val="Heading2"/>
      </w:pPr>
      <w:r>
        <w:t>4.3 Tablar aus einem anderen SSI LOGIMAT anfordern</w:t>
      </w:r>
    </w:p>
    <w:p>
      <w:pPr>
        <w:tabs>
          <w:tab w:pos="425" w:val="left"/>
        </w:tabs>
        <w:spacing w:after="60"/>
        <w:ind w:left="425" w:hanging="425"/>
      </w:pPr>
      <w:r>
        <w:rPr>
          <w:b/>
        </w:rPr>
        <w:t>1.</w:t>
        <w:tab/>
      </w:r>
      <w:r>
        <w:t xml:space="preserve">In </w:t>
      </w:r>
      <w:r>
        <w:rPr>
          <w:b/>
        </w:rPr>
        <w:t>LM040</w:t>
      </w:r>
      <w:r>
        <w:t xml:space="preserve"> das Icon </w:t>
      </w:r>
      <w:r>
        <w:rPr>
          <w:b/>
        </w:rPr>
        <w:t>Erweitert</w:t>
      </w:r>
      <w:r>
        <w:t xml:space="preserve"> antippen.</w:t>
      </w:r>
    </w:p>
    <w:p>
      <w:pPr>
        <w:tabs>
          <w:tab w:pos="425" w:val="left"/>
        </w:tabs>
        <w:spacing w:after="60"/>
        <w:ind w:left="425" w:hanging="425"/>
      </w:pPr>
      <w:r>
        <w:rPr>
          <w:b/>
        </w:rPr>
        <w:t>2.</w:t>
        <w:tab/>
      </w:r>
      <w:r>
        <w:t xml:space="preserve">Im Feld </w:t>
      </w:r>
      <w:r>
        <w:rPr>
          <w:b/>
        </w:rPr>
        <w:t>Suchmodus</w:t>
      </w:r>
      <w:r>
        <w:t xml:space="preserve"> wählen: </w:t>
      </w:r>
      <w:r>
        <w:rPr>
          <w:b/>
        </w:rPr>
        <w:t>Aktueller SSI LOGIMAT</w:t>
      </w:r>
      <w:r>
        <w:t xml:space="preserve">, </w:t>
      </w:r>
      <w:r>
        <w:rPr>
          <w:b/>
        </w:rPr>
        <w:t>Aktuelle Zone</w:t>
      </w:r>
      <w:r>
        <w:t xml:space="preserve"> (alle Lifte der Zone) oder </w:t>
      </w:r>
      <w:r>
        <w:rPr>
          <w:b/>
        </w:rPr>
        <w:t>Alle Zonen</w:t>
      </w:r>
      <w:r>
        <w:t>.</w:t>
      </w:r>
    </w:p>
    <w:p>
      <w:pPr>
        <w:tabs>
          <w:tab w:pos="425" w:val="left"/>
        </w:tabs>
        <w:spacing w:after="60"/>
        <w:ind w:left="425" w:hanging="425"/>
      </w:pPr>
      <w:r>
        <w:rPr>
          <w:b/>
        </w:rPr>
        <w:t>3.</w:t>
        <w:tab/>
      </w:r>
      <w:r>
        <w:t xml:space="preserve">Vorgang (Einlagern, Kommissionieren, Inventur) wählen, Tablar-ID oder Artikel eingeben, </w:t>
      </w:r>
      <w:r>
        <w:rPr>
          <w:b/>
        </w:rPr>
        <w:t>Suche</w:t>
      </w:r>
      <w:r>
        <w:t>.</w:t>
      </w:r>
    </w:p>
    <w:p>
      <w:pPr>
        <w:tabs>
          <w:tab w:pos="425" w:val="left"/>
        </w:tabs>
        <w:spacing w:after="60"/>
        <w:ind w:left="425" w:hanging="425"/>
      </w:pPr>
      <w:r>
        <w:rPr>
          <w:b/>
        </w:rPr>
        <w:t>4.</w:t>
        <w:tab/>
      </w:r>
      <w:r>
        <w:t xml:space="preserve">Zeile wählen und </w:t>
      </w:r>
      <w:r>
        <w:rPr>
          <w:b/>
        </w:rPr>
        <w:t>Tablar anfordern</w:t>
      </w:r>
      <w:r>
        <w:t xml:space="preserve"> bzw. </w:t>
      </w:r>
      <w:r>
        <w:rPr>
          <w:b/>
        </w:rPr>
        <w:t>Tablar anfordern und neue Anforderung</w:t>
      </w:r>
      <w:r>
        <w:t xml:space="preserve"> antippen.</w:t>
      </w:r>
    </w:p>
    <w:p>
      <w:pPr>
        <w:pStyle w:val="Quelle"/>
      </w:pPr>
      <w:r>
        <w:rPr>
          <w:b/>
        </w:rPr>
        <w:t xml:space="preserve">Quelle: </w:t>
      </w:r>
      <w:r>
        <w:rPr>
          <w:sz w:val="17"/>
        </w:rPr>
        <w:t>Benutzerhandbuch 2.7, Kap. 6.1.1.3 (S. 79–81)</w:t>
      </w:r>
    </w:p>
    <w:p>
      <w:pPr>
        <w:pStyle w:val="Heading2"/>
      </w:pPr>
      <w:r>
        <w:t>4.4 Mehrere Tablare vormerken</w:t>
      </w:r>
    </w:p>
    <w:p>
      <w:r>
        <w:t xml:space="preserve">Mit </w:t>
      </w:r>
      <w:r>
        <w:rPr>
          <w:b/>
        </w:rPr>
        <w:t>Tablar anfordern und neue Anforderung</w:t>
      </w:r>
      <w:r>
        <w:t xml:space="preserve"> bleibt </w:t>
      </w:r>
      <w:r>
        <w:rPr>
          <w:b/>
        </w:rPr>
        <w:t>LM040</w:t>
      </w:r>
      <w:r>
        <w:t xml:space="preserve"> geöffnet. Die vorgemerkten Anforderungen erscheinen auf der Registerkarte </w:t>
      </w:r>
      <w:r>
        <w:rPr>
          <w:b/>
        </w:rPr>
        <w:t>Übersicht Aufträge</w:t>
      </w:r>
      <w:r>
        <w:t xml:space="preserve"> und werden dort später freigegeben. So können Sie z. B. alle Tablare für eine Sammelentnahme nacheinander anfahren lassen.</w:t>
      </w:r>
    </w:p>
    <w:p>
      <w:pPr>
        <w:pStyle w:val="Quelle"/>
      </w:pPr>
      <w:r>
        <w:rPr>
          <w:b/>
        </w:rPr>
        <w:t xml:space="preserve">Quelle: </w:t>
      </w:r>
      <w:r>
        <w:rPr>
          <w:sz w:val="17"/>
        </w:rPr>
        <w:t>Benutzerhandbuch 2.7, Kap. 6.1.1.1–6.1.1.2 (S. 77–79)</w:t>
      </w:r>
    </w:p>
    <w:p>
      <w:pPr>
        <w:pStyle w:val="Heading2"/>
      </w:pPr>
      <w:r>
        <w:t>4.5 Tablar an eine andere Zugriffsöffnung senden</w:t>
      </w:r>
    </w:p>
    <w:p>
      <w:r>
        <w:t>Voraussetzung: Ein Tablar steht in der Zugriffsöffnung.</w:t>
      </w:r>
    </w:p>
    <w:p>
      <w:pPr>
        <w:tabs>
          <w:tab w:pos="425" w:val="left"/>
        </w:tabs>
        <w:spacing w:after="60"/>
        <w:ind w:left="425" w:hanging="425"/>
      </w:pPr>
      <w:r>
        <w:rPr>
          <w:b/>
        </w:rPr>
        <w:t>1.</w:t>
        <w:tab/>
      </w:r>
      <w:r>
        <w:t xml:space="preserve">Icon </w:t>
      </w:r>
      <w:r>
        <w:rPr>
          <w:b/>
        </w:rPr>
        <w:t>Tablar senden</w:t>
      </w:r>
      <w:r>
        <w:t xml:space="preserve"> antippen. </w:t>
      </w:r>
      <w:r>
        <w:rPr>
          <w:b/>
        </w:rPr>
        <w:t>LM101 Zugriffsöffnung auswählen</w:t>
      </w:r>
      <w:r>
        <w:t xml:space="preserve"> öffnet sich.</w:t>
      </w:r>
    </w:p>
    <w:p>
      <w:pPr>
        <w:tabs>
          <w:tab w:pos="425" w:val="left"/>
        </w:tabs>
        <w:spacing w:after="60"/>
        <w:ind w:left="425" w:hanging="425"/>
      </w:pPr>
      <w:r>
        <w:rPr>
          <w:b/>
        </w:rPr>
        <w:t>2.</w:t>
        <w:tab/>
      </w:r>
      <w:r>
        <w:t xml:space="preserve">Im Feld </w:t>
      </w:r>
      <w:r>
        <w:rPr>
          <w:b/>
        </w:rPr>
        <w:t>Verfügbare Zugriffsöffnungen</w:t>
      </w:r>
      <w:r>
        <w:t xml:space="preserve"> die Ziel-Öffnung wählen und </w:t>
      </w:r>
      <w:r>
        <w:rPr>
          <w:b/>
        </w:rPr>
        <w:t>OK</w:t>
      </w:r>
      <w:r>
        <w:t xml:space="preserve"> antippen.</w:t>
      </w:r>
    </w:p>
    <w:p>
      <w:r>
        <w:t>Ist die Ziel-Öffnung belegt, wird das Tablar zwischengelagert und später zugestellt. Nicht möglich, wenn die Zugriffsöffnung oder der SSI LOGIMAT gesperrt ist.</w:t>
      </w:r>
    </w:p>
    <w:p>
      <w:pPr>
        <w:pStyle w:val="Quelle"/>
      </w:pPr>
      <w:r>
        <w:rPr>
          <w:b/>
        </w:rPr>
        <w:t xml:space="preserve">Quelle: </w:t>
      </w:r>
      <w:r>
        <w:rPr>
          <w:sz w:val="17"/>
        </w:rPr>
        <w:t>Benutzerhandbuch 2.7, Kap. 6.1.3 (S. 81–82)</w:t>
      </w:r>
    </w:p>
    <w:p>
      <w:pPr>
        <w:pStyle w:val="Heading2"/>
      </w:pPr>
      <w:r>
        <w:t>4.6 Tablar zurückschicken</w:t>
      </w:r>
    </w:p>
    <w:p>
      <w:pPr>
        <w:tabs>
          <w:tab w:pos="425" w:val="left"/>
        </w:tabs>
        <w:spacing w:after="60"/>
        <w:ind w:left="425" w:hanging="425"/>
      </w:pPr>
      <w:r>
        <w:rPr>
          <w:b/>
        </w:rPr>
        <w:t>1.</w:t>
        <w:tab/>
      </w:r>
      <w:r>
        <w:t xml:space="preserve">In </w:t>
      </w:r>
      <w:r>
        <w:rPr>
          <w:b/>
        </w:rPr>
        <w:t>LM002</w:t>
      </w:r>
      <w:r>
        <w:t xml:space="preserve"> das Icon </w:t>
      </w:r>
      <w:r>
        <w:rPr>
          <w:b/>
        </w:rPr>
        <w:t>Tablar retournieren</w:t>
      </w:r>
      <w:r>
        <w:t xml:space="preserve"> antippen.</w:t>
      </w:r>
    </w:p>
    <w:p>
      <w:pPr>
        <w:tabs>
          <w:tab w:pos="425" w:val="left"/>
        </w:tabs>
        <w:spacing w:after="60"/>
        <w:ind w:left="425" w:hanging="425"/>
      </w:pPr>
      <w:r>
        <w:rPr>
          <w:b/>
        </w:rPr>
        <w:t>2.</w:t>
        <w:tab/>
      </w:r>
      <w:r>
        <w:t xml:space="preserve">Wenn weitere Tablaranforderungen ausstehen, öffnet sich </w:t>
      </w:r>
      <w:r>
        <w:rPr>
          <w:b/>
        </w:rPr>
        <w:t>Tablarvorgänge</w:t>
      </w:r>
      <w:r>
        <w:t xml:space="preserve">: </w:t>
      </w:r>
      <w:r>
        <w:rPr>
          <w:b/>
        </w:rPr>
        <w:t>Tablar retournieren</w:t>
      </w:r>
      <w:r>
        <w:t xml:space="preserve"> bestätigt die Rückfahrt, </w:t>
      </w:r>
      <w:r>
        <w:rPr>
          <w:b/>
        </w:rPr>
        <w:t>Stornieren</w:t>
      </w:r>
      <w:r>
        <w:t xml:space="preserve"> bricht die Rückfahrt ab und Sie arbeiten mit den Anforderungen weiter.</w:t>
      </w:r>
    </w:p>
    <w:p>
      <w:r>
        <w:t>Das Tablar kann unabhängig vom Auftragsstatus zurückgeschickt werden. Stehen weitere Anforderungen an, fährt das nächste Tablar vor.</w:t>
      </w:r>
    </w:p>
    <w:p>
      <w:pPr>
        <w:pStyle w:val="Quelle"/>
      </w:pPr>
      <w:r>
        <w:rPr>
          <w:b/>
        </w:rPr>
        <w:t xml:space="preserve">Quelle: </w:t>
      </w:r>
      <w:r>
        <w:rPr>
          <w:sz w:val="17"/>
        </w:rPr>
        <w:t>Benutzerhandbuch 2.7, Kap. 6.1.2 (S. 81)</w:t>
      </w:r>
    </w:p>
    <w:p>
      <w:pPr>
        <w:pStyle w:val="Heading2"/>
      </w:pPr>
      <w:r>
        <w:t>4.7 Tablare verwalten</w:t>
      </w:r>
    </w:p>
    <w:p>
      <w:r>
        <w:t xml:space="preserve">Im Touch-Client unter </w:t>
      </w:r>
      <w:r>
        <w:rPr>
          <w:b/>
        </w:rPr>
        <w:t>Tools</w:t>
      </w:r>
      <w:r>
        <w:t xml:space="preserve"> → </w:t>
      </w:r>
      <w:r>
        <w:rPr>
          <w:b/>
        </w:rPr>
        <w:t>LM034 Tablar verwalten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2"/>
        <w:gridCol w:w="3941"/>
        <w:gridCol w:w="3941"/>
      </w:tblGrid>
      <w:tr>
        <w:trPr>
          <w:tblHeader w:val="true"/>
        </w:trPr>
        <w:tc>
          <w:tcPr>
            <w:tcW w:type="dxa" w:w="1642"/>
            <w:shd w:val="clear" w:color="auto" w:fill="FEEE19"/>
          </w:tcPr>
          <w:p>
            <w:pPr>
              <w:spacing w:after="0"/>
            </w:pPr>
            <w:r>
              <w:rPr>
                <w:b/>
                <w:sz w:val="17"/>
              </w:rPr>
              <w:t>Aktion</w:t>
            </w:r>
          </w:p>
        </w:tc>
        <w:tc>
          <w:tcPr>
            <w:tcW w:type="dxa" w:w="3941"/>
            <w:shd w:val="clear" w:color="auto" w:fill="FEEE19"/>
          </w:tcPr>
          <w:p>
            <w:pPr>
              <w:spacing w:after="0"/>
            </w:pPr>
            <w:r>
              <w:rPr>
                <w:b/>
                <w:sz w:val="17"/>
              </w:rPr>
              <w:t>Voraussetzungen</w:t>
            </w:r>
          </w:p>
        </w:tc>
        <w:tc>
          <w:tcPr>
            <w:tcW w:type="dxa" w:w="3941"/>
            <w:shd w:val="clear" w:color="auto" w:fill="FEEE19"/>
          </w:tcPr>
          <w:p>
            <w:pPr>
              <w:spacing w:after="0"/>
            </w:pPr>
            <w:r>
              <w:rPr>
                <w:b/>
                <w:sz w:val="17"/>
              </w:rPr>
              <w:t>Wirkung</w:t>
            </w:r>
          </w:p>
        </w:tc>
      </w:tr>
      <w:tr>
        <w:tc>
          <w:tcPr>
            <w:tcW w:type="dxa" w:w="1642"/>
          </w:tcPr>
          <w:p>
            <w:pPr>
              <w:spacing w:after="0" w:line="252" w:lineRule="auto"/>
            </w:pPr>
            <w:r>
              <w:rPr>
                <w:b/>
                <w:sz w:val="17"/>
              </w:rPr>
              <w:t>Tablar installieren</w:t>
            </w:r>
          </w:p>
        </w:tc>
        <w:tc>
          <w:tcPr>
            <w:tcW w:type="dxa" w:w="3941"/>
          </w:tcPr>
          <w:p>
            <w:pPr>
              <w:spacing w:after="0" w:line="252" w:lineRule="auto"/>
            </w:pPr>
            <w:r>
              <w:rPr>
                <w:sz w:val="17"/>
              </w:rPr>
              <w:t>Zugriffsöffnung leer, kein Auftrag offen</w:t>
            </w:r>
          </w:p>
        </w:tc>
        <w:tc>
          <w:tcPr>
            <w:tcW w:type="dxa" w:w="3941"/>
          </w:tcPr>
          <w:p>
            <w:pPr>
              <w:spacing w:after="0" w:line="252" w:lineRule="auto"/>
            </w:pPr>
            <w:r>
              <w:rPr>
                <w:sz w:val="17"/>
              </w:rPr>
              <w:t>Neues Tablar per Barcode erfassen und an die Steuerung melden</w:t>
            </w:r>
          </w:p>
        </w:tc>
      </w:tr>
      <w:tr>
        <w:tc>
          <w:tcPr>
            <w:tcW w:type="dxa" w:w="1642"/>
          </w:tcPr>
          <w:p>
            <w:pPr>
              <w:spacing w:after="0" w:line="252" w:lineRule="auto"/>
            </w:pPr>
            <w:r>
              <w:rPr>
                <w:b/>
                <w:sz w:val="17"/>
              </w:rPr>
              <w:t>Tablar entfernen</w:t>
            </w:r>
          </w:p>
        </w:tc>
        <w:tc>
          <w:tcPr>
            <w:tcW w:type="dxa" w:w="3941"/>
          </w:tcPr>
          <w:p>
            <w:pPr>
              <w:spacing w:after="0" w:line="252" w:lineRule="auto"/>
            </w:pPr>
            <w:r>
              <w:rPr>
                <w:sz w:val="17"/>
              </w:rPr>
              <w:t>Tablar in der Öffnung, keine Aufträge, kein Bestand, keine Sperre oder Einschränkung</w:t>
            </w:r>
          </w:p>
        </w:tc>
        <w:tc>
          <w:tcPr>
            <w:tcW w:type="dxa" w:w="3941"/>
          </w:tcPr>
          <w:p>
            <w:pPr>
              <w:spacing w:after="0" w:line="252" w:lineRule="auto"/>
            </w:pPr>
            <w:r>
              <w:rPr>
                <w:sz w:val="17"/>
              </w:rPr>
              <w:t>Tablar vorübergehend entnommen, Daten bleiben erhalten</w:t>
            </w:r>
          </w:p>
        </w:tc>
      </w:tr>
      <w:tr>
        <w:tc>
          <w:tcPr>
            <w:tcW w:type="dxa" w:w="1642"/>
          </w:tcPr>
          <w:p>
            <w:pPr>
              <w:spacing w:after="0" w:line="252" w:lineRule="auto"/>
            </w:pPr>
            <w:r>
              <w:rPr>
                <w:b/>
                <w:sz w:val="17"/>
              </w:rPr>
              <w:t>Tablar deinstallieren</w:t>
            </w:r>
          </w:p>
        </w:tc>
        <w:tc>
          <w:tcPr>
            <w:tcW w:type="dxa" w:w="3941"/>
          </w:tcPr>
          <w:p>
            <w:pPr>
              <w:spacing w:after="0" w:line="252" w:lineRule="auto"/>
            </w:pPr>
            <w:r>
              <w:rPr>
                <w:sz w:val="17"/>
              </w:rPr>
              <w:t>wie bei „entfernen“</w:t>
            </w:r>
          </w:p>
        </w:tc>
        <w:tc>
          <w:tcPr>
            <w:tcW w:type="dxa" w:w="3941"/>
          </w:tcPr>
          <w:p>
            <w:pPr>
              <w:spacing w:after="0" w:line="252" w:lineRule="auto"/>
            </w:pPr>
            <w:r>
              <w:rPr>
                <w:sz w:val="17"/>
              </w:rPr>
              <w:t>Tablar dauerhaft entfernt, Daten werden gelöscht</w:t>
            </w:r>
          </w:p>
        </w:tc>
      </w:tr>
    </w:tbl>
    <w:p>
      <w:pPr>
        <w:pStyle w:val="BeschriftungSSI"/>
      </w:pPr>
      <w:r>
        <w:t>Tab. 9: Tablarverwaltung</w:t>
      </w:r>
    </w:p>
    <w:p>
      <w:pPr>
        <w:pStyle w:val="Quelle"/>
      </w:pPr>
      <w:r>
        <w:rPr>
          <w:b/>
        </w:rPr>
        <w:t xml:space="preserve">Quelle: </w:t>
      </w:r>
      <w:r>
        <w:rPr>
          <w:sz w:val="17"/>
        </w:rPr>
        <w:t>Benutzerhandbuch 2.7, Kap. 6.5 (S. 143–147)</w:t>
      </w:r>
    </w:p>
    <w:p>
      <w:pPr>
        <w:pStyle w:val="Heading1"/>
      </w:pPr>
      <w:r>
        <w:t>5 Spontan einlagern</w:t>
      </w:r>
    </w:p>
    <w:p>
      <w:pPr>
        <w:pStyle w:val="Heading2"/>
      </w:pPr>
      <w:r>
        <w:t>5.1 Ware in eine zugeordnete Box einlagern</w:t>
      </w:r>
    </w:p>
    <w:p>
      <w:r>
        <w:t xml:space="preserve">Voraussetzung: </w:t>
      </w:r>
      <w:r>
        <w:rPr>
          <w:b/>
        </w:rPr>
        <w:t>LM002</w:t>
      </w:r>
      <w:r>
        <w:t xml:space="preserve"> ist geöffnet, ein Tablar steht in der Zugriffsöffnung, auf dem Tablar ist ausreichend Platz.</w:t>
      </w:r>
    </w:p>
    <w:p>
      <w:pPr>
        <w:tabs>
          <w:tab w:pos="425" w:val="left"/>
        </w:tabs>
        <w:spacing w:after="60"/>
        <w:ind w:left="425" w:hanging="425"/>
      </w:pPr>
      <w:r>
        <w:rPr>
          <w:b/>
        </w:rPr>
        <w:t>1.</w:t>
        <w:tab/>
      </w:r>
      <w:r>
        <w:t>Box auswählen. Im Hauptbereich sehen Sie, welcher Artikel in welcher Menge bereits gelagert ist.</w:t>
      </w:r>
    </w:p>
    <w:p>
      <w:pPr>
        <w:tabs>
          <w:tab w:pos="425" w:val="left"/>
        </w:tabs>
        <w:spacing w:after="60"/>
        <w:ind w:left="425" w:hanging="425"/>
      </w:pPr>
      <w:r>
        <w:rPr>
          <w:b/>
        </w:rPr>
        <w:t>2.</w:t>
        <w:tab/>
      </w:r>
      <w:r>
        <w:t xml:space="preserve">Icon </w:t>
      </w:r>
      <w:r>
        <w:rPr>
          <w:b/>
        </w:rPr>
        <w:t>Ware lagern</w:t>
      </w:r>
      <w:r>
        <w:t xml:space="preserve"> antippen. Der Eingabebereich wird aktiv.</w:t>
      </w:r>
    </w:p>
    <w:p>
      <w:pPr>
        <w:tabs>
          <w:tab w:pos="425" w:val="left"/>
        </w:tabs>
        <w:spacing w:after="60"/>
        <w:ind w:left="425" w:hanging="425"/>
      </w:pPr>
      <w:r>
        <w:rPr>
          <w:b/>
        </w:rPr>
        <w:t>3.</w:t>
        <w:tab/>
      </w:r>
      <w:r>
        <w:t xml:space="preserve">Im Feld </w:t>
      </w:r>
      <w:r>
        <w:rPr>
          <w:b/>
        </w:rPr>
        <w:t>Menge</w:t>
      </w:r>
      <w:r>
        <w:t xml:space="preserve"> die Menge über </w:t>
      </w:r>
      <w:r>
        <w:rPr>
          <w:b/>
        </w:rPr>
        <w:t>Plus (+)</w:t>
      </w:r>
      <w:r>
        <w:t>/</w:t>
      </w:r>
      <w:r>
        <w:rPr>
          <w:b/>
        </w:rPr>
        <w:t>Minus (−)</w:t>
      </w:r>
      <w:r>
        <w:t xml:space="preserve"> oder die Tastatur eingeben, ggf. die Mengeneinheit wählen. Füllgrad, Gewicht und Boxfarbe werden sofort aktualisiert.</w:t>
      </w:r>
    </w:p>
    <w:p>
      <w:pPr>
        <w:tabs>
          <w:tab w:pos="425" w:val="left"/>
        </w:tabs>
        <w:spacing w:after="60"/>
        <w:ind w:left="425" w:hanging="425"/>
      </w:pPr>
      <w:r>
        <w:rPr>
          <w:b/>
        </w:rPr>
        <w:t>4.</w:t>
        <w:tab/>
      </w:r>
      <w:r>
        <w:t>Pflichtattribute wie MHD oder Charge eingeben.</w:t>
      </w:r>
    </w:p>
    <w:p>
      <w:pPr>
        <w:tabs>
          <w:tab w:pos="425" w:val="left"/>
        </w:tabs>
        <w:spacing w:after="60"/>
        <w:ind w:left="425" w:hanging="425"/>
      </w:pPr>
      <w:r>
        <w:rPr>
          <w:b/>
        </w:rPr>
        <w:t>5.</w:t>
        <w:tab/>
      </w:r>
      <w:r>
        <w:rPr>
          <w:b/>
        </w:rPr>
        <w:t>OK</w:t>
      </w:r>
      <w:r>
        <w:t xml:space="preserve"> antippen.</w:t>
      </w:r>
    </w:p>
    <w:p>
      <w:pPr>
        <w:tabs>
          <w:tab w:pos="425" w:val="left"/>
        </w:tabs>
        <w:spacing w:after="60"/>
        <w:ind w:left="425" w:hanging="425"/>
      </w:pPr>
      <w:r>
        <w:rPr>
          <w:b/>
        </w:rPr>
        <w:t>6.</w:t>
        <w:tab/>
      </w:r>
      <w:r>
        <w:t xml:space="preserve">Wenn der Dialog </w:t>
      </w:r>
      <w:r>
        <w:rPr>
          <w:b/>
        </w:rPr>
        <w:t>LM101 Buchungsschlüssel auswählen</w:t>
      </w:r>
      <w:r>
        <w:t xml:space="preserve"> erscheint: Buchungsschlüssel wählen, im Feld </w:t>
      </w:r>
      <w:r>
        <w:rPr>
          <w:b/>
        </w:rPr>
        <w:t>Grund</w:t>
      </w:r>
      <w:r>
        <w:t xml:space="preserve"> den Grund eingeben, </w:t>
      </w:r>
      <w:r>
        <w:rPr>
          <w:b/>
        </w:rPr>
        <w:t>OK</w:t>
      </w:r>
      <w:r>
        <w:t>.</w:t>
      </w:r>
    </w:p>
    <w:p>
      <w:r>
        <w:t>Ergebnis: Die Menge ist eingelagert. Bei angebundenem Systempartner wird eine Bestandskorrekturmeldung gesendet. Typische Meldungen:</w:t>
      </w:r>
    </w:p>
    <w:p>
      <w:pPr>
        <w:pStyle w:val="ListBullet"/>
      </w:pPr>
      <w:r>
        <w:t xml:space="preserve">Zu wenig Platz in der Box: Fehlermeldung in der Statuszeile, </w:t>
      </w:r>
      <w:r>
        <w:rPr>
          <w:b/>
        </w:rPr>
        <w:t>OK</w:t>
      </w:r>
      <w:r>
        <w:t xml:space="preserve"> ist deaktiviert.</w:t>
      </w:r>
    </w:p>
    <w:p>
      <w:pPr>
        <w:pStyle w:val="ListBullet"/>
      </w:pPr>
      <w:r>
        <w:t>Box für andere Ware reserviert: WAMAS zeigt die Reservierung und die verbleibende freie Kapazität.</w:t>
      </w:r>
    </w:p>
    <w:p>
      <w:pPr>
        <w:pStyle w:val="ListBullet"/>
      </w:pPr>
      <w:r>
        <w:t xml:space="preserve">Überlast des Tablars: Mit </w:t>
      </w:r>
      <w:r>
        <w:rPr>
          <w:b/>
        </w:rPr>
        <w:t>Ja</w:t>
      </w:r>
      <w:r>
        <w:t xml:space="preserve"> bestätigen Sie trotzdem, mit </w:t>
      </w:r>
      <w:r>
        <w:rPr>
          <w:b/>
        </w:rPr>
        <w:t>Nein</w:t>
      </w:r>
      <w:r>
        <w:t xml:space="preserve"> korrigieren Sie die Eingabe.</w:t>
      </w:r>
    </w:p>
    <w:p>
      <w:pPr>
        <w:pStyle w:val="ListBullet"/>
      </w:pPr>
      <w:r>
        <w:t>Tablar oder Box wurden zwischenzeitlich eingeschränkt oder gesperrt: Fehlermeldung, die Einlagerung ist nicht möglich.</w:t>
      </w:r>
    </w:p>
    <w:p>
      <w:pPr>
        <w:keepNext/>
      </w:pPr>
      <w:r>
        <w:drawing>
          <wp:inline xmlns:a="http://schemas.openxmlformats.org/drawingml/2006/main" xmlns:pic="http://schemas.openxmlformats.org/drawingml/2006/picture">
            <wp:extent cx="5400000" cy="3037500"/>
            <wp:docPr id="108" name="Picture 108"/>
            <wp:cNvGraphicFramePr>
              <a:graphicFrameLocks noChangeAspect="1"/>
            </wp:cNvGraphicFramePr>
            <a:graphic>
              <a:graphicData uri="http://schemas.openxmlformats.org/drawingml/2006/picture">
                <pic:pic>
                  <pic:nvPicPr>
                    <pic:cNvPr id="0" name="lm002_einlagern_box.png"/>
                    <pic:cNvPicPr/>
                  </pic:nvPicPr>
                  <pic:blipFill>
                    <a:blip r:embed="rId18"/>
                    <a:stretch>
                      <a:fillRect/>
                    </a:stretch>
                  </pic:blipFill>
                  <pic:spPr>
                    <a:xfrm>
                      <a:off x="0" y="0"/>
                      <a:ext cx="5400000" cy="3037500"/>
                    </a:xfrm>
                    <a:prstGeom prst="rect"/>
                  </pic:spPr>
                </pic:pic>
              </a:graphicData>
            </a:graphic>
          </wp:inline>
        </w:drawing>
      </w:r>
    </w:p>
    <w:p>
      <w:pPr>
        <w:pStyle w:val="BeschriftungSSI"/>
      </w:pPr>
      <w:r>
        <w:t>Abb. 5: Touch-Client – Spontan einlagern: LM002 mit gewählter Box (Quelle: SSI Sales-Tool)</w:t>
      </w:r>
    </w:p>
    <w:p>
      <w:pPr>
        <w:keepNext/>
      </w:pPr>
      <w:r>
        <w:drawing>
          <wp:inline xmlns:a="http://schemas.openxmlformats.org/drawingml/2006/main" xmlns:pic="http://schemas.openxmlformats.org/drawingml/2006/picture">
            <wp:extent cx="5400000" cy="3037500"/>
            <wp:docPr id="109" name="Picture 109"/>
            <wp:cNvGraphicFramePr>
              <a:graphicFrameLocks noChangeAspect="1"/>
            </wp:cNvGraphicFramePr>
            <a:graphic>
              <a:graphicData uri="http://schemas.openxmlformats.org/drawingml/2006/picture">
                <pic:pic>
                  <pic:nvPicPr>
                    <pic:cNvPr id="0" name="lm002_einlagern_menge.png"/>
                    <pic:cNvPicPr/>
                  </pic:nvPicPr>
                  <pic:blipFill>
                    <a:blip r:embed="rId19"/>
                    <a:stretch>
                      <a:fillRect/>
                    </a:stretch>
                  </pic:blipFill>
                  <pic:spPr>
                    <a:xfrm>
                      <a:off x="0" y="0"/>
                      <a:ext cx="5400000" cy="3037500"/>
                    </a:xfrm>
                    <a:prstGeom prst="rect"/>
                  </pic:spPr>
                </pic:pic>
              </a:graphicData>
            </a:graphic>
          </wp:inline>
        </w:drawing>
      </w:r>
    </w:p>
    <w:p>
      <w:pPr>
        <w:pStyle w:val="BeschriftungSSI"/>
      </w:pPr>
      <w:r>
        <w:t>Abb. 6: Touch-Client – Spontan einlagern: Menge eingegeben, OK aktiv (Quelle: SSI Sales-Tool)</w:t>
      </w:r>
    </w:p>
    <w:p>
      <w:pPr>
        <w:pStyle w:val="Quelle"/>
      </w:pPr>
      <w:r>
        <w:rPr>
          <w:b/>
        </w:rPr>
        <w:t xml:space="preserve">Quelle: </w:t>
      </w:r>
      <w:r>
        <w:rPr>
          <w:sz w:val="17"/>
        </w:rPr>
        <w:t>Benutzerhandbuch 2.7, Kap. 6.1.4 (S. 82–83)</w:t>
      </w:r>
    </w:p>
    <w:p>
      <w:pPr>
        <w:pStyle w:val="Heading2"/>
      </w:pPr>
      <w:r>
        <w:t>5.2 Artikel ohne Box-Zuordnung einlagern</w:t>
      </w:r>
    </w:p>
    <w:p>
      <w:r>
        <w:rPr>
          <w:b/>
        </w:rPr>
        <w:t>Variante A – aus der Tablarsuche:</w:t>
      </w:r>
    </w:p>
    <w:p>
      <w:pPr>
        <w:tabs>
          <w:tab w:pos="425" w:val="left"/>
        </w:tabs>
        <w:spacing w:after="60"/>
        <w:ind w:left="425" w:hanging="425"/>
      </w:pPr>
      <w:r>
        <w:rPr>
          <w:b/>
        </w:rPr>
        <w:t>1.</w:t>
        <w:tab/>
      </w:r>
      <w:r>
        <w:t xml:space="preserve">In </w:t>
      </w:r>
      <w:r>
        <w:rPr>
          <w:b/>
        </w:rPr>
        <w:t>LM040</w:t>
      </w:r>
      <w:r>
        <w:t xml:space="preserve"> das Icon </w:t>
      </w:r>
      <w:r>
        <w:rPr>
          <w:b/>
        </w:rPr>
        <w:t>LAGERN</w:t>
      </w:r>
      <w:r>
        <w:t xml:space="preserve"> antippen und den Artikel suchen. </w:t>
      </w:r>
      <w:r>
        <w:rPr>
          <w:b/>
        </w:rPr>
        <w:t>LM012 Boxtypen zuordnen</w:t>
      </w:r>
      <w:r>
        <w:t xml:space="preserve"> öffnet sich.</w:t>
      </w:r>
    </w:p>
    <w:p>
      <w:pPr>
        <w:tabs>
          <w:tab w:pos="425" w:val="left"/>
        </w:tabs>
        <w:spacing w:after="60"/>
        <w:ind w:left="425" w:hanging="425"/>
      </w:pPr>
      <w:r>
        <w:rPr>
          <w:b/>
        </w:rPr>
        <w:t>2.</w:t>
        <w:tab/>
      </w:r>
      <w:r>
        <w:t xml:space="preserve">Boxtyp wählen und im Feld </w:t>
      </w:r>
      <w:r>
        <w:rPr>
          <w:b/>
        </w:rPr>
        <w:t>Max. Artikel in Box</w:t>
      </w:r>
      <w:r>
        <w:t xml:space="preserve"> die Menge angeben, die in die Box passt, oder </w:t>
      </w:r>
      <w:r>
        <w:rPr>
          <w:b/>
        </w:rPr>
        <w:t>Unbegrenzt</w:t>
      </w:r>
      <w:r>
        <w:t xml:space="preserve"> aktivieren.</w:t>
      </w:r>
    </w:p>
    <w:p>
      <w:pPr>
        <w:tabs>
          <w:tab w:pos="425" w:val="left"/>
        </w:tabs>
        <w:spacing w:after="60"/>
        <w:ind w:left="425" w:hanging="425"/>
      </w:pPr>
      <w:r>
        <w:rPr>
          <w:b/>
        </w:rPr>
        <w:t>3.</w:t>
        <w:tab/>
      </w:r>
      <w:r>
        <w:rPr>
          <w:b/>
        </w:rPr>
        <w:t>Speichern</w:t>
      </w:r>
      <w:r>
        <w:t xml:space="preserve">, dann </w:t>
      </w:r>
      <w:r>
        <w:rPr>
          <w:b/>
        </w:rPr>
        <w:t>Tablar anfordern</w:t>
      </w:r>
      <w:r>
        <w:t>. Weiter wie in Kapitel 5.1.</w:t>
      </w:r>
    </w:p>
    <w:p>
      <w:r>
        <w:rPr>
          <w:b/>
        </w:rPr>
        <w:t>Variante B – direkt am Tablar:</w:t>
      </w:r>
    </w:p>
    <w:p>
      <w:pPr>
        <w:tabs>
          <w:tab w:pos="425" w:val="left"/>
        </w:tabs>
        <w:spacing w:after="60"/>
        <w:ind w:left="425" w:hanging="425"/>
      </w:pPr>
      <w:r>
        <w:rPr>
          <w:b/>
        </w:rPr>
        <w:t>1.</w:t>
        <w:tab/>
      </w:r>
      <w:r>
        <w:t xml:space="preserve">In </w:t>
      </w:r>
      <w:r>
        <w:rPr>
          <w:b/>
        </w:rPr>
        <w:t>LM002</w:t>
      </w:r>
      <w:r>
        <w:t xml:space="preserve"> die Box wählen.</w:t>
      </w:r>
    </w:p>
    <w:p>
      <w:pPr>
        <w:tabs>
          <w:tab w:pos="425" w:val="left"/>
        </w:tabs>
        <w:spacing w:after="60"/>
        <w:ind w:left="425" w:hanging="425"/>
      </w:pPr>
      <w:r>
        <w:rPr>
          <w:b/>
        </w:rPr>
        <w:t>2.</w:t>
        <w:tab/>
      </w:r>
      <w:r>
        <w:t xml:space="preserve">Artikel im Feld </w:t>
      </w:r>
      <w:r>
        <w:rPr>
          <w:b/>
        </w:rPr>
        <w:t>Artikel</w:t>
      </w:r>
      <w:r>
        <w:t xml:space="preserve"> suchen (oder </w:t>
      </w:r>
      <w:r>
        <w:rPr>
          <w:b/>
        </w:rPr>
        <w:t>Suche</w:t>
      </w:r>
      <w:r>
        <w:t xml:space="preserve"> für alle Artikel) und auswählen.</w:t>
      </w:r>
    </w:p>
    <w:p>
      <w:pPr>
        <w:tabs>
          <w:tab w:pos="425" w:val="left"/>
        </w:tabs>
        <w:spacing w:after="60"/>
        <w:ind w:left="425" w:hanging="425"/>
      </w:pPr>
      <w:r>
        <w:rPr>
          <w:b/>
        </w:rPr>
        <w:t>3.</w:t>
        <w:tab/>
      </w:r>
      <w:r>
        <w:t xml:space="preserve">Bei Bedarf </w:t>
      </w:r>
      <w:r>
        <w:rPr>
          <w:b/>
        </w:rPr>
        <w:t># Basismengeneinheiten (max.)</w:t>
      </w:r>
      <w:r>
        <w:t xml:space="preserve"> anpassen oder das Unendlichzeichen antippen.</w:t>
      </w:r>
    </w:p>
    <w:p>
      <w:pPr>
        <w:tabs>
          <w:tab w:pos="425" w:val="left"/>
        </w:tabs>
        <w:spacing w:after="60"/>
        <w:ind w:left="425" w:hanging="425"/>
      </w:pPr>
      <w:r>
        <w:rPr>
          <w:b/>
        </w:rPr>
        <w:t>4.</w:t>
        <w:tab/>
      </w:r>
      <w:r>
        <w:t xml:space="preserve">Für weitere Artikel in derselben Box </w:t>
      </w:r>
      <w:r>
        <w:rPr>
          <w:b/>
        </w:rPr>
        <w:t>Verpackungsversion zuordnen (+)</w:t>
      </w:r>
      <w:r>
        <w:t>.</w:t>
      </w:r>
    </w:p>
    <w:p>
      <w:pPr>
        <w:tabs>
          <w:tab w:pos="425" w:val="left"/>
        </w:tabs>
        <w:spacing w:after="60"/>
        <w:ind w:left="425" w:hanging="425"/>
      </w:pPr>
      <w:r>
        <w:rPr>
          <w:b/>
        </w:rPr>
        <w:t>5.</w:t>
        <w:tab/>
      </w:r>
      <w:r>
        <w:rPr>
          <w:b/>
        </w:rPr>
        <w:t>Artikelzuordnung bestätigen</w:t>
      </w:r>
      <w:r>
        <w:t xml:space="preserve"> antippen. Danach wie in Kapitel 5.1 einlagern.</w:t>
      </w:r>
    </w:p>
    <w:p>
      <w:pPr>
        <w:pStyle w:val="Quelle"/>
      </w:pPr>
      <w:r>
        <w:rPr>
          <w:b/>
        </w:rPr>
        <w:t xml:space="preserve">Quelle: </w:t>
      </w:r>
      <w:r>
        <w:rPr>
          <w:sz w:val="17"/>
        </w:rPr>
        <w:t>Benutzerhandbuch 2.7, Kap. 6.1.4 Tab. 14 (S. 83–84) und 5.6.1 (S. 74)</w:t>
      </w:r>
    </w:p>
    <w:p>
      <w:pPr>
        <w:pStyle w:val="Heading2"/>
      </w:pPr>
      <w:r>
        <w:t>5.3 Neuen Artikel spontan anlegen</w:t>
      </w:r>
    </w:p>
    <w:p>
      <w:r>
        <w:t>Fehlt der Artikel in WAMAS, kann er während der Box-Zuordnung angelegt werden:</w:t>
      </w:r>
    </w:p>
    <w:p>
      <w:pPr>
        <w:tabs>
          <w:tab w:pos="425" w:val="left"/>
        </w:tabs>
        <w:spacing w:after="60"/>
        <w:ind w:left="425" w:hanging="425"/>
      </w:pPr>
      <w:r>
        <w:rPr>
          <w:b/>
        </w:rPr>
        <w:t>1.</w:t>
        <w:tab/>
      </w:r>
      <w:r>
        <w:t xml:space="preserve">In der Artikelsuche das Icon </w:t>
      </w:r>
      <w:r>
        <w:rPr>
          <w:b/>
        </w:rPr>
        <w:t>Artikel anlegen</w:t>
      </w:r>
      <w:r>
        <w:t xml:space="preserve"> antippen. </w:t>
      </w:r>
      <w:r>
        <w:rPr>
          <w:b/>
        </w:rPr>
        <w:t>LM041 Neuen Artikel anlegen</w:t>
      </w:r>
      <w:r>
        <w:t xml:space="preserve"> öffnet sich.</w:t>
      </w:r>
    </w:p>
    <w:p>
      <w:pPr>
        <w:tabs>
          <w:tab w:pos="425" w:val="left"/>
        </w:tabs>
        <w:spacing w:after="60"/>
        <w:ind w:left="425" w:hanging="425"/>
      </w:pPr>
      <w:r>
        <w:rPr>
          <w:b/>
        </w:rPr>
        <w:t>2.</w:t>
        <w:tab/>
      </w:r>
      <w:r>
        <w:rPr>
          <w:b/>
        </w:rPr>
        <w:t>Artikelnummer</w:t>
      </w:r>
      <w:r>
        <w:t xml:space="preserve">, </w:t>
      </w:r>
      <w:r>
        <w:rPr>
          <w:b/>
        </w:rPr>
        <w:t>Basismengeneinheit</w:t>
      </w:r>
      <w:r>
        <w:t xml:space="preserve">, ggf. </w:t>
      </w:r>
      <w:r>
        <w:rPr>
          <w:b/>
        </w:rPr>
        <w:t>Großer Artikel</w:t>
      </w:r>
      <w:r>
        <w:t xml:space="preserve">, </w:t>
      </w:r>
      <w:r>
        <w:rPr>
          <w:b/>
        </w:rPr>
        <w:t>Bruttogewicht</w:t>
      </w:r>
      <w:r>
        <w:t xml:space="preserve"> sowie </w:t>
      </w:r>
      <w:r>
        <w:rPr>
          <w:b/>
        </w:rPr>
        <w:t>Länge</w:t>
      </w:r>
      <w:r>
        <w:t xml:space="preserve">, </w:t>
      </w:r>
      <w:r>
        <w:rPr>
          <w:b/>
        </w:rPr>
        <w:t>Breite</w:t>
      </w:r>
      <w:r>
        <w:t xml:space="preserve">, </w:t>
      </w:r>
      <w:r>
        <w:rPr>
          <w:b/>
        </w:rPr>
        <w:t>Höhe</w:t>
      </w:r>
      <w:r>
        <w:t xml:space="preserve"> eingeben.</w:t>
      </w:r>
    </w:p>
    <w:p>
      <w:pPr>
        <w:tabs>
          <w:tab w:pos="425" w:val="left"/>
        </w:tabs>
        <w:spacing w:after="60"/>
        <w:ind w:left="425" w:hanging="425"/>
      </w:pPr>
      <w:r>
        <w:rPr>
          <w:b/>
        </w:rPr>
        <w:t>3.</w:t>
        <w:tab/>
      </w:r>
      <w:r>
        <w:t xml:space="preserve">Über </w:t>
      </w:r>
      <w:r>
        <w:rPr>
          <w:b/>
        </w:rPr>
        <w:t>Mehr</w:t>
      </w:r>
      <w:r>
        <w:t xml:space="preserve"> weitere Daten in </w:t>
      </w:r>
      <w:r>
        <w:rPr>
          <w:b/>
        </w:rPr>
        <w:t>LM011 Artikel pflegen</w:t>
      </w:r>
      <w:r>
        <w:t xml:space="preserve"> ergänzen oder direkt </w:t>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Artikel mit ERP-Anbindung</w:t>
            </w:r>
          </w:p>
          <w:p>
            <w:pPr>
              <w:spacing w:after="40"/>
            </w:pPr>
            <w:r>
              <w:rPr>
                <w:sz w:val="19"/>
              </w:rPr>
              <w:t>Wenn Artikelstammdaten normalerweise aus dem ERP kommen, sollten am Touch-Client keine Artikel spontan angelegt werden. Sonst entstehen Artikel, die das ERP nicht kennt, und spätere Stammdatentelegramme können abweichen.</w:t>
            </w:r>
          </w:p>
        </w:tc>
      </w:tr>
    </w:tbl>
    <w:p>
      <w:pPr>
        <w:spacing w:after="40"/>
      </w:pPr>
    </w:p>
    <w:p>
      <w:pPr>
        <w:pStyle w:val="Quelle"/>
      </w:pPr>
      <w:r>
        <w:rPr>
          <w:b/>
        </w:rPr>
        <w:t xml:space="preserve">Quelle: </w:t>
      </w:r>
      <w:r>
        <w:rPr>
          <w:sz w:val="17"/>
        </w:rPr>
        <w:t>Benutzerhandbuch 2.7, Kap. 5.6.1 (S. 74)</w:t>
      </w:r>
    </w:p>
    <w:p>
      <w:pPr>
        <w:pStyle w:val="Heading2"/>
      </w:pPr>
      <w:r>
        <w:t>5.4 Große Artikel ohne Box einlagern</w:t>
      </w:r>
    </w:p>
    <w:p>
      <w:pPr>
        <w:tabs>
          <w:tab w:pos="425" w:val="left"/>
        </w:tabs>
        <w:spacing w:after="60"/>
        <w:ind w:left="425" w:hanging="425"/>
      </w:pPr>
      <w:r>
        <w:rPr>
          <w:b/>
        </w:rPr>
        <w:t>1.</w:t>
        <w:tab/>
      </w:r>
      <w:r>
        <w:t xml:space="preserve">In </w:t>
      </w:r>
      <w:r>
        <w:rPr>
          <w:b/>
        </w:rPr>
        <w:t>LM002</w:t>
      </w:r>
      <w:r>
        <w:t xml:space="preserve"> das Icon </w:t>
      </w:r>
      <w:r>
        <w:rPr>
          <w:b/>
        </w:rPr>
        <w:t>Großen Artikel einlagern</w:t>
      </w:r>
      <w:r>
        <w:t xml:space="preserve"> antippen. </w:t>
      </w:r>
      <w:r>
        <w:rPr>
          <w:b/>
        </w:rPr>
        <w:t>LM133 Großen Artikel auswählen</w:t>
      </w:r>
      <w:r>
        <w:t xml:space="preserve"> öffnet sich.</w:t>
      </w:r>
    </w:p>
    <w:p>
      <w:pPr>
        <w:tabs>
          <w:tab w:pos="425" w:val="left"/>
        </w:tabs>
        <w:spacing w:after="60"/>
        <w:ind w:left="425" w:hanging="425"/>
      </w:pPr>
      <w:r>
        <w:rPr>
          <w:b/>
        </w:rPr>
        <w:t>2.</w:t>
        <w:tab/>
      </w:r>
      <w:r>
        <w:t xml:space="preserve">Vorhandenen Artikel wählen und </w:t>
      </w:r>
      <w:r>
        <w:rPr>
          <w:b/>
        </w:rPr>
        <w:t>Speichern</w:t>
      </w:r>
      <w:r>
        <w:t xml:space="preserve">, oder über </w:t>
      </w:r>
      <w:r>
        <w:rPr>
          <w:b/>
        </w:rPr>
        <w:t>Neuer Artikel</w:t>
      </w:r>
      <w:r>
        <w:t xml:space="preserve"> in </w:t>
      </w:r>
      <w:r>
        <w:rPr>
          <w:b/>
        </w:rPr>
        <w:t>LM041</w:t>
      </w:r>
      <w:r>
        <w:t xml:space="preserve"> anlegen.</w:t>
      </w:r>
    </w:p>
    <w:p>
      <w:pPr>
        <w:tabs>
          <w:tab w:pos="425" w:val="left"/>
        </w:tabs>
        <w:spacing w:after="60"/>
        <w:ind w:left="425" w:hanging="425"/>
      </w:pPr>
      <w:r>
        <w:rPr>
          <w:b/>
        </w:rPr>
        <w:t>3.</w:t>
        <w:tab/>
      </w:r>
      <w:r>
        <w:rPr>
          <w:b/>
        </w:rPr>
        <w:t>OK</w:t>
      </w:r>
      <w:r>
        <w:t xml:space="preserve"> antippen. WAMAS reserviert anhand der Abmessungen einen passenden Platz und zeigt das Tablarlayout.</w:t>
      </w:r>
    </w:p>
    <w:p>
      <w:r>
        <w:t>Große Artikel können nicht an externen Lagerplätzen eingelagert werden.</w:t>
      </w:r>
    </w:p>
    <w:p>
      <w:pPr>
        <w:pStyle w:val="Quelle"/>
      </w:pPr>
      <w:r>
        <w:rPr>
          <w:b/>
        </w:rPr>
        <w:t xml:space="preserve">Quelle: </w:t>
      </w:r>
      <w:r>
        <w:rPr>
          <w:sz w:val="17"/>
        </w:rPr>
        <w:t>Benutzerhandbuch 2.7, Kap. 6.1.4.1 (S. 84)</w:t>
      </w:r>
    </w:p>
    <w:p>
      <w:pPr>
        <w:pStyle w:val="Heading2"/>
      </w:pPr>
      <w:r>
        <w:t>5.5 Mit Waage einlagern</w:t>
      </w:r>
    </w:p>
    <w:p>
      <w:r>
        <w:t xml:space="preserve">Ist der Zugriffsöffnung eine Waage zugeordnet, tippen Sie nach Schritt 3 in Kapitel 5.1 auf </w:t>
      </w:r>
      <w:r>
        <w:rPr>
          <w:b/>
        </w:rPr>
        <w:t>Waagenvorgänge anzeigen</w:t>
      </w:r>
      <w:r>
        <w:t xml:space="preserve">. </w:t>
      </w:r>
      <w:r>
        <w:rPr>
          <w:b/>
        </w:rPr>
        <w:t>LM138</w:t>
      </w:r>
      <w:r>
        <w:t xml:space="preserve"> zeigt Gewicht und umgerechnete Menge auf Basis der Artikelstammdaten. Mit </w:t>
      </w:r>
      <w:r>
        <w:rPr>
          <w:b/>
        </w:rPr>
        <w:t>Speichern</w:t>
      </w:r>
      <w:r>
        <w:t xml:space="preserve"> wird die Menge übernommen. Fehlen die Gewichtsdaten, öffnet sich </w:t>
      </w:r>
      <w:r>
        <w:rPr>
          <w:b/>
        </w:rPr>
        <w:t>LM138</w:t>
      </w:r>
      <w:r>
        <w:t xml:space="preserve"> im Konfigurationsmodus: Ware auflegen, Mengeneinheit eingeben; der Wert wird in den Artikelstammdaten gespeichert.</w:t>
      </w:r>
    </w:p>
    <w:p>
      <w:pPr>
        <w:pStyle w:val="Quelle"/>
      </w:pPr>
      <w:r>
        <w:rPr>
          <w:b/>
        </w:rPr>
        <w:t xml:space="preserve">Quelle: </w:t>
      </w:r>
      <w:r>
        <w:rPr>
          <w:sz w:val="17"/>
        </w:rPr>
        <w:t>Benutzerhandbuch 2.7, Kap. 6.1.4 (S. 82–83)</w:t>
      </w:r>
    </w:p>
    <w:p>
      <w:pPr>
        <w:pStyle w:val="Heading2"/>
      </w:pPr>
      <w:r>
        <w:t>5.6 Auffüllen, Nachschub und Rücklagerung</w:t>
      </w:r>
    </w:p>
    <w:p>
      <w:pPr>
        <w:pStyle w:val="ListBullet"/>
      </w:pPr>
      <w:r>
        <w:rPr>
          <w:b/>
        </w:rPr>
        <w:t>Box nachfüllen oder Restmenge zurücklagern:</w:t>
      </w:r>
      <w:r>
        <w:t xml:space="preserve"> wie Kapitel 5.1 in eine Box mit vorhandener Zuordnung einlagern. Wählen Sie bei der Tablaranforderung </w:t>
      </w:r>
      <w:r>
        <w:rPr>
          <w:b/>
        </w:rPr>
        <w:t>EINLAGERN</w:t>
      </w:r>
      <w:r>
        <w:t xml:space="preserve"> und den Artikel, damit passende Boxen hervorgehoben werden.</w:t>
      </w:r>
    </w:p>
    <w:p>
      <w:pPr>
        <w:pStyle w:val="ListBullet"/>
      </w:pPr>
      <w:r>
        <w:rPr>
          <w:b/>
        </w:rPr>
        <w:t>Geplante Auffüllung mit mehreren Positionen:</w:t>
      </w:r>
      <w:r>
        <w:t xml:space="preserve"> Einlagerbedarf selbst anlegen (Kapitel 9.1). WAMAS reserviert dann die Boxen nach der Lagerreservierungsstrategie des Einlagerbedarfstyps.</w:t>
      </w:r>
    </w:p>
    <w:p>
      <w:pPr>
        <w:pStyle w:val="ListBullet"/>
      </w:pPr>
      <w:r>
        <w:rPr>
          <w:b/>
        </w:rPr>
        <w:t>Version 2.7:</w:t>
      </w:r>
      <w:r>
        <w:t xml:space="preserve"> Ein eigener Nachschubauftrag zwischen externen Plätzen und SSI LOGIMAT ist nicht vorhanden.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Neu in 2.8: Nachschubaufträge</w:t>
            </w:r>
          </w:p>
          <w:p>
            <w:pPr>
              <w:spacing w:after="40"/>
            </w:pPr>
            <w:r>
              <w:rPr>
                <w:sz w:val="19"/>
              </w:rPr>
              <w:t>In 2.8 legt eine Nachschubkonfiguration (</w:t>
            </w:r>
            <w:r>
              <w:rPr>
                <w:b/>
                <w:sz w:val="19"/>
              </w:rPr>
              <w:t>LM175</w:t>
            </w:r>
            <w:r>
              <w:rPr>
                <w:sz w:val="19"/>
              </w:rPr>
              <w:t xml:space="preserve">, mit Quell- und Zielzone, Minimum, Maximum, Kommissionier- und Einlagerbedarfstyp) Nachschubaufträge an, entweder manuell am Desktop per Kontextmenü </w:t>
            </w:r>
            <w:r>
              <w:rPr>
                <w:b/>
                <w:sz w:val="19"/>
              </w:rPr>
              <w:t>Create Replenishment Order</w:t>
            </w:r>
            <w:r>
              <w:rPr>
                <w:sz w:val="19"/>
              </w:rPr>
              <w:t xml:space="preserve"> oder automatisch per Job. Der Nachschub läuft über einen Kommissionierbedarf an der Quelle und einen Einlagerbedarf am Ziel; die Aufträge werden in </w:t>
            </w:r>
            <w:r>
              <w:rPr>
                <w:b/>
                <w:sz w:val="19"/>
              </w:rPr>
              <w:t>LM170</w:t>
            </w:r>
            <w:r>
              <w:rPr>
                <w:sz w:val="19"/>
              </w:rPr>
              <w:t xml:space="preserve"> angezeigt.</w:t>
            </w:r>
          </w:p>
        </w:tc>
      </w:tr>
    </w:tbl>
    <w:p>
      <w:pPr>
        <w:spacing w:after="40"/>
      </w:pPr>
    </w:p>
    <w:p>
      <w:pPr>
        <w:pStyle w:val="Quelle"/>
      </w:pPr>
      <w:r>
        <w:rPr>
          <w:b/>
        </w:rPr>
        <w:t xml:space="preserve">Quelle: </w:t>
      </w:r>
      <w:r>
        <w:rPr>
          <w:sz w:val="17"/>
        </w:rPr>
        <w:t>Benutzerhandbuch 2.7, Kap. 6.1.4 und 6.2.1; User Manual 2.8, Kap. 6.2.4 (S. 104); Administrator Manual 2.8, Kap. 3.1.11 (S. 25)</w:t>
      </w:r>
    </w:p>
    <w:p>
      <w:pPr>
        <w:pStyle w:val="Heading1"/>
      </w:pPr>
      <w:r>
        <w:t>6 Spontan auslagern (Ad-hoc-Kommissionierung)</w:t>
      </w:r>
    </w:p>
    <w:p>
      <w:pPr>
        <w:pStyle w:val="Heading2"/>
      </w:pPr>
      <w:r>
        <w:t>6.1 Ware aus einer Box entnehmen</w:t>
      </w:r>
    </w:p>
    <w:p>
      <w:r>
        <w:t xml:space="preserve">Voraussetzung: </w:t>
      </w:r>
      <w:r>
        <w:rPr>
          <w:b/>
        </w:rPr>
        <w:t>LM002</w:t>
      </w:r>
      <w:r>
        <w:t xml:space="preserve"> ist geöffnet, ein Tablar steht in der Zugriffsöffnung.</w:t>
      </w:r>
    </w:p>
    <w:p>
      <w:pPr>
        <w:tabs>
          <w:tab w:pos="425" w:val="left"/>
        </w:tabs>
        <w:spacing w:after="60"/>
        <w:ind w:left="425" w:hanging="425"/>
      </w:pPr>
      <w:r>
        <w:rPr>
          <w:b/>
        </w:rPr>
        <w:t>1.</w:t>
        <w:tab/>
      </w:r>
      <w:r>
        <w:t>Box auswählen, aus der entnommen wird.</w:t>
      </w:r>
    </w:p>
    <w:p>
      <w:pPr>
        <w:tabs>
          <w:tab w:pos="425" w:val="left"/>
        </w:tabs>
        <w:spacing w:after="60"/>
        <w:ind w:left="425" w:hanging="425"/>
      </w:pPr>
      <w:r>
        <w:rPr>
          <w:b/>
        </w:rPr>
        <w:t>2.</w:t>
        <w:tab/>
      </w:r>
      <w:r>
        <w:t xml:space="preserve">Icon </w:t>
      </w:r>
      <w:r>
        <w:rPr>
          <w:b/>
        </w:rPr>
        <w:t>Ware kommissionieren</w:t>
      </w:r>
      <w:r>
        <w:t xml:space="preserve"> antippen.</w:t>
      </w:r>
    </w:p>
    <w:p>
      <w:pPr>
        <w:tabs>
          <w:tab w:pos="425" w:val="left"/>
        </w:tabs>
        <w:spacing w:after="60"/>
        <w:ind w:left="425" w:hanging="425"/>
      </w:pPr>
      <w:r>
        <w:rPr>
          <w:b/>
        </w:rPr>
        <w:t>3.</w:t>
        <w:tab/>
      </w:r>
      <w:r>
        <w:t xml:space="preserve">Im Feld </w:t>
      </w:r>
      <w:r>
        <w:rPr>
          <w:b/>
        </w:rPr>
        <w:t>Menge</w:t>
      </w:r>
      <w:r>
        <w:t xml:space="preserve"> die Entnahmemenge eingeben, ggf. Mengeneinheit wählen (oder über </w:t>
      </w:r>
      <w:r>
        <w:rPr>
          <w:b/>
        </w:rPr>
        <w:t>Waagenvorgänge anzeigen</w:t>
      </w:r>
      <w:r>
        <w:t>, siehe Kapitel 5.5).</w:t>
      </w:r>
    </w:p>
    <w:p>
      <w:pPr>
        <w:tabs>
          <w:tab w:pos="425" w:val="left"/>
        </w:tabs>
        <w:spacing w:after="60"/>
        <w:ind w:left="425" w:hanging="425"/>
      </w:pPr>
      <w:r>
        <w:rPr>
          <w:b/>
        </w:rPr>
        <w:t>4.</w:t>
        <w:tab/>
      </w:r>
      <w:r>
        <w:t>Erforderliche Attribute wie MHD oder Charge eingeben.</w:t>
      </w:r>
    </w:p>
    <w:p>
      <w:pPr>
        <w:tabs>
          <w:tab w:pos="425" w:val="left"/>
        </w:tabs>
        <w:spacing w:after="60"/>
        <w:ind w:left="425" w:hanging="425"/>
      </w:pPr>
      <w:r>
        <w:rPr>
          <w:b/>
        </w:rPr>
        <w:t>5.</w:t>
        <w:tab/>
      </w:r>
      <w:r>
        <w:rPr>
          <w:b/>
        </w:rPr>
        <w:t>OK</w:t>
      </w:r>
      <w:r>
        <w:t xml:space="preserve"> antippen.</w:t>
      </w:r>
    </w:p>
    <w:p>
      <w:pPr>
        <w:tabs>
          <w:tab w:pos="425" w:val="left"/>
        </w:tabs>
        <w:spacing w:after="60"/>
        <w:ind w:left="425" w:hanging="425"/>
      </w:pPr>
      <w:r>
        <w:rPr>
          <w:b/>
        </w:rPr>
        <w:t>6.</w:t>
        <w:tab/>
      </w:r>
      <w:r>
        <w:t xml:space="preserve">Falls </w:t>
      </w:r>
      <w:r>
        <w:rPr>
          <w:b/>
        </w:rPr>
        <w:t>LM101 Buchungsschlüssel auswählen</w:t>
      </w:r>
      <w:r>
        <w:t xml:space="preserve"> erscheint: Schlüssel und Grund eingeben, </w:t>
      </w:r>
      <w:r>
        <w:rPr>
          <w:b/>
        </w:rPr>
        <w:t>OK</w:t>
      </w:r>
      <w:r>
        <w:t>.</w:t>
      </w:r>
    </w:p>
    <w:p>
      <w:r>
        <w:t>Ergebnis: Die Menge ist ausgebucht. Bei angebundenem Systempartner wird eine Bestandskorrekturmeldung gesendet. Typische Meldungen:</w:t>
      </w:r>
    </w:p>
    <w:p>
      <w:pPr>
        <w:pStyle w:val="ListBullet"/>
      </w:pPr>
      <w:r>
        <w:t xml:space="preserve">Menge größer als verfügbar: Fehlermeldung, </w:t>
      </w:r>
      <w:r>
        <w:rPr>
          <w:b/>
        </w:rPr>
        <w:t>OK</w:t>
      </w:r>
      <w:r>
        <w:t xml:space="preserve"> ist deaktiviert.</w:t>
      </w:r>
    </w:p>
    <w:p>
      <w:pPr>
        <w:pStyle w:val="ListBullet"/>
      </w:pPr>
      <w:r>
        <w:t>Ware für andere Vorgänge reserviert: WAMAS zeigt die verbleibende verfügbare Menge.</w:t>
      </w:r>
    </w:p>
    <w:p>
      <w:pPr>
        <w:pStyle w:val="ListBullet"/>
      </w:pPr>
      <w:r>
        <w:t>Tablar oder Box zwischenzeitlich eingeschränkt oder gesperrt: Fehlermeldung.</w:t>
      </w:r>
    </w:p>
    <w:p>
      <w:pPr>
        <w:keepNext/>
      </w:pPr>
      <w:r>
        <w:drawing>
          <wp:inline xmlns:a="http://schemas.openxmlformats.org/drawingml/2006/main" xmlns:pic="http://schemas.openxmlformats.org/drawingml/2006/picture">
            <wp:extent cx="5400000" cy="3037500"/>
            <wp:docPr id="110" name="Picture 110"/>
            <wp:cNvGraphicFramePr>
              <a:graphicFrameLocks noChangeAspect="1"/>
            </wp:cNvGraphicFramePr>
            <a:graphic>
              <a:graphicData uri="http://schemas.openxmlformats.org/drawingml/2006/picture">
                <pic:pic>
                  <pic:nvPicPr>
                    <pic:cNvPr id="0" name="lm040_auslagern_ergebnis.png"/>
                    <pic:cNvPicPr/>
                  </pic:nvPicPr>
                  <pic:blipFill>
                    <a:blip r:embed="rId20"/>
                    <a:stretch>
                      <a:fillRect/>
                    </a:stretch>
                  </pic:blipFill>
                  <pic:spPr>
                    <a:xfrm>
                      <a:off x="0" y="0"/>
                      <a:ext cx="5400000" cy="3037500"/>
                    </a:xfrm>
                    <a:prstGeom prst="rect"/>
                  </pic:spPr>
                </pic:pic>
              </a:graphicData>
            </a:graphic>
          </wp:inline>
        </w:drawing>
      </w:r>
    </w:p>
    <w:p>
      <w:pPr>
        <w:pStyle w:val="BeschriftungSSI"/>
      </w:pPr>
      <w:r>
        <w:t>Abb. 7: Touch-Client – Spontan auslagern: LM040 mit Vorgang Auslagern und gefundenem Tablar (Quelle: SSI Sales-Tool)</w:t>
      </w:r>
    </w:p>
    <w:p>
      <w:pPr>
        <w:keepNext/>
      </w:pPr>
      <w:r>
        <w:drawing>
          <wp:inline xmlns:a="http://schemas.openxmlformats.org/drawingml/2006/main" xmlns:pic="http://schemas.openxmlformats.org/drawingml/2006/picture">
            <wp:extent cx="5400000" cy="3037500"/>
            <wp:docPr id="111" name="Picture 111"/>
            <wp:cNvGraphicFramePr>
              <a:graphicFrameLocks noChangeAspect="1"/>
            </wp:cNvGraphicFramePr>
            <a:graphic>
              <a:graphicData uri="http://schemas.openxmlformats.org/drawingml/2006/picture">
                <pic:pic>
                  <pic:nvPicPr>
                    <pic:cNvPr id="0" name="lm002_auslagern_menge.png"/>
                    <pic:cNvPicPr/>
                  </pic:nvPicPr>
                  <pic:blipFill>
                    <a:blip r:embed="rId21"/>
                    <a:stretch>
                      <a:fillRect/>
                    </a:stretch>
                  </pic:blipFill>
                  <pic:spPr>
                    <a:xfrm>
                      <a:off x="0" y="0"/>
                      <a:ext cx="5400000" cy="3037500"/>
                    </a:xfrm>
                    <a:prstGeom prst="rect"/>
                  </pic:spPr>
                </pic:pic>
              </a:graphicData>
            </a:graphic>
          </wp:inline>
        </w:drawing>
      </w:r>
    </w:p>
    <w:p>
      <w:pPr>
        <w:pStyle w:val="BeschriftungSSI"/>
      </w:pPr>
      <w:r>
        <w:t>Abb. 8: Touch-Client – Spontan auslagern: Entnahmemenge in LM002 (Quelle: SSI Sales-Tool)</w:t>
      </w:r>
    </w:p>
    <w:p>
      <w:pPr>
        <w:pStyle w:val="Quelle"/>
      </w:pPr>
      <w:r>
        <w:rPr>
          <w:b/>
        </w:rPr>
        <w:t xml:space="preserve">Quelle: </w:t>
      </w:r>
      <w:r>
        <w:rPr>
          <w:sz w:val="17"/>
        </w:rPr>
        <w:t>Benutzerhandbuch 2.7, Kap. 6.1.5 (S. 85–86)</w:t>
      </w:r>
    </w:p>
    <w:p>
      <w:pPr>
        <w:pStyle w:val="Heading2"/>
      </w:pPr>
      <w:r>
        <w:t>6.2 Box wird leer</w:t>
      </w:r>
    </w:p>
    <w:p>
      <w:r>
        <w:t xml:space="preserve">Wird die Restmenge 0 und steht der Zuordnungsmodus auf </w:t>
      </w:r>
      <w:r>
        <w:rPr>
          <w:b/>
        </w:rPr>
        <w:t>Standard</w:t>
      </w:r>
      <w:r>
        <w:t>, fragt WAMAS:</w:t>
      </w:r>
    </w:p>
    <w:p>
      <w:pPr>
        <w:pStyle w:val="ListBullet"/>
      </w:pPr>
      <w:r>
        <w:rPr>
          <w:b/>
        </w:rPr>
        <w:t>Ja</w:t>
      </w:r>
      <w:r>
        <w:t>: Die Artikel-zu-Box-Zuordnung wird entfernt; die Box ist wieder frei für andere Artikel.</w:t>
      </w:r>
    </w:p>
    <w:p>
      <w:pPr>
        <w:pStyle w:val="ListBullet"/>
      </w:pPr>
      <w:r>
        <w:rPr>
          <w:b/>
        </w:rPr>
        <w:t>Nein</w:t>
      </w:r>
      <w:r>
        <w:t>: Die Zuordnung bleibt; die Box bleibt für denselben Artikel reserviert.</w:t>
      </w:r>
    </w:p>
    <w:p>
      <w:r>
        <w:t xml:space="preserve">Bei </w:t>
      </w:r>
      <w:r>
        <w:rPr>
          <w:b/>
        </w:rPr>
        <w:t>Fixiert</w:t>
      </w:r>
      <w:r>
        <w:t xml:space="preserve"> bleibt die Zuordnung immer, bei </w:t>
      </w:r>
      <w:r>
        <w:rPr>
          <w:b/>
        </w:rPr>
        <w:t>Float</w:t>
      </w:r>
      <w:r>
        <w:t xml:space="preserve"> wird sie immer entfernt.</w:t>
      </w:r>
    </w:p>
    <w:p>
      <w:pPr>
        <w:pStyle w:val="Quelle"/>
      </w:pPr>
      <w:r>
        <w:rPr>
          <w:b/>
        </w:rPr>
        <w:t xml:space="preserve">Quelle: </w:t>
      </w:r>
      <w:r>
        <w:rPr>
          <w:sz w:val="17"/>
        </w:rPr>
        <w:t>Benutzerhandbuch 2.7, Kap. 6.1.5 (S. 85–86); Administratorhandbuch 2.7, Kap. 3.1.3.1 (S. 15)</w:t>
      </w:r>
    </w:p>
    <w:p>
      <w:pPr>
        <w:pStyle w:val="Heading2"/>
      </w:pPr>
      <w:r>
        <w:t>6.3 Entnahme gezielt nach MHD oder FIFO</w:t>
      </w:r>
    </w:p>
    <w:p>
      <w:r>
        <w:t xml:space="preserve">Für die Tablarsuche mit </w:t>
      </w:r>
      <w:r>
        <w:rPr>
          <w:b/>
        </w:rPr>
        <w:t>AUSLAGERN</w:t>
      </w:r>
      <w:r>
        <w:t xml:space="preserve"> wirken der Bestandsauswahlmodus </w:t>
      </w:r>
      <w:r>
        <w:rPr>
          <w:b/>
        </w:rPr>
        <w:t>Kommissioniertätigkeit in LM040</w:t>
      </w:r>
      <w:r>
        <w:t xml:space="preserve"> (MHD- und Produktionsdatumsregeln, Kapitel 3.5) sowie die Sortierung </w:t>
      </w:r>
      <w:r>
        <w:rPr>
          <w:rFonts w:ascii="Consolas" w:hAnsi="Consolas" w:cs="Consolas" w:eastAsia="Consolas"/>
          <w:sz w:val="18"/>
        </w:rPr>
        <w:t>logimat.dialogs.lm040.trays.sort.mode</w:t>
      </w:r>
      <w:r>
        <w:t>. FIFO wird nur angewendet, wenn sowohl der Artikel als auch die Betriebsart „Auslagern“ in der Suche verwendet werden. Die Box wählt am Ende der Benutzer; WAMAS hebt passende Boxen hervor.</w:t>
      </w:r>
    </w:p>
    <w:p>
      <w:pPr>
        <w:pStyle w:val="Quelle"/>
      </w:pPr>
      <w:r>
        <w:rPr>
          <w:b/>
        </w:rPr>
        <w:t xml:space="preserve">Quelle: </w:t>
      </w:r>
      <w:r>
        <w:rPr>
          <w:sz w:val="17"/>
        </w:rPr>
        <w:t>Administratorhandbuch 2.7, Kap. 3.1.3.2 (S. 16–17) und 3.11.2 (S. 178)</w:t>
      </w:r>
    </w:p>
    <w:p>
      <w:pPr>
        <w:pStyle w:val="Heading1"/>
      </w:pPr>
      <w:r>
        <w:t>7 Umlagern und Bestand bewegen</w:t>
      </w:r>
    </w:p>
    <w:p>
      <w:pPr>
        <w:pStyle w:val="Heading2"/>
      </w:pPr>
      <w:r>
        <w:t>7.1 Boxen auf einem Tablar verdichten (Konsolidieren)</w:t>
      </w:r>
    </w:p>
    <w:p>
      <w:r>
        <w:t xml:space="preserve">Voraussetzung: Tablar in der Öffnung, Quellbox mit Artikel und Bestand, geeignete Zielbox vorhanden, </w:t>
      </w:r>
      <w:r>
        <w:rPr>
          <w:b/>
        </w:rPr>
        <w:t>LM002</w:t>
      </w:r>
      <w:r>
        <w:t xml:space="preserve"> geöffnet.</w:t>
      </w:r>
    </w:p>
    <w:p>
      <w:pPr>
        <w:tabs>
          <w:tab w:pos="425" w:val="left"/>
        </w:tabs>
        <w:spacing w:after="60"/>
        <w:ind w:left="425" w:hanging="425"/>
      </w:pPr>
      <w:r>
        <w:rPr>
          <w:b/>
        </w:rPr>
        <w:t>1.</w:t>
        <w:tab/>
      </w:r>
      <w:r>
        <w:t>Quellbox im Tablarlayout wählen.</w:t>
      </w:r>
    </w:p>
    <w:p>
      <w:pPr>
        <w:tabs>
          <w:tab w:pos="425" w:val="left"/>
        </w:tabs>
        <w:spacing w:after="60"/>
        <w:ind w:left="425" w:hanging="425"/>
      </w:pPr>
      <w:r>
        <w:rPr>
          <w:b/>
        </w:rPr>
        <w:t>2.</w:t>
        <w:tab/>
      </w:r>
      <w:r>
        <w:t xml:space="preserve">Icon </w:t>
      </w:r>
      <w:r>
        <w:rPr>
          <w:b/>
        </w:rPr>
        <w:t>Verdichten</w:t>
      </w:r>
      <w:r>
        <w:t xml:space="preserve"> antippen und mit </w:t>
      </w:r>
      <w:r>
        <w:rPr>
          <w:b/>
        </w:rPr>
        <w:t>OK</w:t>
      </w:r>
      <w:r>
        <w:t xml:space="preserve"> bestätigen. Mögliche Zielboxen werden hervorgehoben.</w:t>
      </w:r>
    </w:p>
    <w:p>
      <w:pPr>
        <w:tabs>
          <w:tab w:pos="425" w:val="left"/>
        </w:tabs>
        <w:spacing w:after="60"/>
        <w:ind w:left="425" w:hanging="425"/>
      </w:pPr>
      <w:r>
        <w:rPr>
          <w:b/>
        </w:rPr>
        <w:t>3.</w:t>
        <w:tab/>
      </w:r>
      <w:r>
        <w:t>Hervorgehobene Zielbox wählen.</w:t>
      </w:r>
    </w:p>
    <w:p>
      <w:pPr>
        <w:tabs>
          <w:tab w:pos="425" w:val="left"/>
        </w:tabs>
        <w:spacing w:after="60"/>
        <w:ind w:left="425" w:hanging="425"/>
      </w:pPr>
      <w:r>
        <w:rPr>
          <w:b/>
        </w:rPr>
        <w:t>4.</w:t>
        <w:tab/>
      </w:r>
      <w:r>
        <w:t>Menge eingeben, ggf. Mengeneinheit wählen.</w:t>
      </w:r>
    </w:p>
    <w:p>
      <w:pPr>
        <w:tabs>
          <w:tab w:pos="425" w:val="left"/>
        </w:tabs>
        <w:spacing w:after="60"/>
        <w:ind w:left="425" w:hanging="425"/>
      </w:pPr>
      <w:r>
        <w:rPr>
          <w:b/>
        </w:rPr>
        <w:t>5.</w:t>
        <w:tab/>
      </w:r>
      <w:r>
        <w:rPr>
          <w:b/>
        </w:rPr>
        <w:t>OK</w:t>
      </w:r>
      <w:r>
        <w:t xml:space="preserve"> antippen.</w:t>
      </w:r>
    </w:p>
    <w:p>
      <w:r>
        <w:t xml:space="preserve">Wird die gesamte Menge verschoben, fragt WAMAS (Zuordnungsmodus </w:t>
      </w:r>
      <w:r>
        <w:rPr>
          <w:b/>
        </w:rPr>
        <w:t>Standard</w:t>
      </w:r>
      <w:r>
        <w:t>), ob die Zuordnung der Quellbox entfernt werden soll. Eine nicht hervorgehobene Box kann nicht als Ziel verwendet werden.</w:t>
      </w:r>
    </w:p>
    <w:p>
      <w:pPr>
        <w:pStyle w:val="Quelle"/>
      </w:pPr>
      <w:r>
        <w:rPr>
          <w:b/>
        </w:rPr>
        <w:t xml:space="preserve">Quelle: </w:t>
      </w:r>
      <w:r>
        <w:rPr>
          <w:sz w:val="17"/>
        </w:rPr>
        <w:t>Benutzerhandbuch 2.7, Kap. 6.1.6 (S. 86–87)</w:t>
      </w:r>
    </w:p>
    <w:p>
      <w:pPr>
        <w:pStyle w:val="Heading2"/>
      </w:pPr>
      <w:r>
        <w:t>7.2 Bestand zwischen Tablaren oder Liften umlagern</w:t>
      </w:r>
    </w:p>
    <w:p>
      <w:r>
        <w:t>Ein direkter Dialog „Umlagern von Tablar A nach Tablar B“ ist im Benutzerhandbuch 2.7 nicht beschrieben. In der Praxis erfolgt das Umlagern in zwei Schritten:</w:t>
      </w:r>
    </w:p>
    <w:p>
      <w:pPr>
        <w:tabs>
          <w:tab w:pos="425" w:val="left"/>
        </w:tabs>
        <w:spacing w:after="60"/>
        <w:ind w:left="425" w:hanging="425"/>
      </w:pPr>
      <w:r>
        <w:rPr>
          <w:b/>
        </w:rPr>
        <w:t>1.</w:t>
        <w:tab/>
      </w:r>
      <w:r>
        <w:t>Quelltablar anfordern (Kapitel 4) und die Menge spontan entnehmen (Kapitel 6.1).</w:t>
      </w:r>
    </w:p>
    <w:p>
      <w:pPr>
        <w:tabs>
          <w:tab w:pos="425" w:val="left"/>
        </w:tabs>
        <w:spacing w:after="60"/>
        <w:ind w:left="425" w:hanging="425"/>
      </w:pPr>
      <w:r>
        <w:rPr>
          <w:b/>
        </w:rPr>
        <w:t>2.</w:t>
        <w:tab/>
      </w:r>
      <w:r>
        <w:t>Zieltablar anfordern und die Menge spontan einlagern (Kapitel 5.1).</w:t>
      </w:r>
    </w:p>
    <w:p>
      <w:r>
        <w:t>Alternativ legen Sie einen Kommissionierbedarf und einen Einlagerbedarf an (Kapitel 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Zwei Buchungen</w:t>
            </w:r>
          </w:p>
          <w:p>
            <w:pPr>
              <w:spacing w:after="40"/>
            </w:pPr>
            <w:r>
              <w:rPr>
                <w:sz w:val="19"/>
              </w:rPr>
              <w:t>Bei diesem Weg entstehen zwei getrennte Buchungen (Abgang und Zugang). Bei angebundenem Systempartner werden zwei Bestandskorrekturen gemeldet, und zwischen beiden Schritten ist der Bestand in WAMAS kurzzeitig zu niedrig. Verwenden Sie für beide Schritte zueinander passende Buchungsschlüssel.</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es in 2.7 eine Umlagerfunktion zwischen Tablaren ohne Abgangs- und Zugangsbuchung gibt, ist in den Handbüchern nicht beschrieben.</w:t>
            </w:r>
          </w:p>
        </w:tc>
      </w:tr>
    </w:tbl>
    <w:p>
      <w:pPr>
        <w:spacing w:after="40"/>
      </w:pPr>
    </w:p>
    <w:p>
      <w:pPr>
        <w:pStyle w:val="Quelle"/>
      </w:pPr>
      <w:r>
        <w:rPr>
          <w:b/>
        </w:rPr>
        <w:t xml:space="preserve">Quelle: </w:t>
      </w:r>
      <w:r>
        <w:rPr>
          <w:sz w:val="17"/>
        </w:rPr>
        <w:t>Benutzerhandbuch 2.7, Kap. 6.1.4–6.1.6 (S. 82–87)</w:t>
      </w:r>
    </w:p>
    <w:p>
      <w:pPr>
        <w:pStyle w:val="Heading2"/>
      </w:pPr>
      <w:r>
        <w:t>7.3 Bestand zwischen externen Lagerplätzen bewegen (Mobilterminal)</w:t>
      </w:r>
    </w:p>
    <w:p>
      <w:pPr>
        <w:tabs>
          <w:tab w:pos="425" w:val="left"/>
        </w:tabs>
        <w:spacing w:after="60"/>
        <w:ind w:left="425" w:hanging="425"/>
      </w:pPr>
      <w:r>
        <w:rPr>
          <w:b/>
        </w:rPr>
        <w:t>1.</w:t>
        <w:tab/>
      </w:r>
      <w:r>
        <w:t xml:space="preserve">Am Mobilterminal anmelden, in </w:t>
      </w:r>
      <w:r>
        <w:rPr>
          <w:b/>
        </w:rPr>
        <w:t>WLM001 Tätigkeiten</w:t>
      </w:r>
      <w:r>
        <w:t xml:space="preserve"> </w:t>
      </w:r>
      <w:r>
        <w:rPr>
          <w:b/>
        </w:rPr>
        <w:t>Bestand verteilen</w:t>
      </w:r>
      <w:r>
        <w:t xml:space="preserve"> wählen. </w:t>
      </w:r>
      <w:r>
        <w:rPr>
          <w:b/>
        </w:rPr>
        <w:t>MLD001 Quellplatz scannen</w:t>
      </w:r>
      <w:r>
        <w:t xml:space="preserve"> öffnet sich.</w:t>
      </w:r>
    </w:p>
    <w:p>
      <w:pPr>
        <w:tabs>
          <w:tab w:pos="425" w:val="left"/>
        </w:tabs>
        <w:spacing w:after="60"/>
        <w:ind w:left="425" w:hanging="425"/>
      </w:pPr>
      <w:r>
        <w:rPr>
          <w:b/>
        </w:rPr>
        <w:t>2.</w:t>
        <w:tab/>
      </w:r>
      <w:r>
        <w:t xml:space="preserve">Externen Quellplatz scannen. </w:t>
      </w:r>
      <w:r>
        <w:rPr>
          <w:b/>
        </w:rPr>
        <w:t>MLD002 Artikel scannen</w:t>
      </w:r>
      <w:r>
        <w:t xml:space="preserve"> öffnet sich.</w:t>
      </w:r>
    </w:p>
    <w:p>
      <w:pPr>
        <w:tabs>
          <w:tab w:pos="425" w:val="left"/>
        </w:tabs>
        <w:spacing w:after="60"/>
        <w:ind w:left="425" w:hanging="425"/>
      </w:pPr>
      <w:r>
        <w:rPr>
          <w:b/>
        </w:rPr>
        <w:t>3.</w:t>
        <w:tab/>
      </w:r>
      <w:r>
        <w:t xml:space="preserve">Artikel scannen. </w:t>
      </w:r>
      <w:r>
        <w:rPr>
          <w:b/>
        </w:rPr>
        <w:t>MLD004 Bestandsbewegung bestätigen</w:t>
      </w:r>
      <w:r>
        <w:t xml:space="preserve"> öffnet sich.</w:t>
      </w:r>
    </w:p>
    <w:p>
      <w:pPr>
        <w:tabs>
          <w:tab w:pos="425" w:val="left"/>
        </w:tabs>
        <w:spacing w:after="60"/>
        <w:ind w:left="425" w:hanging="425"/>
      </w:pPr>
      <w:r>
        <w:rPr>
          <w:b/>
        </w:rPr>
        <w:t>4.</w:t>
        <w:tab/>
      </w:r>
      <w:r>
        <w:t>Menge eingeben.</w:t>
      </w:r>
    </w:p>
    <w:p>
      <w:pPr>
        <w:tabs>
          <w:tab w:pos="425" w:val="left"/>
        </w:tabs>
        <w:spacing w:after="60"/>
        <w:ind w:left="425" w:hanging="425"/>
      </w:pPr>
      <w:r>
        <w:rPr>
          <w:b/>
        </w:rPr>
        <w:t>5.</w:t>
        <w:tab/>
      </w:r>
      <w:r>
        <w:t xml:space="preserve">Zielplatz scannen und </w:t>
      </w:r>
      <w:r>
        <w:rPr>
          <w:b/>
        </w:rPr>
        <w:t>OK</w:t>
      </w:r>
      <w:r>
        <w:t xml:space="preserve"> bzw. </w:t>
      </w:r>
      <w:r>
        <w:rPr>
          <w:b/>
        </w:rPr>
        <w:t>Enter</w:t>
      </w:r>
      <w:r>
        <w:t xml:space="preserve">. </w:t>
      </w:r>
      <w:r>
        <w:rPr>
          <w:b/>
        </w:rPr>
        <w:t>MLD010 Information</w:t>
      </w:r>
      <w:r>
        <w:t xml:space="preserve"> zeigt Menge, Quell- und Zielplatz.</w:t>
      </w:r>
    </w:p>
    <w:p>
      <w:pPr>
        <w:pStyle w:val="Quelle"/>
      </w:pPr>
      <w:r>
        <w:rPr>
          <w:b/>
        </w:rPr>
        <w:t xml:space="preserve">Quelle: </w:t>
      </w:r>
      <w:r>
        <w:rPr>
          <w:sz w:val="17"/>
        </w:rPr>
        <w:t>Benutzerhandbuch 2.7, Kap. 6.3.4 (S. 127)</w:t>
      </w:r>
    </w:p>
    <w:p>
      <w:pPr>
        <w:pStyle w:val="Heading2"/>
      </w:pPr>
      <w:r>
        <w:t>7.4 Box-Fächer anpassen (Trennwände)</w:t>
      </w:r>
    </w:p>
    <w:p>
      <w:pPr>
        <w:pStyle w:val="ListBullet"/>
      </w:pPr>
      <w:r>
        <w:rPr>
          <w:b/>
        </w:rPr>
        <w:t>Trennwand entfernen:</w:t>
      </w:r>
      <w:r>
        <w:t xml:space="preserve"> In </w:t>
      </w:r>
      <w:r>
        <w:rPr>
          <w:b/>
        </w:rPr>
        <w:t>LM002</w:t>
      </w:r>
      <w:r>
        <w:t xml:space="preserve"> die unterteilte Box wählen, </w:t>
      </w:r>
      <w:r>
        <w:rPr>
          <w:b/>
        </w:rPr>
        <w:t>Box-Fächer bearbeiten</w:t>
      </w:r>
      <w:r>
        <w:t xml:space="preserve"> → </w:t>
      </w:r>
      <w:r>
        <w:rPr>
          <w:b/>
        </w:rPr>
        <w:t>LM0135 Unterteilte Box pflegen</w:t>
      </w:r>
      <w:r>
        <w:t xml:space="preserve"> → Trennwand wählen → </w:t>
      </w:r>
      <w:r>
        <w:rPr>
          <w:b/>
        </w:rPr>
        <w:t>Trennwand entfernen</w:t>
      </w:r>
      <w:r>
        <w:t>. Nicht möglich, wenn Bestand in den Fächern liegt oder eine Reservierung besteht.</w:t>
      </w:r>
    </w:p>
    <w:p>
      <w:pPr>
        <w:pStyle w:val="ListBullet"/>
      </w:pPr>
      <w:r>
        <w:rPr>
          <w:b/>
        </w:rPr>
        <w:t>Trennwand hinzufügen:</w:t>
      </w:r>
      <w:r>
        <w:t xml:space="preserve"> Box wählen, </w:t>
      </w:r>
      <w:r>
        <w:rPr>
          <w:b/>
        </w:rPr>
        <w:t>Vergrößern</w:t>
      </w:r>
      <w:r>
        <w:t xml:space="preserve"> → </w:t>
      </w:r>
      <w:r>
        <w:rPr>
          <w:b/>
        </w:rPr>
        <w:t>LM0135</w:t>
      </w:r>
      <w:r>
        <w:t xml:space="preserve"> → Trennwand wählen → </w:t>
      </w:r>
      <w:r>
        <w:rPr>
          <w:b/>
        </w:rPr>
        <w:t>Trennwand hinzufügen</w:t>
      </w:r>
      <w:r>
        <w:t>, ggf. Position wählen. Nur für leere, teilbare Fächer.</w:t>
      </w:r>
    </w:p>
    <w:p>
      <w:pPr>
        <w:pStyle w:val="Quelle"/>
      </w:pPr>
      <w:r>
        <w:rPr>
          <w:b/>
        </w:rPr>
        <w:t xml:space="preserve">Quelle: </w:t>
      </w:r>
      <w:r>
        <w:rPr>
          <w:sz w:val="17"/>
        </w:rPr>
        <w:t>Benutzerhandbuch 2.7, Kap. 6.1.8 (S. 89–90)</w:t>
      </w:r>
    </w:p>
    <w:p>
      <w:pPr>
        <w:pStyle w:val="Heading2"/>
      </w:pPr>
      <w:r>
        <w:t>7.5 Externe LE zwischenlagern und wieder holen</w:t>
      </w:r>
    </w:p>
    <w:p>
      <w:r>
        <w:t xml:space="preserve">Externe Ladeeinheiten (z. B. Versand-LE eines Kommissionierbedarfs) können vorübergehend im SSI LOGIMAT gelagert werden, z. B. bis zur Abholung oder bis Restbestand verfügbar ist. Alle Schritte im Touch-Client unter </w:t>
      </w:r>
      <w:r>
        <w:rPr>
          <w:b/>
        </w:rPr>
        <w:t>Tools</w:t>
      </w:r>
      <w:r>
        <w:t xml:space="preserve"> → </w:t>
      </w:r>
      <w:r>
        <w:rPr>
          <w:b/>
        </w:rPr>
        <w:t>LM045 Ziel-Ladeeinheiten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02"/>
        <w:gridCol w:w="4111"/>
        <w:gridCol w:w="4111"/>
      </w:tblGrid>
      <w:tr>
        <w:trPr>
          <w:tblHeader w:val="true"/>
        </w:trPr>
        <w:tc>
          <w:tcPr>
            <w:tcW w:type="dxa" w:w="1302"/>
            <w:shd w:val="clear" w:color="auto" w:fill="FEEE19"/>
          </w:tcPr>
          <w:p>
            <w:pPr>
              <w:spacing w:after="0"/>
            </w:pPr>
            <w:r>
              <w:rPr>
                <w:b/>
                <w:sz w:val="17"/>
              </w:rPr>
              <w:t>Aufgabe</w:t>
            </w:r>
          </w:p>
        </w:tc>
        <w:tc>
          <w:tcPr>
            <w:tcW w:type="dxa" w:w="4111"/>
            <w:shd w:val="clear" w:color="auto" w:fill="FEEE19"/>
          </w:tcPr>
          <w:p>
            <w:pPr>
              <w:spacing w:after="0"/>
            </w:pPr>
            <w:r>
              <w:rPr>
                <w:b/>
                <w:sz w:val="17"/>
              </w:rPr>
              <w:t>Ablauf</w:t>
            </w:r>
          </w:p>
        </w:tc>
        <w:tc>
          <w:tcPr>
            <w:tcW w:type="dxa" w:w="4111"/>
            <w:shd w:val="clear" w:color="auto" w:fill="FEEE19"/>
          </w:tcPr>
          <w:p>
            <w:pPr>
              <w:spacing w:after="0"/>
            </w:pPr>
            <w:r>
              <w:rPr>
                <w:b/>
                <w:sz w:val="17"/>
              </w:rPr>
              <w:t>Hinweis</w:t>
            </w:r>
          </w:p>
        </w:tc>
      </w:tr>
      <w:tr>
        <w:tc>
          <w:tcPr>
            <w:tcW w:type="dxa" w:w="1302"/>
          </w:tcPr>
          <w:p>
            <w:pPr>
              <w:spacing w:after="0" w:line="252" w:lineRule="auto"/>
            </w:pPr>
            <w:r>
              <w:rPr>
                <w:sz w:val="17"/>
              </w:rPr>
              <w:t>LE-ID zuordnen</w:t>
            </w:r>
          </w:p>
        </w:tc>
        <w:tc>
          <w:tcPr>
            <w:tcW w:type="dxa" w:w="4111"/>
          </w:tcPr>
          <w:p>
            <w:pPr>
              <w:spacing w:after="0" w:line="252" w:lineRule="auto"/>
            </w:pPr>
            <w:r>
              <w:rPr>
                <w:b/>
                <w:sz w:val="17"/>
              </w:rPr>
              <w:t>Suche</w:t>
            </w:r>
            <w:r>
              <w:rPr>
                <w:sz w:val="17"/>
              </w:rPr>
              <w:t xml:space="preserve"> → externe LE wählen → </w:t>
            </w:r>
            <w:r>
              <w:rPr>
                <w:b/>
                <w:sz w:val="17"/>
              </w:rPr>
              <w:t>Scannen</w:t>
            </w:r>
          </w:p>
        </w:tc>
        <w:tc>
          <w:tcPr>
            <w:tcW w:type="dxa" w:w="4111"/>
          </w:tcPr>
          <w:p>
            <w:pPr>
              <w:spacing w:after="0" w:line="252" w:lineRule="auto"/>
            </w:pPr>
            <w:r>
              <w:rPr>
                <w:sz w:val="17"/>
              </w:rPr>
              <w:t>–</w:t>
            </w:r>
          </w:p>
        </w:tc>
      </w:tr>
      <w:tr>
        <w:tc>
          <w:tcPr>
            <w:tcW w:type="dxa" w:w="1302"/>
          </w:tcPr>
          <w:p>
            <w:pPr>
              <w:spacing w:after="0" w:line="252" w:lineRule="auto"/>
            </w:pPr>
            <w:r>
              <w:rPr>
                <w:sz w:val="17"/>
              </w:rPr>
              <w:t>LE einlagern</w:t>
            </w:r>
          </w:p>
        </w:tc>
        <w:tc>
          <w:tcPr>
            <w:tcW w:type="dxa" w:w="4111"/>
          </w:tcPr>
          <w:p>
            <w:pPr>
              <w:spacing w:after="0" w:line="252" w:lineRule="auto"/>
            </w:pPr>
            <w:r>
              <w:rPr>
                <w:sz w:val="17"/>
              </w:rPr>
              <w:t xml:space="preserve">LE wählen → </w:t>
            </w:r>
            <w:r>
              <w:rPr>
                <w:b/>
                <w:sz w:val="17"/>
              </w:rPr>
              <w:t>LE für Rücklagerung kennzeichnen</w:t>
            </w:r>
            <w:r>
              <w:rPr>
                <w:sz w:val="17"/>
              </w:rPr>
              <w:t xml:space="preserve"> → in </w:t>
            </w:r>
            <w:r>
              <w:rPr>
                <w:b/>
                <w:sz w:val="17"/>
              </w:rPr>
              <w:t>LM109</w:t>
            </w:r>
            <w:r>
              <w:rPr>
                <w:sz w:val="17"/>
              </w:rPr>
              <w:t xml:space="preserve"> Boxtyp wählen → bestätigen</w:t>
            </w:r>
          </w:p>
        </w:tc>
        <w:tc>
          <w:tcPr>
            <w:tcW w:type="dxa" w:w="4111"/>
          </w:tcPr>
          <w:p>
            <w:pPr>
              <w:spacing w:after="0" w:line="252" w:lineRule="auto"/>
            </w:pPr>
            <w:r>
              <w:rPr>
                <w:sz w:val="17"/>
              </w:rPr>
              <w:t>Es wird eine Tablaranforderung angelegt. Nicht möglich bei Kommissionierreservierungen auf der LE</w:t>
            </w:r>
          </w:p>
        </w:tc>
      </w:tr>
      <w:tr>
        <w:tc>
          <w:tcPr>
            <w:tcW w:type="dxa" w:w="1302"/>
          </w:tcPr>
          <w:p>
            <w:pPr>
              <w:spacing w:after="0" w:line="252" w:lineRule="auto"/>
            </w:pPr>
            <w:r>
              <w:rPr>
                <w:sz w:val="17"/>
              </w:rPr>
              <w:t>LE wieder auslagern</w:t>
            </w:r>
          </w:p>
        </w:tc>
        <w:tc>
          <w:tcPr>
            <w:tcW w:type="dxa" w:w="4111"/>
          </w:tcPr>
          <w:p>
            <w:pPr>
              <w:spacing w:after="0" w:line="252" w:lineRule="auto"/>
            </w:pPr>
            <w:r>
              <w:rPr>
                <w:sz w:val="17"/>
              </w:rPr>
              <w:t xml:space="preserve">LE wählen → </w:t>
            </w:r>
            <w:r>
              <w:rPr>
                <w:b/>
                <w:sz w:val="17"/>
              </w:rPr>
              <w:t>LE für Auslagerung kennzeichnen</w:t>
            </w:r>
          </w:p>
        </w:tc>
        <w:tc>
          <w:tcPr>
            <w:tcW w:type="dxa" w:w="4111"/>
          </w:tcPr>
          <w:p>
            <w:pPr>
              <w:spacing w:after="0" w:line="252" w:lineRule="auto"/>
            </w:pPr>
            <w:r>
              <w:rPr>
                <w:sz w:val="17"/>
              </w:rPr>
              <w:t>Tablaranforderung; Hinweis mit LE-ID und Abgabeplatz. Wird die Box leer, wird sie aus dem Layout entfernt</w:t>
            </w:r>
          </w:p>
        </w:tc>
      </w:tr>
      <w:tr>
        <w:tc>
          <w:tcPr>
            <w:tcW w:type="dxa" w:w="1302"/>
          </w:tcPr>
          <w:p>
            <w:pPr>
              <w:spacing w:after="0" w:line="252" w:lineRule="auto"/>
            </w:pPr>
            <w:r>
              <w:rPr>
                <w:sz w:val="17"/>
              </w:rPr>
              <w:t>LE-Etikett drucken</w:t>
            </w:r>
          </w:p>
        </w:tc>
        <w:tc>
          <w:tcPr>
            <w:tcW w:type="dxa" w:w="4111"/>
          </w:tcPr>
          <w:p>
            <w:pPr>
              <w:spacing w:after="0" w:line="252" w:lineRule="auto"/>
            </w:pPr>
            <w:r>
              <w:rPr>
                <w:sz w:val="17"/>
              </w:rPr>
              <w:t xml:space="preserve">LE wählen → </w:t>
            </w:r>
            <w:r>
              <w:rPr>
                <w:b/>
                <w:sz w:val="17"/>
              </w:rPr>
              <w:t>Drucken</w:t>
            </w:r>
          </w:p>
        </w:tc>
        <w:tc>
          <w:tcPr>
            <w:tcW w:type="dxa" w:w="4111"/>
          </w:tcPr>
          <w:p>
            <w:pPr>
              <w:spacing w:after="0" w:line="252" w:lineRule="auto"/>
            </w:pPr>
            <w:r>
              <w:rPr>
                <w:sz w:val="17"/>
              </w:rPr>
              <w:t>–</w:t>
            </w:r>
          </w:p>
        </w:tc>
      </w:tr>
    </w:tbl>
    <w:p>
      <w:pPr>
        <w:pStyle w:val="BeschriftungSSI"/>
      </w:pPr>
      <w:r>
        <w:t>Tab. 10: Externe LE in LM045</w:t>
      </w:r>
    </w:p>
    <w:p>
      <w:r>
        <w:t>Solange die LE im SSI LOGIMAT liegt, kann der ursprüngliche Kommissionierbedarf nicht fertiggestellt werden.</w:t>
      </w:r>
    </w:p>
    <w:p>
      <w:pPr>
        <w:pStyle w:val="Quelle"/>
      </w:pPr>
      <w:r>
        <w:rPr>
          <w:b/>
        </w:rPr>
        <w:t xml:space="preserve">Quelle: </w:t>
      </w:r>
      <w:r>
        <w:rPr>
          <w:sz w:val="17"/>
        </w:rPr>
        <w:t>Benutzerhandbuch 2.7, Kap. 6.7.1 (S. 149–151)</w:t>
      </w:r>
    </w:p>
    <w:p>
      <w:pPr>
        <w:pStyle w:val="Heading2"/>
      </w:pPr>
      <w:r>
        <w:t>7.6 LE auf einen Zielplatz buchen</w:t>
      </w:r>
    </w:p>
    <w:p>
      <w:r>
        <w:t xml:space="preserve">Im Touch-Client unter </w:t>
      </w:r>
      <w:r>
        <w:rPr>
          <w:b/>
        </w:rPr>
        <w:t>Tools</w:t>
      </w:r>
      <w:r>
        <w:t xml:space="preserve"> → </w:t>
      </w:r>
      <w:r>
        <w:rPr>
          <w:b/>
        </w:rPr>
        <w:t>LM044 Zielplätze</w:t>
      </w:r>
      <w:r>
        <w:t xml:space="preserve">: </w:t>
      </w:r>
      <w:r>
        <w:rPr>
          <w:b/>
        </w:rPr>
        <w:t>Suche</w:t>
      </w:r>
      <w:r>
        <w:t xml:space="preserve"> → Zielplatz wählen → </w:t>
      </w:r>
      <w:r>
        <w:rPr>
          <w:b/>
        </w:rPr>
        <w:t>LE buchen</w:t>
      </w:r>
      <w:r>
        <w:t xml:space="preserve"> → in </w:t>
      </w:r>
      <w:r>
        <w:rPr>
          <w:b/>
        </w:rPr>
        <w:t>LM107</w:t>
      </w:r>
      <w:r>
        <w:t xml:space="preserve"> die </w:t>
      </w:r>
      <w:r>
        <w:rPr>
          <w:rFonts w:ascii="Consolas" w:hAnsi="Consolas" w:cs="Consolas" w:eastAsia="Consolas"/>
          <w:sz w:val="18"/>
        </w:rPr>
        <w:t>LE-ID</w:t>
      </w:r>
      <w:r>
        <w:t xml:space="preserve"> eingeben → </w:t>
      </w:r>
      <w:r>
        <w:rPr>
          <w:b/>
        </w:rPr>
        <w:t>LE buchen</w:t>
      </w:r>
      <w:r>
        <w:t>. Zielplätze sind LE-orientierte Plätze außerhalb des SSI LOGIMAT, z. B. für Put to Light.</w:t>
      </w:r>
    </w:p>
    <w:p>
      <w:pPr>
        <w:pStyle w:val="Quelle"/>
      </w:pPr>
      <w:r>
        <w:rPr>
          <w:b/>
        </w:rPr>
        <w:t xml:space="preserve">Quelle: </w:t>
      </w:r>
      <w:r>
        <w:rPr>
          <w:sz w:val="17"/>
        </w:rPr>
        <w:t>Benutzerhandbuch 2.7, Kap. 5.4 (S. 68–70)</w:t>
      </w:r>
    </w:p>
    <w:p>
      <w:pPr>
        <w:pStyle w:val="Heading2"/>
      </w:pPr>
      <w:r>
        <w:t>7.7 LE für Einlagerung oder Kommissionierung sperren</w:t>
      </w:r>
    </w:p>
    <w:p>
      <w:r>
        <w:t xml:space="preserve">Am Desktop in </w:t>
      </w:r>
      <w:r>
        <w:rPr>
          <w:b/>
        </w:rPr>
        <w:t>SM023 Übersicht Ladeeinheiten</w:t>
      </w:r>
      <w:r>
        <w:t xml:space="preserve">: LE suchen und wählen → Registerkarte </w:t>
      </w:r>
      <w:r>
        <w:rPr>
          <w:b/>
        </w:rPr>
        <w:t>Ladeeinheitensperren</w:t>
      </w:r>
      <w:r>
        <w:t xml:space="preserve"> im Bereich </w:t>
      </w:r>
      <w:r>
        <w:rPr>
          <w:b/>
        </w:rPr>
        <w:t>Details</w:t>
      </w:r>
      <w:r>
        <w:t xml:space="preserve"> → Kontextmenü </w:t>
      </w:r>
      <w:r>
        <w:rPr>
          <w:b/>
        </w:rPr>
        <w:t>Ladeeinheit für Einlagerung sperren</w:t>
      </w:r>
      <w:r>
        <w:t xml:space="preserve"> bzw. </w:t>
      </w:r>
      <w:r>
        <w:rPr>
          <w:b/>
        </w:rPr>
        <w:t>Ladeeinheit für Kommissionierung sperren</w:t>
      </w:r>
      <w:r>
        <w:t xml:space="preserve"> → in </w:t>
      </w:r>
      <w:r>
        <w:rPr>
          <w:b/>
        </w:rPr>
        <w:t>LM121</w:t>
      </w:r>
      <w:r>
        <w:t xml:space="preserve"> Sperrgrund wählen → </w:t>
      </w:r>
      <w:r>
        <w:rPr>
          <w:b/>
        </w:rPr>
        <w:t>Sperre hinzufügen</w:t>
      </w:r>
      <w:r>
        <w:t xml:space="preserve">. Aufheben über </w:t>
      </w:r>
      <w:r>
        <w:rPr>
          <w:b/>
        </w:rPr>
        <w:t>Ladeeinheitensperre aufheben</w:t>
      </w:r>
      <w:r>
        <w:t>. Gesperrte LE bzw. Tablare mit Sperren oder Einschränkungen können nicht angefordert werden.</w:t>
      </w:r>
    </w:p>
    <w:p>
      <w:pPr>
        <w:pStyle w:val="Quelle"/>
      </w:pPr>
      <w:r>
        <w:rPr>
          <w:b/>
        </w:rPr>
        <w:t xml:space="preserve">Quelle: </w:t>
      </w:r>
      <w:r>
        <w:rPr>
          <w:sz w:val="17"/>
        </w:rPr>
        <w:t>Benutzerhandbuch 2.7, Kap. 6.7.2 (S. 151–152) und 6.1.1 (S. 78)</w:t>
      </w:r>
    </w:p>
    <w:p>
      <w:pPr>
        <w:pStyle w:val="Heading1"/>
      </w:pPr>
      <w:r>
        <w:t>8 Bestand zählen und korrigieren</w:t>
      </w:r>
    </w:p>
    <w:p>
      <w:pPr>
        <w:pStyle w:val="Heading2"/>
      </w:pPr>
      <w:r>
        <w:t>8.1 Spontan zählen am Touch-Client</w:t>
      </w:r>
    </w:p>
    <w:p>
      <w:r>
        <w:t xml:space="preserve">Voraussetzung: Tablar in der Öffnung (angefordert mit </w:t>
      </w:r>
      <w:r>
        <w:rPr>
          <w:b/>
        </w:rPr>
        <w:t>ZÄHLEN</w:t>
      </w:r>
      <w:r>
        <w:t xml:space="preserve"> oder per Tablarnummer), </w:t>
      </w:r>
      <w:r>
        <w:rPr>
          <w:b/>
        </w:rPr>
        <w:t>LM002</w:t>
      </w:r>
      <w:r>
        <w:t xml:space="preserve"> geöffnet.</w:t>
      </w:r>
    </w:p>
    <w:p>
      <w:pPr>
        <w:tabs>
          <w:tab w:pos="425" w:val="left"/>
        </w:tabs>
        <w:spacing w:after="60"/>
        <w:ind w:left="425" w:hanging="425"/>
      </w:pPr>
      <w:r>
        <w:rPr>
          <w:b/>
        </w:rPr>
        <w:t>1.</w:t>
        <w:tab/>
      </w:r>
      <w:r>
        <w:t>Box im Layout wählen.</w:t>
      </w:r>
    </w:p>
    <w:p>
      <w:pPr>
        <w:tabs>
          <w:tab w:pos="425" w:val="left"/>
        </w:tabs>
        <w:spacing w:after="60"/>
        <w:ind w:left="425" w:hanging="425"/>
      </w:pPr>
      <w:r>
        <w:rPr>
          <w:b/>
        </w:rPr>
        <w:t>2.</w:t>
        <w:tab/>
      </w:r>
      <w:r>
        <w:t xml:space="preserve">Icon </w:t>
      </w:r>
      <w:r>
        <w:rPr>
          <w:b/>
        </w:rPr>
        <w:t>Inventur durchführen</w:t>
      </w:r>
      <w:r>
        <w:t xml:space="preserve"> antippen.</w:t>
      </w:r>
    </w:p>
    <w:p>
      <w:pPr>
        <w:tabs>
          <w:tab w:pos="425" w:val="left"/>
        </w:tabs>
        <w:spacing w:after="60"/>
        <w:ind w:left="425" w:hanging="425"/>
      </w:pPr>
      <w:r>
        <w:rPr>
          <w:b/>
        </w:rPr>
        <w:t>3.</w:t>
        <w:tab/>
      </w:r>
      <w:r>
        <w:t xml:space="preserve">Ware zählen und die </w:t>
      </w:r>
      <w:r>
        <w:rPr>
          <w:b/>
        </w:rPr>
        <w:t>gezählte</w:t>
      </w:r>
      <w:r>
        <w:t xml:space="preserve"> Menge im Feld </w:t>
      </w:r>
      <w:r>
        <w:rPr>
          <w:b/>
        </w:rPr>
        <w:t>Menge</w:t>
      </w:r>
      <w:r>
        <w:t xml:space="preserve"> eingeben (oder über </w:t>
      </w:r>
      <w:r>
        <w:rPr>
          <w:b/>
        </w:rPr>
        <w:t>Waagenvorgänge anzeigen</w:t>
      </w:r>
      <w:r>
        <w:t>).</w:t>
      </w:r>
    </w:p>
    <w:p>
      <w:pPr>
        <w:tabs>
          <w:tab w:pos="425" w:val="left"/>
        </w:tabs>
        <w:spacing w:after="60"/>
        <w:ind w:left="425" w:hanging="425"/>
      </w:pPr>
      <w:r>
        <w:rPr>
          <w:b/>
        </w:rPr>
        <w:t>4.</w:t>
        <w:tab/>
      </w:r>
      <w:r>
        <w:t>Ggf. Mengeneinheit und Attribute (MHD, Produktionsdatum, Charge) eingeben.</w:t>
      </w:r>
    </w:p>
    <w:p>
      <w:pPr>
        <w:tabs>
          <w:tab w:pos="425" w:val="left"/>
        </w:tabs>
        <w:spacing w:after="60"/>
        <w:ind w:left="425" w:hanging="425"/>
      </w:pPr>
      <w:r>
        <w:rPr>
          <w:b/>
        </w:rPr>
        <w:t>5.</w:t>
        <w:tab/>
      </w:r>
      <w:r>
        <w:rPr>
          <w:b/>
        </w:rPr>
        <w:t>OK</w:t>
      </w:r>
      <w:r>
        <w:t xml:space="preserve"> antippen.</w:t>
      </w:r>
    </w:p>
    <w:p>
      <w:r>
        <w:t>Ergebnis: Die gezählte Menge wird gebucht. Bei einer Differenz und angebundenem Systempartner wird eine Bestandskorrekturmeldung gesendet. Einschränkungen:</w:t>
      </w:r>
    </w:p>
    <w:p>
      <w:pPr>
        <w:pStyle w:val="ListBullet"/>
      </w:pPr>
      <w:r>
        <w:t>Ohne Artikel-zu-Box-Zuordnung kann in der Box nicht gezählt werden.</w:t>
      </w:r>
    </w:p>
    <w:p>
      <w:pPr>
        <w:pStyle w:val="ListBullet"/>
      </w:pPr>
      <w:r>
        <w:t xml:space="preserve">Ist </w:t>
      </w:r>
      <w:r>
        <w:rPr>
          <w:rFonts w:ascii="Consolas" w:hAnsi="Consolas" w:cs="Consolas" w:eastAsia="Consolas"/>
          <w:sz w:val="18"/>
        </w:rPr>
        <w:t>logimat.dialogs.lm002.limitBoxToMaxAmountForInventory</w:t>
      </w:r>
      <w:r>
        <w:t xml:space="preserve"> aktiv, darf die Menge die maximale Boxmenge nicht überschreiten.</w:t>
      </w:r>
    </w:p>
    <w:p>
      <w:pPr>
        <w:pStyle w:val="ListBullet"/>
      </w:pPr>
      <w:r>
        <w:t>Wurden bestandsidentifizierende Attribute trotz Reservierungen geändert, kann der Vorgang nicht abgeschlossen werden.</w:t>
      </w:r>
    </w:p>
    <w:p>
      <w:pPr>
        <w:pStyle w:val="ListBullet"/>
      </w:pPr>
      <w:r>
        <w:t xml:space="preserve">Überlastwarnung mit </w:t>
      </w:r>
      <w:r>
        <w:rPr>
          <w:b/>
        </w:rPr>
        <w:t>Ja</w:t>
      </w:r>
      <w:r>
        <w:t>/</w:t>
      </w:r>
      <w:r>
        <w:rPr>
          <w:b/>
        </w:rPr>
        <w:t>Nein</w:t>
      </w:r>
      <w:r>
        <w:t xml:space="preserve"> wie bei der Einlagerung.</w:t>
      </w:r>
    </w:p>
    <w:p>
      <w:pPr>
        <w:pStyle w:val="Quelle"/>
      </w:pPr>
      <w:r>
        <w:rPr>
          <w:b/>
        </w:rPr>
        <w:t xml:space="preserve">Quelle: </w:t>
      </w:r>
      <w:r>
        <w:rPr>
          <w:sz w:val="17"/>
        </w:rPr>
        <w:t>Benutzerhandbuch 2.7, Kap. 6.1.7 (S. 87–89); Administratorhandbuch 2.7, Kap. 3.11.2 (S. 176)</w:t>
      </w:r>
    </w:p>
    <w:p>
      <w:pPr>
        <w:pStyle w:val="Heading2"/>
      </w:pPr>
      <w:r>
        <w:t>8.2 Spontane Inventur an externen Plätzen (Mobilterminal)</w:t>
      </w:r>
    </w:p>
    <w:p>
      <w:pPr>
        <w:tabs>
          <w:tab w:pos="425" w:val="left"/>
        </w:tabs>
        <w:spacing w:after="60"/>
        <w:ind w:left="425" w:hanging="425"/>
      </w:pPr>
      <w:r>
        <w:rPr>
          <w:b/>
        </w:rPr>
        <w:t>1.</w:t>
        <w:tab/>
      </w:r>
      <w:r>
        <w:t xml:space="preserve">In </w:t>
      </w:r>
      <w:r>
        <w:rPr>
          <w:b/>
        </w:rPr>
        <w:t>WLM001 Tätigkeiten</w:t>
      </w:r>
      <w:r>
        <w:t xml:space="preserve"> </w:t>
      </w:r>
      <w:r>
        <w:rPr>
          <w:b/>
        </w:rPr>
        <w:t>Spontane Inventur</w:t>
      </w:r>
      <w:r>
        <w:t xml:space="preserve"> wählen. </w:t>
      </w:r>
      <w:r>
        <w:rPr>
          <w:b/>
        </w:rPr>
        <w:t>MSLI001 Lagerplatz scannen</w:t>
      </w:r>
      <w:r>
        <w:t xml:space="preserve"> öffnet sich.</w:t>
      </w:r>
    </w:p>
    <w:p>
      <w:pPr>
        <w:tabs>
          <w:tab w:pos="425" w:val="left"/>
        </w:tabs>
        <w:spacing w:after="60"/>
        <w:ind w:left="425" w:hanging="425"/>
      </w:pPr>
      <w:r>
        <w:rPr>
          <w:b/>
        </w:rPr>
        <w:t>2.</w:t>
        <w:tab/>
      </w:r>
      <w:r>
        <w:t xml:space="preserve">Lagerplatz scannen, </w:t>
      </w:r>
      <w:r>
        <w:rPr>
          <w:b/>
        </w:rPr>
        <w:t>OK</w:t>
      </w:r>
      <w:r>
        <w:t xml:space="preserve">. </w:t>
      </w:r>
      <w:r>
        <w:rPr>
          <w:b/>
        </w:rPr>
        <w:t>MLSI002 Artikel scannen</w:t>
      </w:r>
      <w:r>
        <w:t xml:space="preserve"> öffnet sich.</w:t>
      </w:r>
    </w:p>
    <w:p>
      <w:pPr>
        <w:tabs>
          <w:tab w:pos="425" w:val="left"/>
        </w:tabs>
        <w:spacing w:after="60"/>
        <w:ind w:left="425" w:hanging="425"/>
      </w:pPr>
      <w:r>
        <w:rPr>
          <w:b/>
        </w:rPr>
        <w:t>3.</w:t>
        <w:tab/>
      </w:r>
      <w:r>
        <w:t xml:space="preserve">Artikel scannen, </w:t>
      </w:r>
      <w:r>
        <w:rPr>
          <w:b/>
        </w:rPr>
        <w:t>OK</w:t>
      </w:r>
      <w:r>
        <w:t xml:space="preserve">. </w:t>
      </w:r>
      <w:r>
        <w:rPr>
          <w:b/>
        </w:rPr>
        <w:t>MLSI004 Zählung bestätigen</w:t>
      </w:r>
      <w:r>
        <w:t xml:space="preserve"> öffnet sich.</w:t>
      </w:r>
    </w:p>
    <w:p>
      <w:pPr>
        <w:tabs>
          <w:tab w:pos="425" w:val="left"/>
        </w:tabs>
        <w:spacing w:after="60"/>
        <w:ind w:left="425" w:hanging="425"/>
      </w:pPr>
      <w:r>
        <w:rPr>
          <w:b/>
        </w:rPr>
        <w:t>4.</w:t>
        <w:tab/>
      </w:r>
      <w:r>
        <w:t xml:space="preserve">Gezählte Menge eingeben (oder über das Icon neben </w:t>
      </w:r>
      <w:r>
        <w:rPr>
          <w:b/>
        </w:rPr>
        <w:t>Stk.</w:t>
      </w:r>
      <w:r>
        <w:t xml:space="preserve"> in </w:t>
      </w:r>
      <w:r>
        <w:rPr>
          <w:b/>
        </w:rPr>
        <w:t>MAP030 Menge anpassen</w:t>
      </w:r>
      <w:r>
        <w:t>).</w:t>
      </w:r>
    </w:p>
    <w:p>
      <w:pPr>
        <w:tabs>
          <w:tab w:pos="425" w:val="left"/>
        </w:tabs>
        <w:spacing w:after="60"/>
        <w:ind w:left="425" w:hanging="425"/>
      </w:pPr>
      <w:r>
        <w:rPr>
          <w:b/>
        </w:rPr>
        <w:t>5.</w:t>
        <w:tab/>
      </w:r>
      <w:r>
        <w:t xml:space="preserve">Lagerplatz scannen bzw. eingeben. </w:t>
      </w:r>
      <w:r>
        <w:rPr>
          <w:b/>
        </w:rPr>
        <w:t>MLSI003 Zählung fertig</w:t>
      </w:r>
      <w:r>
        <w:t xml:space="preserve"> bestätigt den Abschluss.</w:t>
      </w:r>
    </w:p>
    <w:p>
      <w:r>
        <w:t>Die Istmenge ist gebucht; Sie können mit dem nächsten Platz fortfahren.</w:t>
      </w:r>
    </w:p>
    <w:p>
      <w:pPr>
        <w:pStyle w:val="Quelle"/>
      </w:pPr>
      <w:r>
        <w:rPr>
          <w:b/>
        </w:rPr>
        <w:t xml:space="preserve">Quelle: </w:t>
      </w:r>
      <w:r>
        <w:rPr>
          <w:sz w:val="17"/>
        </w:rPr>
        <w:t>Benutzerhandbuch 2.7, Kap. 6.3.5 (S. 127–128)</w:t>
      </w:r>
    </w:p>
    <w:p>
      <w:pPr>
        <w:pStyle w:val="Heading2"/>
      </w:pPr>
      <w:r>
        <w:t>8.3 Korrektur über Zu- oder Abbuchung</w:t>
      </w:r>
    </w:p>
    <w:p>
      <w:r>
        <w:t xml:space="preserve">Wenn Sie eine bekannte Differenz direkt korrigieren möchten, ohne zu zählen, buchen Sie die Differenzmenge spontan ein (Kapitel 5.1) oder aus (Kapitel 6.1) und wählen in </w:t>
      </w:r>
      <w:r>
        <w:rPr>
          <w:b/>
        </w:rPr>
        <w:t>LM101</w:t>
      </w:r>
      <w:r>
        <w:t xml:space="preserve"> einen passenden Buchungsschlüssel, z. B. „Bruch“ oder „Fund“. Bevorzugen Sie bei unklarer Menge das Zählen (Kapitel 8.1), weil dort der tatsächliche Bestand erfasst wird.</w:t>
      </w:r>
    </w:p>
    <w:p>
      <w:pPr>
        <w:pStyle w:val="Quelle"/>
      </w:pPr>
      <w:r>
        <w:rPr>
          <w:b/>
        </w:rPr>
        <w:t xml:space="preserve">Quelle: </w:t>
      </w:r>
      <w:r>
        <w:rPr>
          <w:sz w:val="17"/>
        </w:rPr>
        <w:t>Benutzerhandbuch 2.7, Kap. 6.1.4–6.1.5; Administratorhandbuch 2.7, Kap. 3.6.1.8</w:t>
      </w:r>
    </w:p>
    <w:p>
      <w:pPr>
        <w:pStyle w:val="Heading2"/>
      </w:pPr>
      <w:r>
        <w:t>8.4 Strukturierte Zählung mit Inventurbedarf</w:t>
      </w:r>
    </w:p>
    <w:p>
      <w:r>
        <w:t>Für Zählungen ganzer Zonen, Lifte, Tablare oder Artikellisten legen Sie am Desktop einen Inventurbedarf an (</w:t>
      </w:r>
      <w:r>
        <w:rPr>
          <w:b/>
        </w:rPr>
        <w:t>LM090</w:t>
      </w:r>
      <w:r>
        <w:t xml:space="preserve"> Übersicht, </w:t>
      </w:r>
      <w:r>
        <w:rPr>
          <w:b/>
        </w:rPr>
        <w:t>LM091</w:t>
      </w:r>
      <w:r>
        <w:t xml:space="preserve"> pflegen), siehe Kapitel 9.3. Die Ergebnisse und Differenzen sehen Sie im Desktop-Dialog </w:t>
      </w:r>
      <w:r>
        <w:rPr>
          <w:b/>
        </w:rPr>
        <w:t>LM094 Übersicht Inventurergebnisse</w:t>
      </w:r>
      <w:r>
        <w:t>, der als Zählliste exportiert werden kann.</w:t>
      </w:r>
    </w:p>
    <w:p>
      <w:pPr>
        <w:keepNext/>
      </w:pPr>
      <w:r>
        <w:drawing>
          <wp:inline xmlns:a="http://schemas.openxmlformats.org/drawingml/2006/main" xmlns:pic="http://schemas.openxmlformats.org/drawingml/2006/picture">
            <wp:extent cx="5400000" cy="3037500"/>
            <wp:docPr id="112" name="Picture 112"/>
            <wp:cNvGraphicFramePr>
              <a:graphicFrameLocks noChangeAspect="1"/>
            </wp:cNvGraphicFramePr>
            <a:graphic>
              <a:graphicData uri="http://schemas.openxmlformats.org/drawingml/2006/picture">
                <pic:pic>
                  <pic:nvPicPr>
                    <pic:cNvPr id="0" name="lm002_inventur_menge.png"/>
                    <pic:cNvPicPr/>
                  </pic:nvPicPr>
                  <pic:blipFill>
                    <a:blip r:embed="rId22"/>
                    <a:stretch>
                      <a:fillRect/>
                    </a:stretch>
                  </pic:blipFill>
                  <pic:spPr>
                    <a:xfrm>
                      <a:off x="0" y="0"/>
                      <a:ext cx="5400000" cy="3037500"/>
                    </a:xfrm>
                    <a:prstGeom prst="rect"/>
                  </pic:spPr>
                </pic:pic>
              </a:graphicData>
            </a:graphic>
          </wp:inline>
        </w:drawing>
      </w:r>
    </w:p>
    <w:p>
      <w:pPr>
        <w:pStyle w:val="BeschriftungSSI"/>
      </w:pPr>
      <w:r>
        <w:t>Abb. 9: Touch-Client – Inventur: Zählmenge zu einem Inventurbedarf in LM002 (Quelle: SSI Sales-Tool)</w:t>
      </w:r>
    </w:p>
    <w:p>
      <w:pPr>
        <w:keepNext/>
      </w:pPr>
      <w:r>
        <w:drawing>
          <wp:inline xmlns:a="http://schemas.openxmlformats.org/drawingml/2006/main" xmlns:pic="http://schemas.openxmlformats.org/drawingml/2006/picture">
            <wp:extent cx="5760000" cy="3240000"/>
            <wp:docPr id="113" name="Picture 113"/>
            <wp:cNvGraphicFramePr>
              <a:graphicFrameLocks noChangeAspect="1"/>
            </wp:cNvGraphicFramePr>
            <a:graphic>
              <a:graphicData uri="http://schemas.openxmlformats.org/drawingml/2006/picture">
                <pic:pic>
                  <pic:nvPicPr>
                    <pic:cNvPr id="0" name="admin_inventur.png"/>
                    <pic:cNvPicPr/>
                  </pic:nvPicPr>
                  <pic:blipFill>
                    <a:blip r:embed="rId23"/>
                    <a:stretch>
                      <a:fillRect/>
                    </a:stretch>
                  </pic:blipFill>
                  <pic:spPr>
                    <a:xfrm>
                      <a:off x="0" y="0"/>
                      <a:ext cx="5760000" cy="3240000"/>
                    </a:xfrm>
                    <a:prstGeom prst="rect"/>
                  </pic:spPr>
                </pic:pic>
              </a:graphicData>
            </a:graphic>
          </wp:inline>
        </w:drawing>
      </w:r>
    </w:p>
    <w:p>
      <w:pPr>
        <w:pStyle w:val="BeschriftungSSI"/>
      </w:pPr>
      <w:r>
        <w:t>Abb. 10: Desktop – LM094 Übersicht Inventurergebnisse (Quelle: SSI Sales-Tool)</w:t>
      </w:r>
    </w:p>
    <w:p>
      <w:pPr>
        <w:pStyle w:val="Quelle"/>
      </w:pPr>
      <w:r>
        <w:rPr>
          <w:b/>
        </w:rPr>
        <w:t xml:space="preserve">Quelle: </w:t>
      </w:r>
      <w:r>
        <w:rPr>
          <w:sz w:val="17"/>
        </w:rPr>
        <w:t>Benutzerhandbuch 2.7, Kap. 6.2.3 (S. 107–112); Quick Guide Inventur (Release 2.5)</w:t>
      </w:r>
    </w:p>
    <w:p>
      <w:pPr>
        <w:pStyle w:val="Heading2"/>
      </w:pPr>
      <w:r>
        <w:t>8.5 Bestandskorrektur am Desktop</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Desktop-Bestandskorrektur</w:t>
            </w:r>
          </w:p>
          <w:p>
            <w:pPr>
              <w:spacing w:after="40"/>
            </w:pPr>
            <w:r>
              <w:rPr>
                <w:sz w:val="19"/>
              </w:rPr>
              <w:t xml:space="preserve">Die Handbücher 2.7 und 2.8 von WAMAS Lift &amp; Store beschreiben keinen Desktop-Dialog, mit dem Bestand im SSI LOGIMAT direkt korrigiert oder umgebucht werden kann. Der Bestand ist am Desktop z. B. in </w:t>
            </w:r>
            <w:r>
              <w:rPr>
                <w:b/>
                <w:sz w:val="19"/>
              </w:rPr>
              <w:t>SM022 Übersicht Bestandsobjekte</w:t>
            </w:r>
            <w:r>
              <w:rPr>
                <w:sz w:val="19"/>
              </w:rPr>
              <w:t xml:space="preserve"> einsehbar. Ob und mit welchem Recht eine Korrektur am Desktop möglich ist, klären Sie bitte mit SSI SCHÄFER. Bis dahin gilt: Korrekturen erfolgen am Touch-Client (Kapitel 8.1 bzw. 8.3).</w:t>
            </w:r>
          </w:p>
        </w:tc>
      </w:tr>
    </w:tbl>
    <w:p>
      <w:pPr>
        <w:spacing w:after="40"/>
      </w:pPr>
    </w:p>
    <w:p>
      <w:pPr>
        <w:pStyle w:val="Heading1"/>
      </w:pPr>
      <w:r>
        <w:t>9 Aufträge ohne Host selbst anlegen</w:t>
      </w:r>
    </w:p>
    <w:p>
      <w:pPr>
        <w:pStyle w:val="Heading2"/>
      </w:pPr>
      <w:r>
        <w:t>9.1 Einlagerbedarf anlegen</w:t>
      </w:r>
    </w:p>
    <w:p>
      <w:r>
        <w:rPr>
          <w:b/>
        </w:rPr>
        <w:t>Am Desktop (LM081 Einlagerbedarf pflegen):</w:t>
      </w:r>
    </w:p>
    <w:p>
      <w:pPr>
        <w:tabs>
          <w:tab w:pos="425" w:val="left"/>
        </w:tabs>
        <w:spacing w:after="60"/>
        <w:ind w:left="425" w:hanging="425"/>
      </w:pPr>
      <w:r>
        <w:rPr>
          <w:b/>
        </w:rPr>
        <w:t>1.</w:t>
        <w:tab/>
      </w:r>
      <w:r>
        <w:rPr>
          <w:b/>
        </w:rPr>
        <w:t>Klient</w:t>
      </w:r>
      <w:r>
        <w:t xml:space="preserve">, </w:t>
      </w:r>
      <w:r>
        <w:rPr>
          <w:b/>
        </w:rPr>
        <w:t>Lagerstandort</w:t>
      </w:r>
      <w:r>
        <w:t xml:space="preserve"> und </w:t>
      </w:r>
      <w:r>
        <w:rPr>
          <w:b/>
        </w:rPr>
        <w:t>Systempartner</w:t>
      </w:r>
      <w:r>
        <w:t xml:space="preserve"> eingeben.</w:t>
      </w:r>
    </w:p>
    <w:p>
      <w:pPr>
        <w:tabs>
          <w:tab w:pos="425" w:val="left"/>
        </w:tabs>
        <w:spacing w:after="60"/>
        <w:ind w:left="425" w:hanging="425"/>
      </w:pPr>
      <w:r>
        <w:rPr>
          <w:b/>
        </w:rPr>
        <w:t>2.</w:t>
        <w:tab/>
      </w:r>
      <w:r>
        <w:t xml:space="preserve">Registerkarte </w:t>
      </w:r>
      <w:r>
        <w:rPr>
          <w:b/>
        </w:rPr>
        <w:t>Einlagerbedarf</w:t>
      </w:r>
      <w:r>
        <w:t xml:space="preserve">: </w:t>
      </w:r>
      <w:r>
        <w:rPr>
          <w:b/>
        </w:rPr>
        <w:t>Priorität</w:t>
      </w:r>
      <w:r>
        <w:t xml:space="preserve"> (Niedrig, Normal, Hoch; Express für Eilaufträge), </w:t>
      </w:r>
      <w:r>
        <w:rPr>
          <w:b/>
        </w:rPr>
        <w:t>Einlagerbedarfstyp</w:t>
      </w:r>
      <w:r>
        <w:t xml:space="preserve">, optional </w:t>
      </w:r>
      <w:r>
        <w:rPr>
          <w:b/>
        </w:rPr>
        <w:t>Zugeordneter Benutzer</w:t>
      </w:r>
      <w:r>
        <w:t xml:space="preserve"> und </w:t>
      </w:r>
      <w:r>
        <w:rPr>
          <w:b/>
        </w:rPr>
        <w:t>WAMAS Lift &amp; Store-Zone</w:t>
      </w:r>
      <w:r>
        <w:t>.</w:t>
      </w:r>
    </w:p>
    <w:p>
      <w:pPr>
        <w:tabs>
          <w:tab w:pos="425" w:val="left"/>
        </w:tabs>
        <w:spacing w:after="60"/>
        <w:ind w:left="425" w:hanging="425"/>
      </w:pPr>
      <w:r>
        <w:rPr>
          <w:b/>
        </w:rPr>
        <w:t>3.</w:t>
        <w:tab/>
      </w:r>
      <w:r>
        <w:rPr>
          <w:b/>
        </w:rPr>
        <w:t>Datensatz anlegen</w:t>
      </w:r>
      <w:r>
        <w:t xml:space="preserve"> → </w:t>
      </w:r>
      <w:r>
        <w:rPr>
          <w:b/>
        </w:rPr>
        <w:t>LM082 Einlagerbedarfszeile bearbeiten</w:t>
      </w:r>
      <w:r>
        <w:t xml:space="preserve">: Verpackungsversion (Artikel), Bestandsklassifizierung, Wareneigentümer, Menge, ggf. Bestandseinschränkungen und Attribute, </w:t>
      </w:r>
      <w:r>
        <w:rPr>
          <w:b/>
        </w:rPr>
        <w:t>Anwenden</w:t>
      </w:r>
      <w:r>
        <w:t>.</w:t>
      </w:r>
    </w:p>
    <w:p>
      <w:pPr>
        <w:tabs>
          <w:tab w:pos="425" w:val="left"/>
        </w:tabs>
        <w:spacing w:after="60"/>
        <w:ind w:left="425" w:hanging="425"/>
      </w:pPr>
      <w:r>
        <w:rPr>
          <w:b/>
        </w:rPr>
        <w:t>4.</w:t>
        <w:tab/>
      </w:r>
      <w:r>
        <w:t xml:space="preserve">Optional externe Referenz (Schlüssel, Wert 1, Wert 2) auf der Registerkarte </w:t>
      </w:r>
      <w:r>
        <w:rPr>
          <w:b/>
        </w:rPr>
        <w:t>Externe Referenz</w:t>
      </w:r>
      <w:r>
        <w:t>.</w:t>
      </w:r>
    </w:p>
    <w:p>
      <w:pPr>
        <w:tabs>
          <w:tab w:pos="425" w:val="left"/>
        </w:tabs>
        <w:spacing w:after="60"/>
        <w:ind w:left="425" w:hanging="425"/>
      </w:pPr>
      <w:r>
        <w:rPr>
          <w:b/>
        </w:rPr>
        <w:t>5.</w:t>
        <w:tab/>
      </w:r>
      <w:r>
        <w:rPr>
          <w:b/>
        </w:rPr>
        <w:t>Speichern</w:t>
      </w:r>
      <w:r>
        <w:t xml:space="preserve">. Je nach Bedarfstyp ist der Status </w:t>
      </w:r>
      <w:r>
        <w:rPr>
          <w:b/>
        </w:rPr>
        <w:t>Neu</w:t>
      </w:r>
      <w:r>
        <w:t xml:space="preserve"> oder </w:t>
      </w:r>
      <w:r>
        <w:rPr>
          <w:b/>
        </w:rPr>
        <w:t>Freigegeben</w:t>
      </w:r>
      <w:r>
        <w:t>.</w:t>
      </w:r>
    </w:p>
    <w:p>
      <w:r>
        <w:rPr>
          <w:b/>
        </w:rPr>
        <w:t>Am Touch-Client (LM086 Einlagerbedarf anlegen):</w:t>
      </w:r>
      <w:r>
        <w:t xml:space="preserve"> In </w:t>
      </w:r>
      <w:r>
        <w:rPr>
          <w:b/>
        </w:rPr>
        <w:t>LM040</w:t>
      </w:r>
      <w:r>
        <w:t xml:space="preserve">, Registerkarte </w:t>
      </w:r>
      <w:r>
        <w:rPr>
          <w:b/>
        </w:rPr>
        <w:t>Übersicht Aufträge</w:t>
      </w:r>
      <w:r>
        <w:t xml:space="preserve">, </w:t>
      </w:r>
      <w:r>
        <w:rPr>
          <w:b/>
        </w:rPr>
        <w:t>Einlagerbedarf anlegen</w:t>
      </w:r>
      <w:r>
        <w:t xml:space="preserve"> antippen, Systempartner, Klient, Zone, Priorität und Zeilen (</w:t>
      </w:r>
      <w:r>
        <w:rPr>
          <w:b/>
        </w:rPr>
        <w:t>LM111</w:t>
      </w:r>
      <w:r>
        <w:t xml:space="preserve">) erfassen, </w:t>
      </w:r>
      <w:r>
        <w:rPr>
          <w:b/>
        </w:rPr>
        <w:t>Speichern</w:t>
      </w:r>
      <w:r>
        <w:t xml:space="preserve">. Status: </w:t>
      </w:r>
      <w:r>
        <w:rPr>
          <w:b/>
        </w:rPr>
        <w:t>Neu</w:t>
      </w:r>
      <w:r>
        <w:t>. Liegt ein Beleg mit Barcodes vor, können die Daten eingescannt werden.</w:t>
      </w:r>
    </w:p>
    <w:p>
      <w:pPr>
        <w:pStyle w:val="Quelle"/>
      </w:pPr>
      <w:r>
        <w:rPr>
          <w:b/>
        </w:rPr>
        <w:t xml:space="preserve">Quelle: </w:t>
      </w:r>
      <w:r>
        <w:rPr>
          <w:sz w:val="17"/>
        </w:rPr>
        <w:t>Benutzerhandbuch 2.7, Kap. 6.2.1.1 (S. 91–94)</w:t>
      </w:r>
    </w:p>
    <w:p>
      <w:pPr>
        <w:pStyle w:val="Heading2"/>
      </w:pPr>
      <w:r>
        <w:t>9.2 Kommissionierbedarf anlegen</w:t>
      </w:r>
    </w:p>
    <w:p>
      <w:r>
        <w:rPr>
          <w:b/>
        </w:rPr>
        <w:t>Am Desktop (LM072 Kommissionierbedarf pflegen):</w:t>
      </w:r>
      <w:r>
        <w:t xml:space="preserve"> Klient, Lagerstandort, Systempartner; Priorität, </w:t>
      </w:r>
      <w:r>
        <w:rPr>
          <w:b/>
        </w:rPr>
        <w:t>Kommissionierbedarfstyp</w:t>
      </w:r>
      <w:r>
        <w:t xml:space="preserve">, </w:t>
      </w:r>
      <w:r>
        <w:rPr>
          <w:b/>
        </w:rPr>
        <w:t>Liefertermin</w:t>
      </w:r>
      <w:r>
        <w:t>, Benutzer, Zone; Partnerrolle (</w:t>
      </w:r>
      <w:r>
        <w:rPr>
          <w:b/>
        </w:rPr>
        <w:t>LM079</w:t>
      </w:r>
      <w:r>
        <w:t xml:space="preserve">, Auftraggeber oder Lieferant, Adresse, Zeitzone); Zeilen in </w:t>
      </w:r>
      <w:r>
        <w:rPr>
          <w:b/>
        </w:rPr>
        <w:t>LM073</w:t>
      </w:r>
      <w:r>
        <w:t xml:space="preserve">; </w:t>
      </w:r>
      <w:r>
        <w:rPr>
          <w:b/>
        </w:rPr>
        <w:t>Speichern</w:t>
      </w:r>
      <w:r>
        <w:t>. Es wird zusätzlich eine Kommissionier-Plan-LE angelegt (</w:t>
      </w:r>
      <w:r>
        <w:rPr>
          <w:b/>
        </w:rPr>
        <w:t>LM074</w:t>
      </w:r>
      <w:r>
        <w:t xml:space="preserve">). </w:t>
      </w:r>
      <w:r>
        <w:rPr>
          <w:b/>
        </w:rPr>
        <w:t>Am Touch-Client (LM087 Kommissionierbedarf anlegen):</w:t>
      </w:r>
      <w:r>
        <w:t xml:space="preserve"> In </w:t>
      </w:r>
      <w:r>
        <w:rPr>
          <w:b/>
        </w:rPr>
        <w:t>LM040</w:t>
      </w:r>
      <w:r>
        <w:t xml:space="preserve">, Registerkarte </w:t>
      </w:r>
      <w:r>
        <w:rPr>
          <w:b/>
        </w:rPr>
        <w:t>Übersicht Aufträge</w:t>
      </w:r>
      <w:r>
        <w:t xml:space="preserve">, </w:t>
      </w:r>
      <w:r>
        <w:rPr>
          <w:b/>
        </w:rPr>
        <w:t>Kommissionierbedarf anlegen</w:t>
      </w:r>
      <w:r>
        <w:t xml:space="preserve">; Systempartner, Klient, Zone, Priorität, </w:t>
      </w:r>
      <w:r>
        <w:rPr>
          <w:b/>
        </w:rPr>
        <w:t>Typ</w:t>
      </w:r>
      <w:r>
        <w:t xml:space="preserve">; Zeilen in </w:t>
      </w:r>
      <w:r>
        <w:rPr>
          <w:b/>
        </w:rPr>
        <w:t>LM112</w:t>
      </w:r>
      <w:r>
        <w:t xml:space="preserve">; </w:t>
      </w:r>
      <w:r>
        <w:rPr>
          <w:b/>
        </w:rPr>
        <w:t>Speichern</w:t>
      </w:r>
      <w:r>
        <w:t xml:space="preserve">. Status: </w:t>
      </w:r>
      <w:r>
        <w:rPr>
          <w:b/>
        </w:rPr>
        <w:t>Neu</w:t>
      </w:r>
      <w:r>
        <w:t>.</w:t>
      </w:r>
    </w:p>
    <w:p>
      <w:pPr>
        <w:pStyle w:val="Quelle"/>
      </w:pPr>
      <w:r>
        <w:rPr>
          <w:b/>
        </w:rPr>
        <w:t xml:space="preserve">Quelle: </w:t>
      </w:r>
      <w:r>
        <w:rPr>
          <w:sz w:val="17"/>
        </w:rPr>
        <w:t>Benutzerhandbuch 2.7, Kap. 6.2.2.1 (S. 99–103)</w:t>
      </w:r>
    </w:p>
    <w:p>
      <w:pPr>
        <w:pStyle w:val="Heading2"/>
      </w:pPr>
      <w:r>
        <w:t>9.3 Inventurbedarf anlegen</w:t>
      </w:r>
    </w:p>
    <w:p>
      <w:r>
        <w:t xml:space="preserve">Am Desktop in </w:t>
      </w:r>
      <w:r>
        <w:rPr>
          <w:b/>
        </w:rPr>
        <w:t>LM091 Inventurbedarf pflegen</w:t>
      </w:r>
      <w:r>
        <w:t xml:space="preserve">: Systempartner (die Nummer wird automatisch vergeben), Benutzer, Priorität, </w:t>
      </w:r>
      <w:r>
        <w:rPr>
          <w:b/>
        </w:rPr>
        <w:t>Inventurbedarfstyp</w:t>
      </w:r>
      <w:r>
        <w:t xml:space="preserve">; Zeilen in </w:t>
      </w:r>
      <w:r>
        <w:rPr>
          <w:b/>
        </w:rPr>
        <w:t>LM092</w:t>
      </w:r>
      <w:r>
        <w:t xml:space="preserve"> mit allgemeinen, artikel-, lager- oder LE-spezifischen Einschränkungen; </w:t>
      </w:r>
      <w:r>
        <w:rPr>
          <w:b/>
        </w:rPr>
        <w:t>Speichern</w:t>
      </w:r>
      <w:r>
        <w:t>.</w:t>
      </w:r>
    </w:p>
    <w:p>
      <w:pPr>
        <w:pStyle w:val="Quelle"/>
      </w:pPr>
      <w:r>
        <w:rPr>
          <w:b/>
        </w:rPr>
        <w:t xml:space="preserve">Quelle: </w:t>
      </w:r>
      <w:r>
        <w:rPr>
          <w:sz w:val="17"/>
        </w:rPr>
        <w:t>Benutzerhandbuch 2.7, Kap. 6.2.3.1.2 (S. 107–109)</w:t>
      </w:r>
    </w:p>
    <w:p>
      <w:pPr>
        <w:pStyle w:val="Heading2"/>
      </w:pPr>
      <w:r>
        <w:t>9.4 Freigabe, Aktivierung und Abschluss</w:t>
      </w:r>
    </w:p>
    <w:p>
      <w:r>
        <w:t xml:space="preserve">Wie es nach dem Anlegen weitergeht, bestimmt der Bedarfstyp in </w:t>
      </w:r>
      <w:r>
        <w:rPr>
          <w:b/>
        </w:rPr>
        <w:t>MD017 Klient pflegen</w:t>
      </w:r>
      <w:r>
        <w:t xml:space="preserve"> (Registerkarten </w:t>
      </w:r>
      <w:r>
        <w:rPr>
          <w:b/>
        </w:rPr>
        <w:t>Einlagerbedarfstyp</w:t>
      </w:r>
      <w:r>
        <w:t xml:space="preserve">, </w:t>
      </w:r>
      <w:r>
        <w:rPr>
          <w:b/>
        </w:rPr>
        <w:t>Kommissionierbedarfstyp</w:t>
      </w:r>
      <w:r>
        <w:t xml:space="preserve">, </w:t>
      </w:r>
      <w:r>
        <w:rPr>
          <w:b/>
        </w:rPr>
        <w:t>Inventurbedarfstyp</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13"/>
        <w:gridCol w:w="4609"/>
        <w:gridCol w:w="3303"/>
      </w:tblGrid>
      <w:tr>
        <w:trPr>
          <w:tblHeader w:val="true"/>
        </w:trPr>
        <w:tc>
          <w:tcPr>
            <w:tcW w:type="dxa" w:w="1613"/>
            <w:shd w:val="clear" w:color="auto" w:fill="FEEE19"/>
          </w:tcPr>
          <w:p>
            <w:pPr>
              <w:spacing w:after="0"/>
            </w:pPr>
            <w:r>
              <w:rPr>
                <w:b/>
                <w:sz w:val="17"/>
              </w:rPr>
              <w:t>Einstellung</w:t>
            </w:r>
          </w:p>
        </w:tc>
        <w:tc>
          <w:tcPr>
            <w:tcW w:type="dxa" w:w="4609"/>
            <w:shd w:val="clear" w:color="auto" w:fill="FEEE19"/>
          </w:tcPr>
          <w:p>
            <w:pPr>
              <w:spacing w:after="0"/>
            </w:pPr>
            <w:r>
              <w:rPr>
                <w:b/>
                <w:sz w:val="17"/>
              </w:rPr>
              <w:t>Automatisch</w:t>
            </w:r>
          </w:p>
        </w:tc>
        <w:tc>
          <w:tcPr>
            <w:tcW w:type="dxa" w:w="3303"/>
            <w:shd w:val="clear" w:color="auto" w:fill="FEEE19"/>
          </w:tcPr>
          <w:p>
            <w:pPr>
              <w:spacing w:after="0"/>
            </w:pPr>
            <w:r>
              <w:rPr>
                <w:b/>
                <w:sz w:val="17"/>
              </w:rPr>
              <w:t>Manuell</w:t>
            </w:r>
          </w:p>
        </w:tc>
      </w:tr>
      <w:tr>
        <w:tc>
          <w:tcPr>
            <w:tcW w:type="dxa" w:w="1613"/>
          </w:tcPr>
          <w:p>
            <w:pPr>
              <w:spacing w:after="0" w:line="252" w:lineRule="auto"/>
            </w:pPr>
            <w:r>
              <w:rPr>
                <w:b/>
                <w:sz w:val="17"/>
              </w:rPr>
              <w:t>Freigabemodus</w:t>
            </w:r>
          </w:p>
        </w:tc>
        <w:tc>
          <w:tcPr>
            <w:tcW w:type="dxa" w:w="4609"/>
          </w:tcPr>
          <w:p>
            <w:pPr>
              <w:spacing w:after="0" w:line="252" w:lineRule="auto"/>
            </w:pPr>
            <w:r>
              <w:rPr>
                <w:sz w:val="17"/>
              </w:rPr>
              <w:t>Bedarf wird automatisch freigegeben</w:t>
            </w:r>
          </w:p>
        </w:tc>
        <w:tc>
          <w:tcPr>
            <w:tcW w:type="dxa" w:w="3303"/>
          </w:tcPr>
          <w:p>
            <w:pPr>
              <w:spacing w:after="0" w:line="252" w:lineRule="auto"/>
            </w:pPr>
            <w:r>
              <w:rPr>
                <w:sz w:val="17"/>
              </w:rPr>
              <w:t xml:space="preserve">Benutzer gibt frei (Desktop oder </w:t>
            </w:r>
            <w:r>
              <w:rPr>
                <w:b/>
                <w:sz w:val="17"/>
              </w:rPr>
              <w:t>LM040</w:t>
            </w:r>
            <w:r>
              <w:rPr>
                <w:sz w:val="17"/>
              </w:rPr>
              <w:t>)</w:t>
            </w:r>
          </w:p>
        </w:tc>
      </w:tr>
      <w:tr>
        <w:tc>
          <w:tcPr>
            <w:tcW w:type="dxa" w:w="1613"/>
          </w:tcPr>
          <w:p>
            <w:pPr>
              <w:spacing w:after="0" w:line="252" w:lineRule="auto"/>
            </w:pPr>
            <w:r>
              <w:rPr>
                <w:b/>
                <w:sz w:val="17"/>
              </w:rPr>
              <w:t>Aktivierungsmodus</w:t>
            </w:r>
          </w:p>
        </w:tc>
        <w:tc>
          <w:tcPr>
            <w:tcW w:type="dxa" w:w="4609"/>
          </w:tcPr>
          <w:p>
            <w:pPr>
              <w:spacing w:after="0" w:line="252" w:lineRule="auto"/>
            </w:pPr>
            <w:r>
              <w:rPr>
                <w:sz w:val="17"/>
              </w:rPr>
              <w:t>Aktivierung bei Reservierung, Benutzer nach Aktivierungsstrategie</w:t>
            </w:r>
          </w:p>
        </w:tc>
        <w:tc>
          <w:tcPr>
            <w:tcW w:type="dxa" w:w="3303"/>
          </w:tcPr>
          <w:p>
            <w:pPr>
              <w:spacing w:after="0" w:line="252" w:lineRule="auto"/>
            </w:pPr>
            <w:r>
              <w:rPr>
                <w:sz w:val="17"/>
              </w:rPr>
              <w:t xml:space="preserve">Benutzer aktiviert in </w:t>
            </w:r>
            <w:r>
              <w:rPr>
                <w:b/>
                <w:sz w:val="17"/>
              </w:rPr>
              <w:t>LM040</w:t>
            </w:r>
          </w:p>
        </w:tc>
      </w:tr>
      <w:tr>
        <w:tc>
          <w:tcPr>
            <w:tcW w:type="dxa" w:w="1613"/>
          </w:tcPr>
          <w:p>
            <w:pPr>
              <w:spacing w:after="0" w:line="252" w:lineRule="auto"/>
            </w:pPr>
            <w:r>
              <w:rPr>
                <w:b/>
                <w:sz w:val="17"/>
              </w:rPr>
              <w:t>Abschlussmodus</w:t>
            </w:r>
          </w:p>
        </w:tc>
        <w:tc>
          <w:tcPr>
            <w:tcW w:type="dxa" w:w="4609"/>
          </w:tcPr>
          <w:p>
            <w:pPr>
              <w:spacing w:after="0" w:line="252" w:lineRule="auto"/>
            </w:pPr>
            <w:r>
              <w:rPr>
                <w:sz w:val="17"/>
              </w:rPr>
              <w:t>Abschluss, wenn alle Zeilen fertig sind</w:t>
            </w:r>
          </w:p>
        </w:tc>
        <w:tc>
          <w:tcPr>
            <w:tcW w:type="dxa" w:w="3303"/>
          </w:tcPr>
          <w:p>
            <w:pPr>
              <w:spacing w:after="0" w:line="252" w:lineRule="auto"/>
            </w:pPr>
            <w:r>
              <w:rPr>
                <w:sz w:val="17"/>
              </w:rPr>
              <w:t>Benutzer bestätigt den Abschluss</w:t>
            </w:r>
          </w:p>
        </w:tc>
      </w:tr>
    </w:tbl>
    <w:p>
      <w:pPr>
        <w:pStyle w:val="BeschriftungSSI"/>
      </w:pPr>
      <w:r>
        <w:t>Tab. 11: Modi am Bedarfstyp</w:t>
      </w:r>
    </w:p>
    <w:p>
      <w:r>
        <w:t xml:space="preserve">Weitere nützliche Einstellungen am Einlagerbedarfstyp: </w:t>
      </w:r>
      <w:r>
        <w:rPr>
          <w:b/>
        </w:rPr>
        <w:t>Überlieferung für eingelagerte Menge erlauben</w:t>
      </w:r>
      <w:r>
        <w:t xml:space="preserve">, </w:t>
      </w:r>
      <w:r>
        <w:rPr>
          <w:b/>
        </w:rPr>
        <w:t>2-Schritt-Bestätigung</w:t>
      </w:r>
      <w:r>
        <w:t xml:space="preserve">, </w:t>
      </w:r>
      <w:r>
        <w:rPr>
          <w:b/>
        </w:rPr>
        <w:t>Lagerreservierungsstrategie</w:t>
      </w:r>
      <w:r>
        <w:t>.</w:t>
      </w:r>
    </w:p>
    <w:p>
      <w:pPr>
        <w:pStyle w:val="Quelle"/>
      </w:pPr>
      <w:r>
        <w:rPr>
          <w:b/>
        </w:rPr>
        <w:t xml:space="preserve">Quelle: </w:t>
      </w:r>
      <w:r>
        <w:rPr>
          <w:sz w:val="17"/>
        </w:rPr>
        <w:t>Administratorhandbuch 2.7, Kap. 3.6.1.10–3.6.1.12 (S. 108–114)</w:t>
      </w:r>
    </w:p>
    <w:p>
      <w:pPr>
        <w:pStyle w:val="Heading2"/>
      </w:pPr>
      <w:r>
        <w:t>9.5 Menge anpassen, stornieren, abschließen</w:t>
      </w:r>
    </w:p>
    <w:p>
      <w:pPr>
        <w:pStyle w:val="ListBullet"/>
      </w:pPr>
      <w:r>
        <w:rPr>
          <w:b/>
        </w:rPr>
        <w:t>Menge anpassen:</w:t>
      </w:r>
      <w:r>
        <w:t xml:space="preserve"> In </w:t>
      </w:r>
      <w:r>
        <w:rPr>
          <w:b/>
        </w:rPr>
        <w:t>LM040</w:t>
      </w:r>
      <w:r>
        <w:t xml:space="preserve"> Bedarf wählen → </w:t>
      </w:r>
      <w:r>
        <w:rPr>
          <w:b/>
        </w:rPr>
        <w:t>Details</w:t>
      </w:r>
      <w:r>
        <w:t xml:space="preserve"> → Zeile wählen → </w:t>
      </w:r>
      <w:r>
        <w:rPr>
          <w:b/>
        </w:rPr>
        <w:t>Menge anpassen</w:t>
      </w:r>
      <w:r>
        <w:t xml:space="preserve">. Bei Status </w:t>
      </w:r>
      <w:r>
        <w:rPr>
          <w:b/>
        </w:rPr>
        <w:t>Neu</w:t>
      </w:r>
      <w:r>
        <w:t xml:space="preserve"> (nicht freigegeben) werden Bestell- und Freigabemenge angepasst; nach erfasster Fehlmenge darf nur die Freigabemenge bis zur Bestellmenge erhöht werden.</w:t>
      </w:r>
    </w:p>
    <w:p>
      <w:pPr>
        <w:pStyle w:val="ListBullet"/>
      </w:pPr>
      <w:r>
        <w:rPr>
          <w:b/>
        </w:rPr>
        <w:t>Manuell angelegten Auftrag stornieren:</w:t>
      </w:r>
      <w:r>
        <w:t xml:space="preserve"> Auftragstyp </w:t>
      </w:r>
      <w:r>
        <w:rPr>
          <w:b/>
        </w:rPr>
        <w:t>Manuell</w:t>
      </w:r>
      <w:r>
        <w:t xml:space="preserve">, freigegeben, Status </w:t>
      </w:r>
      <w:r>
        <w:rPr>
          <w:b/>
        </w:rPr>
        <w:t>Aktiv</w:t>
      </w:r>
      <w:r>
        <w:t xml:space="preserve"> → Auftrag wählen → </w:t>
      </w:r>
      <w:r>
        <w:rPr>
          <w:b/>
        </w:rPr>
        <w:t>Stornieren</w:t>
      </w:r>
      <w:r>
        <w:t xml:space="preserve"> → </w:t>
      </w:r>
      <w:r>
        <w:rPr>
          <w:b/>
        </w:rPr>
        <w:t>Ja</w:t>
      </w:r>
      <w:r>
        <w:t>. Nicht möglich, wenn für das Tablar Einschränkungen bestehen.</w:t>
      </w:r>
    </w:p>
    <w:p>
      <w:pPr>
        <w:pStyle w:val="ListBullet"/>
      </w:pPr>
      <w:r>
        <w:rPr>
          <w:b/>
        </w:rPr>
        <w:t>Organisatorisch abschließen:</w:t>
      </w:r>
      <w:r>
        <w:t xml:space="preserve"> am Touch-Client oder Desktop, wenn ein Auftrag nicht vollständig abgearbeitet wird.</w:t>
      </w:r>
    </w:p>
    <w:p>
      <w:pPr>
        <w:pStyle w:val="Quelle"/>
      </w:pPr>
      <w:r>
        <w:rPr>
          <w:b/>
        </w:rPr>
        <w:t xml:space="preserve">Quelle: </w:t>
      </w:r>
      <w:r>
        <w:rPr>
          <w:sz w:val="17"/>
        </w:rPr>
        <w:t>Benutzerhandbuch 2.7, Kap. 6.4.10–6.4.12 (S. 139–142)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Systempartner ohne Host</w:t>
            </w:r>
          </w:p>
          <w:p>
            <w:pPr>
              <w:spacing w:after="40"/>
            </w:pPr>
            <w:r>
              <w:rPr>
                <w:sz w:val="19"/>
              </w:rPr>
              <w:t xml:space="preserve">Beim manuellen Anlegen ist der </w:t>
            </w:r>
            <w:r>
              <w:rPr>
                <w:b/>
                <w:sz w:val="19"/>
              </w:rPr>
              <w:t>Systempartner</w:t>
            </w:r>
            <w:r>
              <w:rPr>
                <w:sz w:val="19"/>
              </w:rPr>
              <w:t xml:space="preserve"> ein Pflichtfeld. Für Anlagen ganz ohne Hostsystem beschreibt das Handbuch nicht, welcher Systempartner einzutragen ist (z. B. ein lokaler Standard-Systempartner aus der Inbetriebnahme). Bitte im System prüfen.</w:t>
            </w:r>
          </w:p>
        </w:tc>
      </w:tr>
    </w:tbl>
    <w:p>
      <w:pPr>
        <w:spacing w:after="40"/>
      </w:pPr>
    </w:p>
    <w:p>
      <w:pPr>
        <w:pStyle w:val="Heading1"/>
      </w:pPr>
      <w:r>
        <w:t>10 Was ohne Auftrag nicht möglich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Nicht möglich</w:t>
            </w:r>
          </w:p>
        </w:tc>
        <w:tc>
          <w:tcPr>
            <w:tcW w:type="dxa" w:w="4762"/>
            <w:shd w:val="clear" w:color="auto" w:fill="FEEE19"/>
          </w:tcPr>
          <w:p>
            <w:pPr>
              <w:spacing w:after="0"/>
            </w:pPr>
            <w:r>
              <w:rPr>
                <w:b/>
                <w:sz w:val="17"/>
              </w:rPr>
              <w:t>Grund / Alternative</w:t>
            </w:r>
          </w:p>
        </w:tc>
      </w:tr>
      <w:tr>
        <w:tc>
          <w:tcPr>
            <w:tcW w:type="dxa" w:w="4762"/>
          </w:tcPr>
          <w:p>
            <w:pPr>
              <w:spacing w:after="0" w:line="252" w:lineRule="auto"/>
            </w:pPr>
            <w:r>
              <w:rPr>
                <w:sz w:val="17"/>
              </w:rPr>
              <w:t>Tablar mit Einschränkung oder Sperre anfordern</w:t>
            </w:r>
          </w:p>
        </w:tc>
        <w:tc>
          <w:tcPr>
            <w:tcW w:type="dxa" w:w="4762"/>
          </w:tcPr>
          <w:p>
            <w:pPr>
              <w:spacing w:after="0" w:line="252" w:lineRule="auto"/>
            </w:pPr>
            <w:r>
              <w:rPr>
                <w:sz w:val="17"/>
              </w:rPr>
              <w:t>Sperre bzw. Einschränkung zuerst aufheben</w:t>
            </w:r>
          </w:p>
        </w:tc>
      </w:tr>
      <w:tr>
        <w:tc>
          <w:tcPr>
            <w:tcW w:type="dxa" w:w="4762"/>
          </w:tcPr>
          <w:p>
            <w:pPr>
              <w:spacing w:after="0" w:line="252" w:lineRule="auto"/>
            </w:pPr>
            <w:r>
              <w:rPr>
                <w:sz w:val="17"/>
              </w:rPr>
              <w:t>Tablar zur Öffnung bringen, wenn an keinem Touch-Client ein Benutzer angemeldet ist</w:t>
            </w:r>
          </w:p>
        </w:tc>
        <w:tc>
          <w:tcPr>
            <w:tcW w:type="dxa" w:w="4762"/>
          </w:tcPr>
          <w:p>
            <w:pPr>
              <w:spacing w:after="0" w:line="252" w:lineRule="auto"/>
            </w:pPr>
            <w:r>
              <w:rPr>
                <w:sz w:val="17"/>
              </w:rPr>
              <w:t>Anmeldung am Touch-Client erforderlich</w:t>
            </w:r>
          </w:p>
        </w:tc>
      </w:tr>
      <w:tr>
        <w:tc>
          <w:tcPr>
            <w:tcW w:type="dxa" w:w="4762"/>
          </w:tcPr>
          <w:p>
            <w:pPr>
              <w:spacing w:after="0" w:line="252" w:lineRule="auto"/>
            </w:pPr>
            <w:r>
              <w:rPr>
                <w:sz w:val="17"/>
              </w:rPr>
              <w:t>Den SSI LOGIMAT vom Desktop aus bedienen</w:t>
            </w:r>
          </w:p>
        </w:tc>
        <w:tc>
          <w:tcPr>
            <w:tcW w:type="dxa" w:w="4762"/>
          </w:tcPr>
          <w:p>
            <w:pPr>
              <w:spacing w:after="0" w:line="252" w:lineRule="auto"/>
            </w:pPr>
            <w:r>
              <w:rPr>
                <w:sz w:val="17"/>
              </w:rPr>
              <w:t>Bedienung nur am Touch-Client</w:t>
            </w:r>
          </w:p>
        </w:tc>
      </w:tr>
      <w:tr>
        <w:tc>
          <w:tcPr>
            <w:tcW w:type="dxa" w:w="4762"/>
          </w:tcPr>
          <w:p>
            <w:pPr>
              <w:spacing w:after="0" w:line="252" w:lineRule="auto"/>
            </w:pPr>
            <w:r>
              <w:rPr>
                <w:sz w:val="17"/>
              </w:rPr>
              <w:t>In eine Box ohne Artikel-zu-Box-Zuordnung einlagern oder darin zählen</w:t>
            </w:r>
          </w:p>
        </w:tc>
        <w:tc>
          <w:tcPr>
            <w:tcW w:type="dxa" w:w="4762"/>
          </w:tcPr>
          <w:p>
            <w:pPr>
              <w:spacing w:after="0" w:line="252" w:lineRule="auto"/>
            </w:pPr>
            <w:r>
              <w:rPr>
                <w:sz w:val="17"/>
              </w:rPr>
              <w:t>Zuordnung anlegen (Kapitel 5.2)</w:t>
            </w:r>
          </w:p>
        </w:tc>
      </w:tr>
      <w:tr>
        <w:tc>
          <w:tcPr>
            <w:tcW w:type="dxa" w:w="4762"/>
          </w:tcPr>
          <w:p>
            <w:pPr>
              <w:spacing w:after="0" w:line="252" w:lineRule="auto"/>
            </w:pPr>
            <w:r>
              <w:rPr>
                <w:sz w:val="17"/>
              </w:rPr>
              <w:t>Mehr entnehmen als verfügbar bzw. nicht reserviert ist</w:t>
            </w:r>
          </w:p>
        </w:tc>
        <w:tc>
          <w:tcPr>
            <w:tcW w:type="dxa" w:w="4762"/>
          </w:tcPr>
          <w:p>
            <w:pPr>
              <w:spacing w:after="0" w:line="252" w:lineRule="auto"/>
            </w:pPr>
            <w:r>
              <w:rPr>
                <w:sz w:val="17"/>
              </w:rPr>
              <w:t>Menge prüfen; Reservierungen abwarten oder stornieren</w:t>
            </w:r>
          </w:p>
        </w:tc>
      </w:tr>
      <w:tr>
        <w:tc>
          <w:tcPr>
            <w:tcW w:type="dxa" w:w="4762"/>
          </w:tcPr>
          <w:p>
            <w:pPr>
              <w:spacing w:after="0" w:line="252" w:lineRule="auto"/>
            </w:pPr>
            <w:r>
              <w:rPr>
                <w:sz w:val="17"/>
              </w:rPr>
              <w:t>Große Artikel an externen Plätzen einlagern</w:t>
            </w:r>
          </w:p>
        </w:tc>
        <w:tc>
          <w:tcPr>
            <w:tcW w:type="dxa" w:w="4762"/>
          </w:tcPr>
          <w:p>
            <w:pPr>
              <w:spacing w:after="0" w:line="252" w:lineRule="auto"/>
            </w:pPr>
            <w:r>
              <w:rPr>
                <w:sz w:val="17"/>
              </w:rPr>
              <w:t>Nur im SSI LOGIMAT</w:t>
            </w:r>
          </w:p>
        </w:tc>
      </w:tr>
      <w:tr>
        <w:tc>
          <w:tcPr>
            <w:tcW w:type="dxa" w:w="4762"/>
          </w:tcPr>
          <w:p>
            <w:pPr>
              <w:spacing w:after="0" w:line="252" w:lineRule="auto"/>
            </w:pPr>
            <w:r>
              <w:rPr>
                <w:sz w:val="17"/>
              </w:rPr>
              <w:t>Spontanes Einlagern oder Kommissionieren an externen Plätzen per Mobilterminal</w:t>
            </w:r>
          </w:p>
        </w:tc>
        <w:tc>
          <w:tcPr>
            <w:tcW w:type="dxa" w:w="4762"/>
          </w:tcPr>
          <w:p>
            <w:pPr>
              <w:spacing w:after="0" w:line="252" w:lineRule="auto"/>
            </w:pPr>
            <w:r>
              <w:rPr>
                <w:sz w:val="17"/>
              </w:rPr>
              <w:t xml:space="preserve">Mobil nur mit freigegebenem Einlager- bzw. reserviertem Kommissionierbedarf; auftragsfrei nur </w:t>
            </w:r>
            <w:r>
              <w:rPr>
                <w:b/>
                <w:sz w:val="17"/>
              </w:rPr>
              <w:t>Bestand verteilen</w:t>
            </w:r>
            <w:r>
              <w:rPr>
                <w:sz w:val="17"/>
              </w:rPr>
              <w:t xml:space="preserve"> und </w:t>
            </w:r>
            <w:r>
              <w:rPr>
                <w:b/>
                <w:sz w:val="17"/>
              </w:rPr>
              <w:t>Spontane Inventur</w:t>
            </w:r>
          </w:p>
        </w:tc>
      </w:tr>
      <w:tr>
        <w:tc>
          <w:tcPr>
            <w:tcW w:type="dxa" w:w="4762"/>
          </w:tcPr>
          <w:p>
            <w:pPr>
              <w:spacing w:after="0" w:line="252" w:lineRule="auto"/>
            </w:pPr>
            <w:r>
              <w:rPr>
                <w:sz w:val="17"/>
              </w:rPr>
              <w:t>Automatisches Zurückschicken (</w:t>
            </w:r>
            <w:r>
              <w:rPr>
                <w:rFonts w:ascii="Consolas" w:hAnsi="Consolas" w:cs="Consolas" w:eastAsia="Consolas"/>
                <w:sz w:val="15"/>
              </w:rPr>
              <w:t>logimat.demand.sendTrayBack</w:t>
            </w:r>
            <w:r>
              <w:rPr>
                <w:sz w:val="17"/>
              </w:rPr>
              <w:t>) bei manuellen Tablaranforderungen</w:t>
            </w:r>
          </w:p>
        </w:tc>
        <w:tc>
          <w:tcPr>
            <w:tcW w:type="dxa" w:w="4762"/>
          </w:tcPr>
          <w:p>
            <w:pPr>
              <w:spacing w:after="0" w:line="252" w:lineRule="auto"/>
            </w:pPr>
            <w:r>
              <w:rPr>
                <w:sz w:val="17"/>
              </w:rPr>
              <w:t xml:space="preserve">Tablar mit </w:t>
            </w:r>
            <w:r>
              <w:rPr>
                <w:b/>
                <w:sz w:val="17"/>
              </w:rPr>
              <w:t>Tablar retournieren</w:t>
            </w:r>
            <w:r>
              <w:rPr>
                <w:sz w:val="17"/>
              </w:rPr>
              <w:t xml:space="preserve"> zurückschicken</w:t>
            </w:r>
          </w:p>
        </w:tc>
      </w:tr>
      <w:tr>
        <w:tc>
          <w:tcPr>
            <w:tcW w:type="dxa" w:w="4762"/>
          </w:tcPr>
          <w:p>
            <w:pPr>
              <w:spacing w:after="0" w:line="252" w:lineRule="auto"/>
            </w:pPr>
            <w:r>
              <w:rPr>
                <w:sz w:val="17"/>
              </w:rPr>
              <w:t>Konsolidieren über Tablargrenzen hinweg</w:t>
            </w:r>
          </w:p>
        </w:tc>
        <w:tc>
          <w:tcPr>
            <w:tcW w:type="dxa" w:w="4762"/>
          </w:tcPr>
          <w:p>
            <w:pPr>
              <w:spacing w:after="0" w:line="252" w:lineRule="auto"/>
            </w:pPr>
            <w:r>
              <w:rPr>
                <w:sz w:val="17"/>
              </w:rPr>
              <w:t>Entnehmen und wieder einlagern (Kapitel 7.2)</w:t>
            </w:r>
          </w:p>
        </w:tc>
      </w:tr>
      <w:tr>
        <w:tc>
          <w:tcPr>
            <w:tcW w:type="dxa" w:w="4762"/>
          </w:tcPr>
          <w:p>
            <w:pPr>
              <w:spacing w:after="0" w:line="252" w:lineRule="auto"/>
            </w:pPr>
            <w:r>
              <w:rPr>
                <w:sz w:val="17"/>
              </w:rPr>
              <w:t>Trennwand entfernen bei Bestand oder Reservierung im Fach</w:t>
            </w:r>
          </w:p>
        </w:tc>
        <w:tc>
          <w:tcPr>
            <w:tcW w:type="dxa" w:w="4762"/>
          </w:tcPr>
          <w:p>
            <w:pPr>
              <w:spacing w:after="0" w:line="252" w:lineRule="auto"/>
            </w:pPr>
            <w:r>
              <w:rPr>
                <w:sz w:val="17"/>
              </w:rPr>
              <w:t>Fach erst leeren bzw. Reservierung auflösen</w:t>
            </w:r>
          </w:p>
        </w:tc>
      </w:tr>
      <w:tr>
        <w:tc>
          <w:tcPr>
            <w:tcW w:type="dxa" w:w="4762"/>
          </w:tcPr>
          <w:p>
            <w:pPr>
              <w:spacing w:after="0" w:line="252" w:lineRule="auto"/>
            </w:pPr>
            <w:r>
              <w:rPr>
                <w:sz w:val="17"/>
              </w:rPr>
              <w:t>Tablar entfernen oder deinstallieren mit Bestand, Auftrag, Sperre oder Einschränkung</w:t>
            </w:r>
          </w:p>
        </w:tc>
        <w:tc>
          <w:tcPr>
            <w:tcW w:type="dxa" w:w="4762"/>
          </w:tcPr>
          <w:p>
            <w:pPr>
              <w:spacing w:after="0" w:line="252" w:lineRule="auto"/>
            </w:pPr>
            <w:r>
              <w:rPr>
                <w:sz w:val="17"/>
              </w:rPr>
              <w:t>Bestand entnehmen, Aufträge abschließen</w:t>
            </w:r>
          </w:p>
        </w:tc>
      </w:tr>
      <w:tr>
        <w:tc>
          <w:tcPr>
            <w:tcW w:type="dxa" w:w="4762"/>
          </w:tcPr>
          <w:p>
            <w:pPr>
              <w:spacing w:after="0" w:line="252" w:lineRule="auto"/>
            </w:pPr>
            <w:r>
              <w:rPr>
                <w:sz w:val="17"/>
              </w:rPr>
              <w:t>Externe LE mit Kommissionierreservierung zwischenlagern</w:t>
            </w:r>
          </w:p>
        </w:tc>
        <w:tc>
          <w:tcPr>
            <w:tcW w:type="dxa" w:w="4762"/>
          </w:tcPr>
          <w:p>
            <w:pPr>
              <w:spacing w:after="0" w:line="252" w:lineRule="auto"/>
            </w:pPr>
            <w:r>
              <w:rPr>
                <w:sz w:val="17"/>
              </w:rPr>
              <w:t>Reservierung auflösen</w:t>
            </w:r>
          </w:p>
        </w:tc>
      </w:tr>
      <w:tr>
        <w:tc>
          <w:tcPr>
            <w:tcW w:type="dxa" w:w="4762"/>
          </w:tcPr>
          <w:p>
            <w:pPr>
              <w:spacing w:after="0" w:line="252" w:lineRule="auto"/>
            </w:pPr>
            <w:r>
              <w:rPr>
                <w:sz w:val="17"/>
              </w:rPr>
              <w:t>Korrektur einer Bestandsklassifizierung ohne erlaubte Korrekturrichtung oder ohne erweiterte Berechtigung</w:t>
            </w:r>
          </w:p>
        </w:tc>
        <w:tc>
          <w:tcPr>
            <w:tcW w:type="dxa" w:w="4762"/>
          </w:tcPr>
          <w:p>
            <w:pPr>
              <w:spacing w:after="0" w:line="252" w:lineRule="auto"/>
            </w:pPr>
            <w:r>
              <w:rPr>
                <w:sz w:val="17"/>
              </w:rPr>
              <w:t xml:space="preserve">Einstellungen in </w:t>
            </w:r>
            <w:r>
              <w:rPr>
                <w:b/>
                <w:sz w:val="17"/>
              </w:rPr>
              <w:t>MD017</w:t>
            </w:r>
            <w:r>
              <w:rPr>
                <w:sz w:val="17"/>
              </w:rPr>
              <w:t xml:space="preserve"> prüfen</w:t>
            </w:r>
          </w:p>
        </w:tc>
      </w:tr>
      <w:tr>
        <w:tc>
          <w:tcPr>
            <w:tcW w:type="dxa" w:w="4762"/>
          </w:tcPr>
          <w:p>
            <w:pPr>
              <w:spacing w:after="0" w:line="252" w:lineRule="auto"/>
            </w:pPr>
            <w:r>
              <w:rPr>
                <w:sz w:val="17"/>
              </w:rPr>
              <w:t>Inventurbedarf am Touch-Client anlegen</w:t>
            </w:r>
          </w:p>
        </w:tc>
        <w:tc>
          <w:tcPr>
            <w:tcW w:type="dxa" w:w="4762"/>
          </w:tcPr>
          <w:p>
            <w:pPr>
              <w:spacing w:after="0" w:line="252" w:lineRule="auto"/>
            </w:pPr>
            <w:r>
              <w:rPr>
                <w:sz w:val="17"/>
              </w:rPr>
              <w:t>Nur am Desktop (</w:t>
            </w:r>
            <w:r>
              <w:rPr>
                <w:b/>
                <w:sz w:val="17"/>
              </w:rPr>
              <w:t>LM091</w:t>
            </w:r>
            <w:r>
              <w:rPr>
                <w:sz w:val="17"/>
              </w:rPr>
              <w:t>)</w:t>
            </w:r>
          </w:p>
        </w:tc>
      </w:tr>
      <w:tr>
        <w:tc>
          <w:tcPr>
            <w:tcW w:type="dxa" w:w="4762"/>
          </w:tcPr>
          <w:p>
            <w:pPr>
              <w:spacing w:after="0" w:line="252" w:lineRule="auto"/>
            </w:pPr>
            <w:r>
              <w:rPr>
                <w:sz w:val="17"/>
              </w:rPr>
              <w:t>Nachschubaufträge in 2.7</w:t>
            </w:r>
          </w:p>
        </w:tc>
        <w:tc>
          <w:tcPr>
            <w:tcW w:type="dxa" w:w="4762"/>
          </w:tcPr>
          <w:p>
            <w:pPr>
              <w:spacing w:after="0" w:line="252" w:lineRule="auto"/>
            </w:pPr>
            <w:r>
              <w:rPr>
                <w:sz w:val="17"/>
              </w:rPr>
              <w:t>Erst ab 2.8 (</w:t>
            </w:r>
            <w:r>
              <w:rPr>
                <w:b/>
                <w:sz w:val="17"/>
              </w:rPr>
              <w:t>LM175</w:t>
            </w:r>
            <w:r>
              <w:rPr>
                <w:sz w:val="17"/>
              </w:rPr>
              <w:t>/</w:t>
            </w:r>
            <w:r>
              <w:rPr>
                <w:b/>
                <w:sz w:val="17"/>
              </w:rPr>
              <w:t>LM170</w:t>
            </w:r>
            <w:r>
              <w:rPr>
                <w:sz w:val="17"/>
              </w:rPr>
              <w:t>)</w:t>
            </w:r>
          </w:p>
        </w:tc>
      </w:tr>
    </w:tbl>
    <w:p>
      <w:pPr>
        <w:pStyle w:val="BeschriftungSSI"/>
      </w:pPr>
      <w:r>
        <w:t>Tab. 12: Abgrenzungen</w:t>
      </w:r>
    </w:p>
    <w:p>
      <w:pPr>
        <w:pStyle w:val="Quelle"/>
      </w:pPr>
      <w:r>
        <w:rPr>
          <w:b/>
        </w:rPr>
        <w:t xml:space="preserve">Quelle: </w:t>
      </w:r>
      <w:r>
        <w:rPr>
          <w:sz w:val="17"/>
        </w:rPr>
        <w:t>Benutzerhandbuch 2.7, Kap. 6.1–6.7; Administratorhandbuch 2.7, Kap. 3.6.1.9 und 3.11.2</w:t>
      </w:r>
    </w:p>
    <w:p>
      <w:pPr>
        <w:pStyle w:val="Heading1"/>
      </w:pPr>
      <w:r>
        <w:t>11 Stolperfallen</w:t>
      </w:r>
    </w:p>
    <w:p>
      <w:pPr>
        <w:pStyle w:val="ListBullet"/>
      </w:pPr>
      <w:r>
        <w:rPr>
          <w:b/>
        </w:rPr>
        <w:t>Bestandskorrektur an das ERP:</w:t>
      </w:r>
      <w:r>
        <w:t xml:space="preserve"> Jede spontane Einlagerung, Entnahme oder Zähldifferenz erzeugt bei angebundenem Systempartner eine Bestandskorrekturmeldung. Ohne Abstimmung mit dem ERP entstehen dort ungeklärte Bewegungen.</w:t>
      </w:r>
    </w:p>
    <w:p>
      <w:pPr>
        <w:pStyle w:val="ListBullet"/>
      </w:pPr>
      <w:r>
        <w:rPr>
          <w:b/>
        </w:rPr>
        <w:t>Buchungsschlüssel fehlt in der Auswahl:</w:t>
      </w:r>
      <w:r>
        <w:t xml:space="preserve"> Der Schlüssel muss für den Prozess „… erlaubt“ sein, nicht nur als Standard markiert.</w:t>
      </w:r>
    </w:p>
    <w:p>
      <w:pPr>
        <w:pStyle w:val="ListBullet"/>
      </w:pPr>
      <w:r>
        <w:rPr>
          <w:b/>
        </w:rPr>
        <w:t>Grund-Pflichtfeld:</w:t>
      </w:r>
      <w:r>
        <w:t xml:space="preserve"> Mit </w:t>
      </w:r>
      <w:r>
        <w:rPr>
          <w:rFonts w:ascii="Consolas" w:hAnsi="Consolas" w:cs="Consolas" w:eastAsia="Consolas"/>
          <w:sz w:val="18"/>
        </w:rPr>
        <w:t>logimat.dialogs.lm101.askFillReason</w:t>
      </w:r>
      <w:r>
        <w:t xml:space="preserve"> = </w:t>
      </w:r>
      <w:r>
        <w:rPr>
          <w:rFonts w:ascii="Consolas" w:hAnsi="Consolas" w:cs="Consolas" w:eastAsia="Consolas"/>
          <w:sz w:val="18"/>
        </w:rPr>
        <w:t>true</w:t>
      </w:r>
      <w:r>
        <w:t xml:space="preserve"> (Standard) muss in </w:t>
      </w:r>
      <w:r>
        <w:rPr>
          <w:b/>
        </w:rPr>
        <w:t>LM101</w:t>
      </w:r>
      <w:r>
        <w:t xml:space="preserve"> immer ein Grund eingetragen werden.</w:t>
      </w:r>
    </w:p>
    <w:p>
      <w:pPr>
        <w:pStyle w:val="ListBullet"/>
      </w:pPr>
      <w:r>
        <w:rPr>
          <w:b/>
        </w:rPr>
        <w:t>Box-Zuordnung beim Leeren:</w:t>
      </w:r>
      <w:r>
        <w:t xml:space="preserve"> Wer bei „Zuordnung entfernen?“ vorschnell </w:t>
      </w:r>
      <w:r>
        <w:rPr>
          <w:b/>
        </w:rPr>
        <w:t>Ja</w:t>
      </w:r>
      <w:r>
        <w:t xml:space="preserve"> wählt, verliert die feste Box des Artikels. Für Stammplätze den Zuordnungsmodus </w:t>
      </w:r>
      <w:r>
        <w:rPr>
          <w:b/>
        </w:rPr>
        <w:t>Fixiert</w:t>
      </w:r>
      <w:r>
        <w:t xml:space="preserve"> verwenden.</w:t>
      </w:r>
    </w:p>
    <w:p>
      <w:pPr>
        <w:pStyle w:val="ListBullet"/>
      </w:pPr>
      <w:r>
        <w:rPr>
          <w:b/>
        </w:rPr>
        <w:t>Tablar fährt nicht vor:</w:t>
      </w:r>
      <w:r>
        <w:t xml:space="preserve"> Höher priorisierte Aufträge (insbesondere </w:t>
      </w:r>
      <w:r>
        <w:rPr>
          <w:b/>
        </w:rPr>
        <w:t>Express</w:t>
      </w:r>
      <w:r>
        <w:t>) werden zuerst bedient; zudem muss ein Benutzer an einem Touch-Client angemeldet sein.</w:t>
      </w:r>
    </w:p>
    <w:p>
      <w:pPr>
        <w:pStyle w:val="ListBullet"/>
      </w:pPr>
      <w:r>
        <w:rPr>
          <w:b/>
        </w:rPr>
        <w:t>Mehrere Zugriffsöffnungen:</w:t>
      </w:r>
      <w:r>
        <w:t xml:space="preserve"> Bei </w:t>
      </w:r>
      <w:r>
        <w:rPr>
          <w:rFonts w:ascii="Consolas" w:hAnsi="Consolas" w:cs="Consolas" w:eastAsia="Consolas"/>
          <w:sz w:val="18"/>
        </w:rPr>
        <w:t>logimat.workingMode</w:t>
      </w:r>
      <w:r>
        <w:t xml:space="preserve"> = </w:t>
      </w:r>
      <w:r>
        <w:rPr>
          <w:b/>
        </w:rPr>
        <w:t>FORCE</w:t>
      </w:r>
      <w:r>
        <w:t xml:space="preserve"> sind alle anderen Öffnungen gesperrt, bis der Vorgang an der aktuellen Öffnung erledigt ist.</w:t>
      </w:r>
    </w:p>
    <w:p>
      <w:pPr>
        <w:pStyle w:val="ListBullet"/>
      </w:pPr>
      <w:r>
        <w:rPr>
          <w:b/>
        </w:rPr>
        <w:t>Umlagern zwischen Tablaren</w:t>
      </w:r>
      <w:r>
        <w:t xml:space="preserve"> erzeugt zwei Buchungen; zwischendurch ist der Bestand zu niedrig.</w:t>
      </w:r>
    </w:p>
    <w:p>
      <w:pPr>
        <w:pStyle w:val="ListBullet"/>
      </w:pPr>
      <w:r>
        <w:rPr>
          <w:b/>
        </w:rPr>
        <w:t>Spontan angelegte Artikel</w:t>
      </w:r>
      <w:r>
        <w:t xml:space="preserve"> sind dem ERP unbekannt.</w:t>
      </w:r>
    </w:p>
    <w:p>
      <w:pPr>
        <w:pStyle w:val="ListBullet"/>
      </w:pPr>
      <w:r>
        <w:rPr>
          <w:b/>
        </w:rPr>
        <w:t>Überlastwarnung</w:t>
      </w:r>
      <w:r>
        <w:t xml:space="preserve"> nicht routinemäßig mit </w:t>
      </w:r>
      <w:r>
        <w:rPr>
          <w:b/>
        </w:rPr>
        <w:t>Ja</w:t>
      </w:r>
      <w:r>
        <w:t xml:space="preserve"> bestätigen; das Tablargewicht ist begrenzt.</w:t>
      </w:r>
    </w:p>
    <w:p>
      <w:pPr>
        <w:pStyle w:val="ListBullet"/>
      </w:pPr>
      <w:r>
        <w:rPr>
          <w:b/>
        </w:rPr>
        <w:t>Bezeichnungen in den Handbüchern:</w:t>
      </w:r>
      <w:r>
        <w:t xml:space="preserve"> Für den Startdialog der Tablaranforderung nennt das Benutzerhandbuch teils </w:t>
      </w:r>
      <w:r>
        <w:rPr>
          <w:b/>
        </w:rPr>
        <w:t>LM040</w:t>
      </w:r>
      <w:r>
        <w:t xml:space="preserve">, teils </w:t>
      </w:r>
      <w:r>
        <w:rPr>
          <w:b/>
        </w:rPr>
        <w:t>LM006</w:t>
      </w:r>
      <w:r>
        <w:t xml:space="preserve">; die Icons heißen teils </w:t>
      </w:r>
      <w:r>
        <w:rPr>
          <w:b/>
        </w:rPr>
        <w:t>EINLAGERN/AUSLAGERN/ZÄHLEN</w:t>
      </w:r>
      <w:r>
        <w:t xml:space="preserve">, teils </w:t>
      </w:r>
      <w:r>
        <w:rPr>
          <w:b/>
        </w:rPr>
        <w:t>Ware lagern/Ware kommissionieren/Inventur durchführen</w:t>
      </w:r>
      <w:r>
        <w:t>. Maßgeblich ist die Oberfläche Ihres Systems.</w:t>
      </w:r>
    </w:p>
    <w:p>
      <w:pPr>
        <w:pStyle w:val="ListBullet"/>
      </w:pPr>
      <w:r>
        <w:rPr>
          <w:b/>
        </w:rPr>
        <w:t>Mobilterminal ist kein spontaner Einlagerweg:</w:t>
      </w:r>
      <w:r>
        <w:t xml:space="preserve"> Einlagern und Kommissionieren mobil setzen einen Bedarf voraus.</w:t>
      </w:r>
    </w:p>
    <w:p>
      <w:pPr>
        <w:pStyle w:val="Quelle"/>
      </w:pPr>
      <w:r>
        <w:rPr>
          <w:b/>
        </w:rPr>
        <w:t xml:space="preserve">Quelle: </w:t>
      </w:r>
      <w:r>
        <w:rPr>
          <w:sz w:val="17"/>
        </w:rPr>
        <w:t>Zusammenstellung aus den Kapiteln 3 bis 10</w:t>
      </w:r>
    </w:p>
    <w:p>
      <w:pPr>
        <w:pStyle w:val="Heading1"/>
      </w:pPr>
      <w:r>
        <w:t>12 Praxisbeispiele</w:t>
      </w:r>
    </w:p>
    <w:p>
      <w:pPr>
        <w:pStyle w:val="Heading2"/>
      </w:pPr>
      <w:r>
        <w:t>12.1 Ungeplante Anlieferung spontan einlagern</w:t>
      </w:r>
    </w:p>
    <w:p>
      <w:r>
        <w:t xml:space="preserve">Beispiel (Werte frei gewählt): Ein Lieferant bringt ohne Bestellung 40 Stück des Artikels </w:t>
      </w:r>
      <w:r>
        <w:rPr>
          <w:rFonts w:ascii="Consolas" w:hAnsi="Consolas" w:cs="Consolas" w:eastAsia="Consolas"/>
          <w:sz w:val="18"/>
        </w:rPr>
        <w:t>4711</w:t>
      </w:r>
      <w:r>
        <w:t xml:space="preserve"> (Dichtungssatz). Der Artikel ist in WAMAS angelegt, hat aber noch keine Box. Klient </w:t>
      </w:r>
      <w:r>
        <w:rPr>
          <w:rFonts w:ascii="Consolas" w:hAnsi="Consolas" w:cs="Consolas" w:eastAsia="Consolas"/>
          <w:sz w:val="18"/>
        </w:rPr>
        <w:t>DEFAULT</w:t>
      </w:r>
      <w:r>
        <w:t xml:space="preserve"> hat den Buchungsschlüssel </w:t>
      </w:r>
      <w:r>
        <w:rPr>
          <w:rFonts w:ascii="Consolas" w:hAnsi="Consolas" w:cs="Consolas" w:eastAsia="Consolas"/>
          <w:sz w:val="18"/>
        </w:rPr>
        <w:t>ZUGANG_SPONTAN</w:t>
      </w:r>
      <w:r>
        <w:t xml:space="preserve"> mit </w:t>
      </w:r>
      <w:r>
        <w:rPr>
          <w:b/>
        </w:rPr>
        <w:t>Für spontane Erfassung erlaubt</w:t>
      </w:r>
      <w:r>
        <w:t xml:space="preserve"> und </w:t>
      </w:r>
      <w:r>
        <w:rPr>
          <w:b/>
        </w:rPr>
        <w:t>Standard für spontane Erfassung</w:t>
      </w:r>
      <w:r>
        <w:t>.</w:t>
      </w:r>
    </w:p>
    <w:p>
      <w:pPr>
        <w:tabs>
          <w:tab w:pos="425" w:val="left"/>
        </w:tabs>
        <w:spacing w:after="60"/>
        <w:ind w:left="425" w:hanging="425"/>
      </w:pPr>
      <w:r>
        <w:rPr>
          <w:b/>
        </w:rPr>
        <w:t>1.</w:t>
        <w:tab/>
      </w:r>
      <w:r>
        <w:t xml:space="preserve">Touch-Client: </w:t>
      </w:r>
      <w:r>
        <w:rPr>
          <w:b/>
        </w:rPr>
        <w:t>LM040</w:t>
      </w:r>
      <w:r>
        <w:t xml:space="preserve"> → </w:t>
      </w:r>
      <w:r>
        <w:rPr>
          <w:b/>
        </w:rPr>
        <w:t>Übersicht Tablare</w:t>
      </w:r>
      <w:r>
        <w:t xml:space="preserve"> → Icon </w:t>
      </w:r>
      <w:r>
        <w:rPr>
          <w:b/>
        </w:rPr>
        <w:t>EINLAGERN</w:t>
      </w:r>
      <w:r>
        <w:t xml:space="preserve">, Artikel </w:t>
      </w:r>
      <w:r>
        <w:rPr>
          <w:rFonts w:ascii="Consolas" w:hAnsi="Consolas" w:cs="Consolas" w:eastAsia="Consolas"/>
          <w:sz w:val="18"/>
        </w:rPr>
        <w:t>4711</w:t>
      </w:r>
      <w:r>
        <w:t xml:space="preserve"> eingeben, </w:t>
      </w:r>
      <w:r>
        <w:rPr>
          <w:b/>
        </w:rPr>
        <w:t>Suche</w:t>
      </w:r>
      <w:r>
        <w:t>.</w:t>
      </w:r>
    </w:p>
    <w:p>
      <w:pPr>
        <w:tabs>
          <w:tab w:pos="425" w:val="left"/>
        </w:tabs>
        <w:spacing w:after="60"/>
        <w:ind w:left="425" w:hanging="425"/>
      </w:pPr>
      <w:r>
        <w:rPr>
          <w:b/>
        </w:rPr>
        <w:t>2.</w:t>
        <w:tab/>
      </w:r>
      <w:r>
        <w:t xml:space="preserve">Da keine Box zugeordnet ist, öffnet sich </w:t>
      </w:r>
      <w:r>
        <w:rPr>
          <w:b/>
        </w:rPr>
        <w:t>LM012</w:t>
      </w:r>
      <w:r>
        <w:t xml:space="preserve">: Boxtyp der freien Box wählen, </w:t>
      </w:r>
      <w:r>
        <w:rPr>
          <w:b/>
        </w:rPr>
        <w:t>Max. Artikel in Box</w:t>
      </w:r>
      <w:r>
        <w:t xml:space="preserve"> = 50, </w:t>
      </w:r>
      <w:r>
        <w:rPr>
          <w:b/>
        </w:rPr>
        <w:t>Speichern</w:t>
      </w:r>
      <w:r>
        <w:t xml:space="preserve">, </w:t>
      </w:r>
      <w:r>
        <w:rPr>
          <w:b/>
        </w:rPr>
        <w:t>Tablar anfordern</w:t>
      </w:r>
      <w:r>
        <w:t>.</w:t>
      </w:r>
    </w:p>
    <w:p>
      <w:pPr>
        <w:tabs>
          <w:tab w:pos="425" w:val="left"/>
        </w:tabs>
        <w:spacing w:after="60"/>
        <w:ind w:left="425" w:hanging="425"/>
      </w:pPr>
      <w:r>
        <w:rPr>
          <w:b/>
        </w:rPr>
        <w:t>3.</w:t>
        <w:tab/>
      </w:r>
      <w:r>
        <w:t xml:space="preserve">In </w:t>
      </w:r>
      <w:r>
        <w:rPr>
          <w:b/>
        </w:rPr>
        <w:t>LM002</w:t>
      </w:r>
      <w:r>
        <w:t xml:space="preserve"> die hervorgehobene Box wählen, </w:t>
      </w:r>
      <w:r>
        <w:rPr>
          <w:b/>
        </w:rPr>
        <w:t>Ware lagern</w:t>
      </w:r>
      <w:r>
        <w:t xml:space="preserve">, </w:t>
      </w:r>
      <w:r>
        <w:rPr>
          <w:b/>
        </w:rPr>
        <w:t>Menge</w:t>
      </w:r>
      <w:r>
        <w:t xml:space="preserve"> = 40, Charge eingeben, </w:t>
      </w:r>
      <w:r>
        <w:rPr>
          <w:b/>
        </w:rPr>
        <w:t>OK</w:t>
      </w:r>
      <w:r>
        <w:t>.</w:t>
      </w:r>
    </w:p>
    <w:p>
      <w:pPr>
        <w:tabs>
          <w:tab w:pos="425" w:val="left"/>
        </w:tabs>
        <w:spacing w:after="60"/>
        <w:ind w:left="425" w:hanging="425"/>
      </w:pPr>
      <w:r>
        <w:rPr>
          <w:b/>
        </w:rPr>
        <w:t>4.</w:t>
        <w:tab/>
      </w:r>
      <w:r>
        <w:rPr>
          <w:b/>
        </w:rPr>
        <w:t>LM101</w:t>
      </w:r>
      <w:r>
        <w:t xml:space="preserve">: Buchungsschlüssel </w:t>
      </w:r>
      <w:r>
        <w:rPr>
          <w:rFonts w:ascii="Consolas" w:hAnsi="Consolas" w:cs="Consolas" w:eastAsia="Consolas"/>
          <w:sz w:val="18"/>
        </w:rPr>
        <w:t>ZUGANG_SPONTAN</w:t>
      </w:r>
      <w:r>
        <w:t xml:space="preserve">, Grund „Lieferung ohne Bestellung, Lieferschein 12345“, </w:t>
      </w:r>
      <w:r>
        <w:rPr>
          <w:b/>
        </w:rPr>
        <w:t>OK</w:t>
      </w:r>
      <w:r>
        <w:t>.</w:t>
      </w:r>
    </w:p>
    <w:p>
      <w:pPr>
        <w:tabs>
          <w:tab w:pos="425" w:val="left"/>
        </w:tabs>
        <w:spacing w:after="60"/>
        <w:ind w:left="425" w:hanging="425"/>
      </w:pPr>
      <w:r>
        <w:rPr>
          <w:b/>
        </w:rPr>
        <w:t>5.</w:t>
        <w:tab/>
      </w:r>
      <w:r>
        <w:rPr>
          <w:b/>
        </w:rPr>
        <w:t>Tablar retournieren</w:t>
      </w:r>
      <w:r>
        <w:t>.</w:t>
      </w:r>
    </w:p>
    <w:p>
      <w:r>
        <w:t>Ergebnis: 40 Stück sind gebucht. Das ERP erhält eine Bestandskorrektur mit dem zugeordneten Buchungsschlüssel und kann die Ware nachträglich zuordnen.</w:t>
      </w:r>
    </w:p>
    <w:p>
      <w:pPr>
        <w:pStyle w:val="Heading2"/>
      </w:pPr>
      <w:r>
        <w:t>12.2 Zähldifferenz korrigieren und Boxen verdichten</w:t>
      </w:r>
    </w:p>
    <w:p>
      <w:r>
        <w:t xml:space="preserve">Beispiel (Werte frei gewählt): Ein Kommissionierer meldet, dass in Tablar </w:t>
      </w:r>
      <w:r>
        <w:rPr>
          <w:rFonts w:ascii="Consolas" w:hAnsi="Consolas" w:cs="Consolas" w:eastAsia="Consolas"/>
          <w:sz w:val="18"/>
        </w:rPr>
        <w:t>12</w:t>
      </w:r>
      <w:r>
        <w:t xml:space="preserve"> für Artikel </w:t>
      </w:r>
      <w:r>
        <w:rPr>
          <w:rFonts w:ascii="Consolas" w:hAnsi="Consolas" w:cs="Consolas" w:eastAsia="Consolas"/>
          <w:sz w:val="18"/>
        </w:rPr>
        <w:t>0815</w:t>
      </w:r>
      <w:r>
        <w:t xml:space="preserve"> weniger Ware liegt als angezeigt. Zusätzlich liegt der Artikel auf demselben Tablar in zwei Boxen.</w:t>
      </w:r>
    </w:p>
    <w:p>
      <w:pPr>
        <w:tabs>
          <w:tab w:pos="425" w:val="left"/>
        </w:tabs>
        <w:spacing w:after="60"/>
        <w:ind w:left="425" w:hanging="425"/>
      </w:pPr>
      <w:r>
        <w:rPr>
          <w:b/>
        </w:rPr>
        <w:t>1.</w:t>
        <w:tab/>
      </w:r>
      <w:r>
        <w:rPr>
          <w:b/>
        </w:rPr>
        <w:t>LM040</w:t>
      </w:r>
      <w:r>
        <w:t xml:space="preserve"> → Tablar-ID </w:t>
      </w:r>
      <w:r>
        <w:rPr>
          <w:rFonts w:ascii="Consolas" w:hAnsi="Consolas" w:cs="Consolas" w:eastAsia="Consolas"/>
          <w:sz w:val="18"/>
        </w:rPr>
        <w:t>12</w:t>
      </w:r>
      <w:r>
        <w:t xml:space="preserve"> eingeben → </w:t>
      </w:r>
      <w:r>
        <w:rPr>
          <w:b/>
        </w:rPr>
        <w:t>ZÄHLEN</w:t>
      </w:r>
      <w:r>
        <w:t xml:space="preserve"> → </w:t>
      </w:r>
      <w:r>
        <w:rPr>
          <w:b/>
        </w:rPr>
        <w:t>Tablar anfordern</w:t>
      </w:r>
      <w:r>
        <w:t>.</w:t>
      </w:r>
    </w:p>
    <w:p>
      <w:pPr>
        <w:tabs>
          <w:tab w:pos="425" w:val="left"/>
        </w:tabs>
        <w:spacing w:after="60"/>
        <w:ind w:left="425" w:hanging="425"/>
      </w:pPr>
      <w:r>
        <w:rPr>
          <w:b/>
        </w:rPr>
        <w:t>2.</w:t>
        <w:tab/>
      </w:r>
      <w:r>
        <w:t xml:space="preserve">In </w:t>
      </w:r>
      <w:r>
        <w:rPr>
          <w:b/>
        </w:rPr>
        <w:t>LM002</w:t>
      </w:r>
      <w:r>
        <w:t xml:space="preserve"> Box 1 wählen, </w:t>
      </w:r>
      <w:r>
        <w:rPr>
          <w:b/>
        </w:rPr>
        <w:t>Inventur durchführen</w:t>
      </w:r>
      <w:r>
        <w:t xml:space="preserve">, gezählte Menge 17 (System: 20) eingeben, </w:t>
      </w:r>
      <w:r>
        <w:rPr>
          <w:b/>
        </w:rPr>
        <w:t>OK</w:t>
      </w:r>
      <w:r>
        <w:t xml:space="preserve">. Danach Box 2 zählen: 8, </w:t>
      </w:r>
      <w:r>
        <w:rPr>
          <w:b/>
        </w:rPr>
        <w:t>OK</w:t>
      </w:r>
      <w:r>
        <w:t>.</w:t>
      </w:r>
    </w:p>
    <w:p>
      <w:pPr>
        <w:tabs>
          <w:tab w:pos="425" w:val="left"/>
        </w:tabs>
        <w:spacing w:after="60"/>
        <w:ind w:left="425" w:hanging="425"/>
      </w:pPr>
      <w:r>
        <w:rPr>
          <w:b/>
        </w:rPr>
        <w:t>3.</w:t>
        <w:tab/>
      </w:r>
      <w:r>
        <w:t xml:space="preserve">Box 2 als Quellbox wählen, </w:t>
      </w:r>
      <w:r>
        <w:rPr>
          <w:b/>
        </w:rPr>
        <w:t>Verdichten</w:t>
      </w:r>
      <w:r>
        <w:t xml:space="preserve">, </w:t>
      </w:r>
      <w:r>
        <w:rPr>
          <w:b/>
        </w:rPr>
        <w:t>OK</w:t>
      </w:r>
      <w:r>
        <w:t xml:space="preserve">, Box 1 als Zielbox wählen, Menge 8, </w:t>
      </w:r>
      <w:r>
        <w:rPr>
          <w:b/>
        </w:rPr>
        <w:t>OK</w:t>
      </w:r>
      <w:r>
        <w:t>.</w:t>
      </w:r>
    </w:p>
    <w:p>
      <w:pPr>
        <w:tabs>
          <w:tab w:pos="425" w:val="left"/>
        </w:tabs>
        <w:spacing w:after="60"/>
        <w:ind w:left="425" w:hanging="425"/>
      </w:pPr>
      <w:r>
        <w:rPr>
          <w:b/>
        </w:rPr>
        <w:t>4.</w:t>
        <w:tab/>
      </w:r>
      <w:r>
        <w:t xml:space="preserve">Frage „Zuordnung entfernen?“ für Box 2 mit </w:t>
      </w:r>
      <w:r>
        <w:rPr>
          <w:b/>
        </w:rPr>
        <w:t>Ja</w:t>
      </w:r>
      <w:r>
        <w:t xml:space="preserve"> beantworten; die Box ist wieder frei.</w:t>
      </w:r>
    </w:p>
    <w:p>
      <w:pPr>
        <w:tabs>
          <w:tab w:pos="425" w:val="left"/>
        </w:tabs>
        <w:spacing w:after="60"/>
        <w:ind w:left="425" w:hanging="425"/>
      </w:pPr>
      <w:r>
        <w:rPr>
          <w:b/>
        </w:rPr>
        <w:t>5.</w:t>
        <w:tab/>
      </w:r>
      <w:r>
        <w:rPr>
          <w:b/>
        </w:rPr>
        <w:t>Tablar retournieren</w:t>
      </w:r>
      <w:r>
        <w:t xml:space="preserve">. Am Desktop prüfen Sie die Differenz in </w:t>
      </w:r>
      <w:r>
        <w:rPr>
          <w:b/>
        </w:rPr>
        <w:t>LM094</w:t>
      </w:r>
      <w:r>
        <w:t xml:space="preserve"> bzw. die Bestandskorrekturmeldung.</w:t>
      </w:r>
    </w:p>
    <w:p>
      <w:r>
        <w:t>Ergebnis: Der Bestand stimmt mit der Realität überein, und der Artikel belegt nur noch eine Box.</w:t>
      </w:r>
    </w:p>
    <w:p>
      <w:pPr>
        <w:pStyle w:val="Heading1"/>
      </w:pPr>
      <w:r>
        <w:t>13 Dokumentationslücken und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w:t>
            </w:r>
          </w:p>
          <w:p>
            <w:pPr>
              <w:spacing w:after="40"/>
            </w:pPr>
            <w:r>
              <w:rPr>
                <w:sz w:val="19"/>
              </w:rPr>
              <w:t>1. Welche Einstellung das Recht steuert, ein bestimmtes Tablar bzw. bestimmte Artikel anzufordern (Kapitel 3.2), und welche Aktions-IDs die Touch-Dialoge haben.</w:t>
            </w:r>
          </w:p>
          <w:p>
            <w:pPr>
              <w:spacing w:after="40"/>
            </w:pPr>
            <w:r>
              <w:rPr>
                <w:sz w:val="19"/>
              </w:rPr>
              <w:t>2. Bezeichnung und Wirkung der Checkbox „Standard für spontane Einlagerung/Erfassung“ (Touch-Client oder Mobil-Client).</w:t>
            </w:r>
          </w:p>
          <w:p>
            <w:pPr>
              <w:spacing w:after="40"/>
            </w:pPr>
            <w:r>
              <w:rPr>
                <w:sz w:val="19"/>
              </w:rPr>
              <w:t>3. Ob spontane Buchungen am Touch-Client den Checkboxen „positive/negative Bestandskorrektur erlauben“ der Bestandsklassifizierung unterliegen.</w:t>
            </w:r>
          </w:p>
          <w:p>
            <w:pPr>
              <w:spacing w:after="40"/>
            </w:pPr>
            <w:r>
              <w:rPr>
                <w:sz w:val="19"/>
              </w:rPr>
              <w:t>4. Desktop-Dialog für Bestandskorrektur bzw. Umbuchung im SSI LOGIMAT ist nicht beschrieben.</w:t>
            </w:r>
          </w:p>
          <w:p>
            <w:pPr>
              <w:spacing w:after="40"/>
            </w:pPr>
            <w:r>
              <w:rPr>
                <w:sz w:val="19"/>
              </w:rPr>
              <w:t>5. Umlagern zwischen Tablaren ohne Abgangs- und Zugangsbuchung ist nicht beschrieben.</w:t>
            </w:r>
          </w:p>
          <w:p>
            <w:pPr>
              <w:spacing w:after="40"/>
            </w:pPr>
            <w:r>
              <w:rPr>
                <w:sz w:val="19"/>
              </w:rPr>
              <w:t>6. Welcher Systempartner bei manuell angelegten Bedarfen ohne Hostsystem einzutragen ist.</w:t>
            </w:r>
          </w:p>
          <w:p>
            <w:pPr>
              <w:spacing w:after="40"/>
            </w:pPr>
            <w:r>
              <w:rPr>
                <w:sz w:val="19"/>
              </w:rPr>
              <w:t xml:space="preserve">7. Der Dialog </w:t>
            </w:r>
            <w:r>
              <w:rPr>
                <w:b/>
                <w:sz w:val="19"/>
              </w:rPr>
              <w:t>LM200 Übersicht Lagerbelegung</w:t>
            </w:r>
            <w:r>
              <w:rPr>
                <w:sz w:val="19"/>
              </w:rPr>
              <w:t xml:space="preserve"> wird im Administratorhandbuch beim Bestandsauswahlmodus („Einlagervorgang in LM200“) genannt, seine Bedienung ist im Benutzerhandbuch nicht beschrieben.</w:t>
            </w:r>
          </w:p>
        </w:tc>
      </w:tr>
    </w:tbl>
    <w:p>
      <w:pPr>
        <w:spacing w:after="40"/>
      </w:pPr>
    </w:p>
    <w:p>
      <w:pPr>
        <w:pStyle w:val="Heading1"/>
      </w:pPr>
      <w:r>
        <w:t>14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38"/>
        <w:gridCol w:w="4419"/>
        <w:gridCol w:w="4267"/>
      </w:tblGrid>
      <w:tr>
        <w:trPr>
          <w:tblHeader w:val="true"/>
        </w:trPr>
        <w:tc>
          <w:tcPr>
            <w:tcW w:type="dxa" w:w="838"/>
            <w:shd w:val="clear" w:color="auto" w:fill="FEEE19"/>
          </w:tcPr>
          <w:p>
            <w:pPr>
              <w:spacing w:after="0"/>
            </w:pPr>
            <w:r>
              <w:rPr>
                <w:b/>
                <w:sz w:val="17"/>
              </w:rPr>
              <w:t>Kürzel</w:t>
            </w:r>
          </w:p>
        </w:tc>
        <w:tc>
          <w:tcPr>
            <w:tcW w:type="dxa" w:w="4419"/>
            <w:shd w:val="clear" w:color="auto" w:fill="FEEE19"/>
          </w:tcPr>
          <w:p>
            <w:pPr>
              <w:spacing w:after="0"/>
            </w:pPr>
            <w:r>
              <w:rPr>
                <w:b/>
                <w:sz w:val="17"/>
              </w:rPr>
              <w:t>Dokument</w:t>
            </w:r>
          </w:p>
        </w:tc>
        <w:tc>
          <w:tcPr>
            <w:tcW w:type="dxa" w:w="4267"/>
            <w:shd w:val="clear" w:color="auto" w:fill="FEEE19"/>
          </w:tcPr>
          <w:p>
            <w:pPr>
              <w:spacing w:after="0"/>
            </w:pPr>
            <w:r>
              <w:rPr>
                <w:b/>
                <w:sz w:val="17"/>
              </w:rPr>
              <w:t>Verwendete Kapitel</w:t>
            </w:r>
          </w:p>
        </w:tc>
      </w:tr>
      <w:tr>
        <w:tc>
          <w:tcPr>
            <w:tcW w:type="dxa" w:w="838"/>
          </w:tcPr>
          <w:p>
            <w:pPr>
              <w:spacing w:after="0" w:line="252" w:lineRule="auto"/>
            </w:pPr>
            <w:r>
              <w:rPr>
                <w:sz w:val="17"/>
              </w:rPr>
              <w:t>BH 2.7</w:t>
            </w:r>
          </w:p>
        </w:tc>
        <w:tc>
          <w:tcPr>
            <w:tcW w:type="dxa" w:w="4419"/>
          </w:tcPr>
          <w:p>
            <w:pPr>
              <w:spacing w:after="0" w:line="252" w:lineRule="auto"/>
            </w:pPr>
            <w:r>
              <w:rPr>
                <w:sz w:val="17"/>
              </w:rPr>
              <w:t>Benutzerhandbuch WAMAS Lift &amp; Store 2.7, V 1.0 (deDE)</w:t>
            </w:r>
          </w:p>
        </w:tc>
        <w:tc>
          <w:tcPr>
            <w:tcW w:type="dxa" w:w="4267"/>
          </w:tcPr>
          <w:p>
            <w:pPr>
              <w:spacing w:after="0" w:line="252" w:lineRule="auto"/>
            </w:pPr>
            <w:r>
              <w:rPr>
                <w:sz w:val="17"/>
              </w:rPr>
              <w:t>5.4, 5.6, 6.1–6.5, 6.7</w:t>
            </w:r>
          </w:p>
        </w:tc>
      </w:tr>
      <w:tr>
        <w:tc>
          <w:tcPr>
            <w:tcW w:type="dxa" w:w="838"/>
          </w:tcPr>
          <w:p>
            <w:pPr>
              <w:spacing w:after="0" w:line="252" w:lineRule="auto"/>
            </w:pPr>
            <w:r>
              <w:rPr>
                <w:sz w:val="17"/>
              </w:rPr>
              <w:t>AH 2.7</w:t>
            </w:r>
          </w:p>
        </w:tc>
        <w:tc>
          <w:tcPr>
            <w:tcW w:type="dxa" w:w="4419"/>
          </w:tcPr>
          <w:p>
            <w:pPr>
              <w:spacing w:after="0" w:line="252" w:lineRule="auto"/>
            </w:pPr>
            <w:r>
              <w:rPr>
                <w:sz w:val="17"/>
              </w:rPr>
              <w:t>Administratorhandbuch WAMAS Lift &amp; Store 2.7, V 1.0 (deDE)</w:t>
            </w:r>
          </w:p>
        </w:tc>
        <w:tc>
          <w:tcPr>
            <w:tcW w:type="dxa" w:w="4267"/>
          </w:tcPr>
          <w:p>
            <w:pPr>
              <w:spacing w:after="0" w:line="252" w:lineRule="auto"/>
            </w:pPr>
            <w:r>
              <w:rPr>
                <w:sz w:val="17"/>
              </w:rPr>
              <w:t>3.1.3, 3.1.6–3.1.9, 3.3, 3.5.4, 3.6.1.8–3.6.1.13, 3.11.2</w:t>
            </w:r>
          </w:p>
        </w:tc>
      </w:tr>
      <w:tr>
        <w:tc>
          <w:tcPr>
            <w:tcW w:type="dxa" w:w="838"/>
          </w:tcPr>
          <w:p>
            <w:pPr>
              <w:spacing w:after="0" w:line="252" w:lineRule="auto"/>
            </w:pPr>
            <w:r>
              <w:rPr>
                <w:sz w:val="17"/>
              </w:rPr>
              <w:t>UM 2.8</w:t>
            </w:r>
          </w:p>
        </w:tc>
        <w:tc>
          <w:tcPr>
            <w:tcW w:type="dxa" w:w="4419"/>
          </w:tcPr>
          <w:p>
            <w:pPr>
              <w:spacing w:after="0" w:line="252" w:lineRule="auto"/>
            </w:pPr>
            <w:r>
              <w:rPr>
                <w:sz w:val="17"/>
              </w:rPr>
              <w:t>User Manual WAMAS Lift &amp; Store 2.8, V 1.0 (enUS)</w:t>
            </w:r>
          </w:p>
        </w:tc>
        <w:tc>
          <w:tcPr>
            <w:tcW w:type="dxa" w:w="4267"/>
          </w:tcPr>
          <w:p>
            <w:pPr>
              <w:spacing w:after="0" w:line="252" w:lineRule="auto"/>
            </w:pPr>
            <w:r>
              <w:rPr>
                <w:sz w:val="17"/>
              </w:rPr>
              <w:t>6.1, 6.2.4, 6.2.5.3, 6.4.13 (Abgleich)</w:t>
            </w:r>
          </w:p>
        </w:tc>
      </w:tr>
      <w:tr>
        <w:tc>
          <w:tcPr>
            <w:tcW w:type="dxa" w:w="838"/>
          </w:tcPr>
          <w:p>
            <w:pPr>
              <w:spacing w:after="0" w:line="252" w:lineRule="auto"/>
            </w:pPr>
            <w:r>
              <w:rPr>
                <w:sz w:val="17"/>
              </w:rPr>
              <w:t>AM 2.8</w:t>
            </w:r>
          </w:p>
        </w:tc>
        <w:tc>
          <w:tcPr>
            <w:tcW w:type="dxa" w:w="4419"/>
          </w:tcPr>
          <w:p>
            <w:pPr>
              <w:spacing w:after="0" w:line="252" w:lineRule="auto"/>
            </w:pPr>
            <w:r>
              <w:rPr>
                <w:sz w:val="17"/>
              </w:rPr>
              <w:t>Administrator Manual WAMAS Lift &amp; Store 2.8, V 1.0 (enUS)</w:t>
            </w:r>
          </w:p>
        </w:tc>
        <w:tc>
          <w:tcPr>
            <w:tcW w:type="dxa" w:w="4267"/>
          </w:tcPr>
          <w:p>
            <w:pPr>
              <w:spacing w:after="0" w:line="252" w:lineRule="auto"/>
            </w:pPr>
            <w:r>
              <w:rPr>
                <w:sz w:val="17"/>
              </w:rPr>
              <w:t>3.1.11 (Abgleich)</w:t>
            </w:r>
          </w:p>
        </w:tc>
      </w:tr>
      <w:tr>
        <w:tc>
          <w:tcPr>
            <w:tcW w:type="dxa" w:w="838"/>
          </w:tcPr>
          <w:p>
            <w:pPr>
              <w:spacing w:after="0" w:line="252" w:lineRule="auto"/>
            </w:pPr>
            <w:r>
              <w:rPr>
                <w:sz w:val="17"/>
              </w:rPr>
              <w:t>QG INV</w:t>
            </w:r>
          </w:p>
        </w:tc>
        <w:tc>
          <w:tcPr>
            <w:tcW w:type="dxa" w:w="4419"/>
          </w:tcPr>
          <w:p>
            <w:pPr>
              <w:spacing w:after="0" w:line="252" w:lineRule="auto"/>
            </w:pPr>
            <w:r>
              <w:rPr>
                <w:sz w:val="17"/>
              </w:rPr>
              <w:t>Quick Guide Inventur, Release 2.5</w:t>
            </w:r>
          </w:p>
        </w:tc>
        <w:tc>
          <w:tcPr>
            <w:tcW w:type="dxa" w:w="4267"/>
          </w:tcPr>
          <w:p>
            <w:pPr>
              <w:spacing w:after="0" w:line="252" w:lineRule="auto"/>
            </w:pPr>
            <w:r>
              <w:rPr>
                <w:sz w:val="17"/>
              </w:rPr>
              <w:t>Erstellen und Auswerten von Inventuraufträgen</w:t>
            </w:r>
          </w:p>
        </w:tc>
      </w:tr>
    </w:tbl>
    <w:p>
      <w:pPr>
        <w:pStyle w:val="BeschriftungSSI"/>
      </w:pPr>
      <w:r>
        <w:t>Tab. 13: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5"/>
        <w:gridCol w:w="8049"/>
      </w:tblGrid>
      <w:tr>
        <w:trPr>
          <w:tblHeader w:val="true"/>
        </w:trPr>
        <w:tc>
          <w:tcPr>
            <w:tcW w:type="dxa" w:w="1476"/>
            <w:shd w:val="clear" w:color="auto" w:fill="FEEE19"/>
          </w:tcPr>
          <w:p>
            <w:pPr>
              <w:spacing w:after="0"/>
            </w:pPr>
            <w:r>
              <w:rPr>
                <w:b/>
                <w:sz w:val="17"/>
              </w:rPr>
              <w:t>Abkürzung</w:t>
            </w:r>
          </w:p>
        </w:tc>
        <w:tc>
          <w:tcPr>
            <w:tcW w:type="dxa" w:w="8049"/>
            <w:shd w:val="clear" w:color="auto" w:fill="FEEE19"/>
          </w:tcPr>
          <w:p>
            <w:pPr>
              <w:spacing w:after="0"/>
            </w:pPr>
            <w:r>
              <w:rPr>
                <w:b/>
                <w:sz w:val="17"/>
              </w:rPr>
              <w:t>Bedeutung</w:t>
            </w:r>
          </w:p>
        </w:tc>
      </w:tr>
      <w:tr>
        <w:tc>
          <w:tcPr>
            <w:tcW w:type="dxa" w:w="1476"/>
          </w:tcPr>
          <w:p>
            <w:pPr>
              <w:spacing w:after="0" w:line="252" w:lineRule="auto"/>
            </w:pPr>
            <w:r>
              <w:rPr>
                <w:sz w:val="17"/>
              </w:rPr>
              <w:t>BIA / ABIA</w:t>
            </w:r>
          </w:p>
        </w:tc>
        <w:tc>
          <w:tcPr>
            <w:tcW w:type="dxa" w:w="8049"/>
          </w:tcPr>
          <w:p>
            <w:pPr>
              <w:spacing w:after="0" w:line="252" w:lineRule="auto"/>
            </w:pPr>
            <w:r>
              <w:rPr>
                <w:sz w:val="17"/>
              </w:rPr>
              <w:t>(Anpassbares) bestandsidentifizierendes Attribut, z. B. Charge</w:t>
            </w:r>
          </w:p>
        </w:tc>
      </w:tr>
      <w:tr>
        <w:tc>
          <w:tcPr>
            <w:tcW w:type="dxa" w:w="1476"/>
          </w:tcPr>
          <w:p>
            <w:pPr>
              <w:spacing w:after="0" w:line="252" w:lineRule="auto"/>
            </w:pPr>
            <w:r>
              <w:rPr>
                <w:sz w:val="17"/>
              </w:rPr>
              <w:t>ERP</w:t>
            </w:r>
          </w:p>
        </w:tc>
        <w:tc>
          <w:tcPr>
            <w:tcW w:type="dxa" w:w="8049"/>
          </w:tcPr>
          <w:p>
            <w:pPr>
              <w:spacing w:after="0" w:line="252" w:lineRule="auto"/>
            </w:pPr>
            <w:r>
              <w:rPr>
                <w:sz w:val="17"/>
              </w:rPr>
              <w:t>Enterprise Resource Planning (Hostsystem)</w:t>
            </w:r>
          </w:p>
        </w:tc>
      </w:tr>
      <w:tr>
        <w:tc>
          <w:tcPr>
            <w:tcW w:type="dxa" w:w="1476"/>
          </w:tcPr>
          <w:p>
            <w:pPr>
              <w:spacing w:after="0" w:line="252" w:lineRule="auto"/>
            </w:pPr>
            <w:r>
              <w:rPr>
                <w:sz w:val="17"/>
              </w:rPr>
              <w:t>LE</w:t>
            </w:r>
          </w:p>
        </w:tc>
        <w:tc>
          <w:tcPr>
            <w:tcW w:type="dxa" w:w="8049"/>
          </w:tcPr>
          <w:p>
            <w:pPr>
              <w:spacing w:after="0" w:line="252" w:lineRule="auto"/>
            </w:pPr>
            <w:r>
              <w:rPr>
                <w:sz w:val="17"/>
              </w:rPr>
              <w:t>Ladeeinheit</w:t>
            </w:r>
          </w:p>
        </w:tc>
      </w:tr>
      <w:tr>
        <w:tc>
          <w:tcPr>
            <w:tcW w:type="dxa" w:w="1476"/>
          </w:tcPr>
          <w:p>
            <w:pPr>
              <w:spacing w:after="0" w:line="252" w:lineRule="auto"/>
            </w:pPr>
            <w:r>
              <w:rPr>
                <w:sz w:val="17"/>
              </w:rPr>
              <w:t>MHD</w:t>
            </w:r>
          </w:p>
        </w:tc>
        <w:tc>
          <w:tcPr>
            <w:tcW w:type="dxa" w:w="8049"/>
          </w:tcPr>
          <w:p>
            <w:pPr>
              <w:spacing w:after="0" w:line="252" w:lineRule="auto"/>
            </w:pPr>
            <w:r>
              <w:rPr>
                <w:sz w:val="17"/>
              </w:rPr>
              <w:t>Mindesthaltbarkeitsdatum</w:t>
            </w:r>
          </w:p>
        </w:tc>
      </w:tr>
      <w:tr>
        <w:tc>
          <w:tcPr>
            <w:tcW w:type="dxa" w:w="1476"/>
          </w:tcPr>
          <w:p>
            <w:pPr>
              <w:spacing w:after="0" w:line="252" w:lineRule="auto"/>
            </w:pPr>
            <w:r>
              <w:rPr>
                <w:sz w:val="17"/>
              </w:rPr>
              <w:t>SPS</w:t>
            </w:r>
          </w:p>
        </w:tc>
        <w:tc>
          <w:tcPr>
            <w:tcW w:type="dxa" w:w="8049"/>
          </w:tcPr>
          <w:p>
            <w:pPr>
              <w:spacing w:after="0" w:line="252" w:lineRule="auto"/>
            </w:pPr>
            <w:r>
              <w:rPr>
                <w:sz w:val="17"/>
              </w:rPr>
              <w:t>Speicherprogrammierbare Steuerung</w:t>
            </w:r>
          </w:p>
        </w:tc>
      </w:tr>
    </w:tbl>
    <w:p>
      <w:pPr>
        <w:pStyle w:val="BeschriftungSSI"/>
      </w:pPr>
      <w:r>
        <w:t>Tab. 14: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Kundenanleitung V 1.1</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Kundenanleitung</w:t>
    </w:r>
  </w:p>
  <w:p>
    <w:pPr>
      <w:jc w:val="right"/>
      <w:pBdr>
        <w:bottom w:val="single" w:sz="4" w:space="4" w:color="000000"/>
      </w:pBdr>
    </w:pPr>
    <w:r>
      <w:rPr>
        <w:b/>
        <w:sz w:val="22"/>
      </w:rPr>
      <w:t>Manuell ein- und auslagern ohne Auftrag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Manuell ein- und auslagern ohne Auftrag</dc:title>
  <dc:subject>Spontane Einlagerung und Entnahme, Umlagern, Bestandskorrektur und Tablarhandling am Touch-Client, Desktop und Mobilterminal</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