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cover.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jc w:val="left"/>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sz w:val="40"/>
              </w:rPr>
              <w:t>How-to-Handbuch</w:t>
            </w:r>
          </w:p>
          <w:p>
            <w:pPr>
              <w:spacing w:after="120"/>
            </w:pPr>
            <w:r>
              <w:rPr>
                <w:b/>
                <w:sz w:val="48"/>
              </w:rPr>
              <w:t>Externe Referenzen verwenden</w:t>
            </w:r>
          </w:p>
          <w:p>
            <w:pPr>
              <w:spacing w:after="360"/>
            </w:pPr>
            <w:r>
              <w:rPr>
                <w:sz w:val="32"/>
              </w:rPr>
              <w:t>WAMAS Lift &amp; Store 2.7 (WAMAS LogiMat)</w:t>
            </w:r>
          </w:p>
          <w:p>
            <w:pPr>
              <w:spacing w:after="0"/>
            </w:pPr>
            <w:r>
              <w:rPr>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sz w:val="21"/>
              </w:rPr>
              <w:t>Anwender-, Administrations- und Schnittstellensicht</w:t>
            </w:r>
          </w:p>
          <w:p>
            <w:pPr>
              <w:spacing w:after="0"/>
            </w:pPr>
            <w:r>
              <w:rPr>
                <w:color w:val="555555"/>
                <w:sz w:val="18"/>
              </w:rPr>
              <w:t>Basis: Handbücher WAMAS Lift &amp; Store 2.7, V 1.0</w:t>
            </w:r>
          </w:p>
        </w:tc>
      </w:tr>
    </w:tbl>
    <w:p>
      <w:pPr>
        <w:spacing w:before="8617"/>
      </w:pPr>
      <w:r>
        <w:rPr>
          <w:color w:val="000000"/>
          <w:sz w:val="18"/>
        </w:rPr>
        <w:t>V 1.0  ·  14.10.2026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3</w:t>
      </w:r>
    </w:p>
    <w:p>
      <w:pPr>
        <w:pStyle w:val="TOC2"/>
        <w:tabs>
          <w:tab w:pos="9524" w:val="right" w:leader="dot"/>
        </w:tabs>
      </w:pPr>
      <w:r>
        <w:t>1.1 Zweck</w:t>
        <w:tab/>
        <w:t>3</w:t>
      </w:r>
    </w:p>
    <w:p>
      <w:pPr>
        <w:pStyle w:val="TOC2"/>
        <w:tabs>
          <w:tab w:pos="9524" w:val="right" w:leader="dot"/>
        </w:tabs>
      </w:pPr>
      <w:r>
        <w:t>1.2 So lesen Sie dieses Dokument</w:t>
        <w:tab/>
        <w:t>3</w:t>
      </w:r>
    </w:p>
    <w:p>
      <w:pPr>
        <w:pStyle w:val="TOC2"/>
        <w:tabs>
          <w:tab w:pos="9524" w:val="right" w:leader="dot"/>
        </w:tabs>
      </w:pPr>
      <w:r>
        <w:t>1.3 Dokumentinformationen und Konventionen</w:t>
        <w:tab/>
        <w:t>3</w:t>
      </w:r>
    </w:p>
    <w:p>
      <w:pPr>
        <w:pStyle w:val="TOC1"/>
        <w:tabs>
          <w:tab w:pos="9524" w:val="right" w:leader="dot"/>
        </w:tabs>
      </w:pPr>
      <w:r>
        <w:t>2 Was sind externe Referenzen?</w:t>
        <w:tab/>
        <w:t>4</w:t>
      </w:r>
    </w:p>
    <w:p>
      <w:pPr>
        <w:pStyle w:val="TOC2"/>
        <w:tabs>
          <w:tab w:pos="9524" w:val="right" w:leader="dot"/>
        </w:tabs>
      </w:pPr>
      <w:r>
        <w:t>2.1 Definition</w:t>
        <w:tab/>
        <w:t>4</w:t>
      </w:r>
    </w:p>
    <w:p>
      <w:pPr>
        <w:pStyle w:val="TOC2"/>
        <w:tabs>
          <w:tab w:pos="9524" w:val="right" w:leader="dot"/>
        </w:tabs>
      </w:pPr>
      <w:r>
        <w:t>2.2 Aufbau einer externen Referenz</w:t>
        <w:tab/>
        <w:t>4</w:t>
      </w:r>
    </w:p>
    <w:p>
      <w:pPr>
        <w:pStyle w:val="TOC2"/>
        <w:tabs>
          <w:tab w:pos="9524" w:val="right" w:leader="dot"/>
        </w:tabs>
      </w:pPr>
      <w:r>
        <w:t>2.3 Wofür werden externe Referenzen verwendet?</w:t>
        <w:tab/>
        <w:t>4</w:t>
      </w:r>
    </w:p>
    <w:p>
      <w:pPr>
        <w:pStyle w:val="TOC2"/>
        <w:tabs>
          <w:tab w:pos="9524" w:val="right" w:leader="dot"/>
        </w:tabs>
      </w:pPr>
      <w:r>
        <w:t>2.4 Abgrenzung: Was keine externe Referenz ist</w:t>
        <w:tab/>
        <w:t>5</w:t>
      </w:r>
    </w:p>
    <w:p>
      <w:pPr>
        <w:pStyle w:val="TOC2"/>
        <w:tabs>
          <w:tab w:pos="9524" w:val="right" w:leader="dot"/>
        </w:tabs>
      </w:pPr>
      <w:r>
        <w:t>2.5 Feld „Scheinnummer“</w:t>
        <w:tab/>
        <w:t>5</w:t>
      </w:r>
    </w:p>
    <w:p>
      <w:pPr>
        <w:pStyle w:val="TOC1"/>
        <w:tabs>
          <w:tab w:pos="9524" w:val="right" w:leader="dot"/>
        </w:tabs>
      </w:pPr>
      <w:r>
        <w:t>3 Externe Referenzen in der Oberfläche</w:t>
        <w:tab/>
        <w:t>6</w:t>
      </w:r>
    </w:p>
    <w:p>
      <w:pPr>
        <w:pStyle w:val="TOC1"/>
        <w:tabs>
          <w:tab w:pos="9524" w:val="right" w:leader="dot"/>
        </w:tabs>
      </w:pPr>
      <w:r>
        <w:t>4 Schritt-für-Schritt-Anleitungen</w:t>
        <w:tab/>
        <w:t>7</w:t>
      </w:r>
    </w:p>
    <w:p>
      <w:pPr>
        <w:pStyle w:val="TOC2"/>
        <w:tabs>
          <w:tab w:pos="9524" w:val="right" w:leader="dot"/>
        </w:tabs>
      </w:pPr>
      <w:r>
        <w:t>4.1 Externe Referenz in einer Bedarfsvorlage hinterlegen</w:t>
        <w:tab/>
        <w:t>7</w:t>
      </w:r>
    </w:p>
    <w:p>
      <w:pPr>
        <w:pStyle w:val="TOC2"/>
        <w:tabs>
          <w:tab w:pos="9524" w:val="right" w:leader="dot"/>
        </w:tabs>
      </w:pPr>
      <w:r>
        <w:t>4.2 Externe Referenz beim manuellen Anlegen eines Bedarfs erfassen</w:t>
        <w:tab/>
        <w:t>7</w:t>
      </w:r>
    </w:p>
    <w:p>
      <w:pPr>
        <w:pStyle w:val="TOC2"/>
        <w:tabs>
          <w:tab w:pos="9524" w:val="right" w:leader="dot"/>
        </w:tabs>
      </w:pPr>
      <w:r>
        <w:t>4.3 Externe Referenzen vom Systempartner empfangen</w:t>
        <w:tab/>
        <w:t>8</w:t>
      </w:r>
    </w:p>
    <w:p>
      <w:pPr>
        <w:pStyle w:val="TOC2"/>
        <w:tabs>
          <w:tab w:pos="9524" w:val="right" w:leader="dot"/>
        </w:tabs>
      </w:pPr>
      <w:r>
        <w:t>4.4 Externe Referenz durch Splitten eines Bedarfs</w:t>
        <w:tab/>
        <w:t>9</w:t>
      </w:r>
    </w:p>
    <w:p>
      <w:pPr>
        <w:pStyle w:val="TOC2"/>
        <w:tabs>
          <w:tab w:pos="9524" w:val="right" w:leader="dot"/>
        </w:tabs>
      </w:pPr>
      <w:r>
        <w:t>4.5 Externe Referenzen anzeigen, suchen, ändern</w:t>
        <w:tab/>
        <w:t>9</w:t>
      </w:r>
    </w:p>
    <w:p>
      <w:pPr>
        <w:pStyle w:val="TOC1"/>
        <w:tabs>
          <w:tab w:pos="9524" w:val="right" w:leader="dot"/>
        </w:tabs>
      </w:pPr>
      <w:r>
        <w:t>5 Konfiguration und Administration</w:t>
        <w:tab/>
        <w:t>10</w:t>
      </w:r>
    </w:p>
    <w:p>
      <w:pPr>
        <w:pStyle w:val="TOC2"/>
        <w:tabs>
          <w:tab w:pos="9524" w:val="right" w:leader="dot"/>
        </w:tabs>
      </w:pPr>
      <w:r>
        <w:t>5.1 Externe Referenzen in ERP-Quittierungen mitsenden (MD096)</w:t>
        <w:tab/>
        <w:t>10</w:t>
      </w:r>
    </w:p>
    <w:p>
      <w:pPr>
        <w:pStyle w:val="TOC2"/>
        <w:tabs>
          <w:tab w:pos="9524" w:val="right" w:leader="dot"/>
        </w:tabs>
      </w:pPr>
      <w:r>
        <w:t>5.2 Systemparameter logimat.picking.wcs.extRefKey</w:t>
        <w:tab/>
        <w:t>10</w:t>
      </w:r>
    </w:p>
    <w:p>
      <w:pPr>
        <w:pStyle w:val="TOC2"/>
        <w:tabs>
          <w:tab w:pos="9524" w:val="right" w:leader="dot"/>
        </w:tabs>
      </w:pPr>
      <w:r>
        <w:t>5.3 Übertragungswege (REST, Datei, Tabelle)</w:t>
        <w:tab/>
        <w:t>11</w:t>
      </w:r>
    </w:p>
    <w:p>
      <w:pPr>
        <w:pStyle w:val="TOC1"/>
        <w:tabs>
          <w:tab w:pos="9524" w:val="right" w:leader="dot"/>
        </w:tabs>
      </w:pPr>
      <w:r>
        <w:t>6 Schnittstelle</w:t>
        <w:tab/>
        <w:t>12</w:t>
      </w:r>
    </w:p>
    <w:p>
      <w:pPr>
        <w:pStyle w:val="TOC2"/>
        <w:tabs>
          <w:tab w:pos="9524" w:val="right" w:leader="dot"/>
        </w:tabs>
      </w:pPr>
      <w:r>
        <w:t>6.1 Satzarten im Überblick</w:t>
        <w:tab/>
        <w:t>12</w:t>
      </w:r>
    </w:p>
    <w:p>
      <w:pPr>
        <w:pStyle w:val="TOC2"/>
        <w:tabs>
          <w:tab w:pos="9524" w:val="right" w:leader="dot"/>
        </w:tabs>
      </w:pPr>
      <w:r>
        <w:t>6.2 Felder der Satzarten</w:t>
        <w:tab/>
        <w:t>12</w:t>
      </w:r>
    </w:p>
    <w:p>
      <w:pPr>
        <w:pStyle w:val="TOC2"/>
        <w:tabs>
          <w:tab w:pos="9524" w:val="right" w:leader="dot"/>
        </w:tabs>
      </w:pPr>
      <w:r>
        <w:t>6.3 Beispieltelegramme</w:t>
        <w:tab/>
        <w:t>13</w:t>
      </w:r>
    </w:p>
    <w:p>
      <w:pPr>
        <w:pStyle w:val="TOC1"/>
        <w:tabs>
          <w:tab w:pos="9524" w:val="right" w:leader="dot"/>
        </w:tabs>
      </w:pPr>
      <w:r>
        <w:t>7 Typische Stolperfallen</w:t>
        <w:tab/>
        <w:t>17</w:t>
      </w:r>
    </w:p>
    <w:p>
      <w:pPr>
        <w:pStyle w:val="TOC1"/>
        <w:tabs>
          <w:tab w:pos="9524" w:val="right" w:leader="dot"/>
        </w:tabs>
      </w:pPr>
      <w:r>
        <w:t>8 Lücken in den Unterlagen</w:t>
        <w:tab/>
        <w:t>18</w:t>
      </w:r>
    </w:p>
    <w:p>
      <w:pPr>
        <w:pStyle w:val="TOC1"/>
        <w:tabs>
          <w:tab w:pos="9524" w:val="right" w:leader="dot"/>
        </w:tabs>
      </w:pPr>
      <w:r>
        <w:t>9 Quellenverzeichnis</w:t>
        <w:tab/>
        <w:t>19</w:t>
      </w:r>
      <w:r>
        <w:fldChar w:fldCharType="end"/>
      </w:r>
    </w:p>
    <w:p>
      <w:pPr>
        <w:pStyle w:val="Heading1"/>
      </w:pPr>
      <w:r>
        <w:t>1 Über dieses Dokument</w:t>
      </w:r>
    </w:p>
    <w:p>
      <w:pPr>
        <w:pStyle w:val="Heading2"/>
      </w:pPr>
      <w:r>
        <w:t>1.1 Zweck</w:t>
      </w:r>
    </w:p>
    <w:p>
      <w:r>
        <w:t>Diese Anleitung erklärt, was externe Referenzen in WAMAS Lift &amp; Store 2.7 sind, wo sie in der Oberfläche vorkommen, wie Sie sie anlegen, welche Einstellungen die Administration vornehmen kann und wie externe Referenzen über die Systempartnerschnittstelle (ERP bzw. WAMAS WMS) übertragen werden.</w:t>
      </w:r>
    </w:p>
    <w:p>
      <w:pPr>
        <w:pStyle w:val="Heading2"/>
      </w:pPr>
      <w:r>
        <w:t>1.2 So lesen Sie dieses Dokument</w:t>
      </w:r>
    </w:p>
    <w:p>
      <w:pPr>
        <w:pStyle w:val="ListBullet"/>
      </w:pPr>
      <w:r>
        <w:rPr>
          <w:b/>
        </w:rPr>
        <w:t>Kapitel 2–4</w:t>
      </w:r>
      <w:r>
        <w:t xml:space="preserve"> richten sich an Anwender und Key-User (Begriffe, Masken, Schritt-für-Schritt-Anleitungen).</w:t>
      </w:r>
    </w:p>
    <w:p>
      <w:pPr>
        <w:pStyle w:val="ListBullet"/>
      </w:pPr>
      <w:r>
        <w:rPr>
          <w:b/>
        </w:rPr>
        <w:t>Kapitel 5</w:t>
      </w:r>
      <w:r>
        <w:t xml:space="preserve"> richtet sich an Administratoren (Systempartner-Einstellungen, Systemparameter).</w:t>
      </w:r>
    </w:p>
    <w:p>
      <w:pPr>
        <w:pStyle w:val="ListBullet"/>
      </w:pPr>
      <w:r>
        <w:rPr>
          <w:b/>
        </w:rPr>
        <w:t>Kapitel 6</w:t>
      </w:r>
      <w:r>
        <w:t xml:space="preserve"> richtet sich an Integrationsteams (Satzarten, Felder, Beispieltelegramme).</w:t>
      </w:r>
    </w:p>
    <w:p>
      <w:pPr>
        <w:pStyle w:val="ListBullet"/>
      </w:pPr>
      <w:r>
        <w:rPr>
          <w:b/>
        </w:rPr>
        <w:t>Kapitel 7 und 8</w:t>
      </w:r>
      <w:r>
        <w:t xml:space="preserve"> fassen Stolperfallen und Dokumentationslücken zusammen; </w:t>
      </w:r>
      <w:r>
        <w:rPr>
          <w:b/>
        </w:rPr>
        <w:t>Kapitel 9</w:t>
      </w:r>
      <w:r>
        <w:t xml:space="preserve"> listet alle Quellen mit Kapitelangaben.</w:t>
      </w:r>
    </w:p>
    <w:p>
      <w:r>
        <w:t xml:space="preserve">Unter jedem Abschnitt finden Sie eine Quellenzeile. Abkürzungen: </w:t>
      </w:r>
      <w:r>
        <w:rPr>
          <w:b/>
        </w:rPr>
        <w:t>BH</w:t>
      </w:r>
      <w:r>
        <w:t xml:space="preserve"> = Benutzerhandbuch 2.7, </w:t>
      </w:r>
      <w:r>
        <w:rPr>
          <w:b/>
        </w:rPr>
        <w:t>AH</w:t>
      </w:r>
      <w:r>
        <w:t xml:space="preserve"> = Administratorhandbuch 2.7, </w:t>
      </w:r>
      <w:r>
        <w:rPr>
          <w:b/>
        </w:rPr>
        <w:t>IF-ERP</w:t>
      </w:r>
      <w:r>
        <w:t xml:space="preserve"> = Interface Manual WLS – ERP 2.7, </w:t>
      </w:r>
      <w:r>
        <w:rPr>
          <w:b/>
        </w:rPr>
        <w:t>IF-WCS</w:t>
      </w:r>
      <w:r>
        <w:t xml:space="preserve"> = Interface Manual WLS – WAMAS WMS/MFS 2.7, </w:t>
      </w:r>
      <w:r>
        <w:rPr>
          <w:b/>
        </w:rPr>
        <w:t>TB</w:t>
      </w:r>
      <w:r>
        <w:t xml:space="preserve"> = Telegrammbeispiele 2.7.0. Details siehe Kapitel 9.</w:t>
      </w:r>
    </w:p>
    <w:p>
      <w:pPr>
        <w:pStyle w:val="Heading2"/>
      </w:pPr>
      <w:r>
        <w:t>1.3 Dokumentinformationen und Konventionen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sz w:val="17"/>
              </w:rPr>
              <w:t>Titel</w:t>
            </w:r>
          </w:p>
        </w:tc>
        <w:tc>
          <w:tcPr>
            <w:tcW w:type="dxa" w:w="7257"/>
          </w:tcPr>
          <w:p>
            <w:pPr>
              <w:spacing w:after="0" w:line="252" w:lineRule="auto"/>
            </w:pPr>
            <w:r>
              <w:rPr>
                <w:sz w:val="17"/>
              </w:rPr>
              <w:t>How-to-Handbuch „Externe Referenzen verwenden“</w:t>
            </w:r>
          </w:p>
        </w:tc>
      </w:tr>
      <w:tr>
        <w:tc>
          <w:tcPr>
            <w:tcW w:type="dxa" w:w="2268"/>
          </w:tcPr>
          <w:p>
            <w:pPr>
              <w:spacing w:after="0" w:line="252" w:lineRule="auto"/>
            </w:pPr>
            <w:r>
              <w:rPr>
                <w:sz w:val="17"/>
              </w:rPr>
              <w:t>Produkt / Release</w:t>
            </w:r>
          </w:p>
        </w:tc>
        <w:tc>
          <w:tcPr>
            <w:tcW w:type="dxa" w:w="7257"/>
          </w:tcPr>
          <w:p>
            <w:pPr>
              <w:spacing w:after="0" w:line="252" w:lineRule="auto"/>
            </w:pPr>
            <w:r>
              <w:rPr>
                <w:sz w:val="17"/>
              </w:rPr>
              <w:t>WAMAS Lift &amp; Store 2.7 (früher: WAMAS LogiMat)</w:t>
            </w:r>
          </w:p>
        </w:tc>
      </w:tr>
      <w:tr>
        <w:tc>
          <w:tcPr>
            <w:tcW w:type="dxa" w:w="2268"/>
          </w:tcPr>
          <w:p>
            <w:pPr>
              <w:spacing w:after="0" w:line="252" w:lineRule="auto"/>
            </w:pPr>
            <w:r>
              <w:rPr>
                <w:sz w:val="17"/>
              </w:rPr>
              <w:t>Dokumentversion</w:t>
            </w:r>
          </w:p>
        </w:tc>
        <w:tc>
          <w:tcPr>
            <w:tcW w:type="dxa" w:w="7257"/>
          </w:tcPr>
          <w:p>
            <w:pPr>
              <w:spacing w:after="0" w:line="252" w:lineRule="auto"/>
            </w:pPr>
            <w:r>
              <w:rPr>
                <w:sz w:val="17"/>
              </w:rPr>
              <w:t>V 1.0, Stand 14.10.2026</w:t>
            </w:r>
          </w:p>
        </w:tc>
      </w:tr>
      <w:tr>
        <w:tc>
          <w:tcPr>
            <w:tcW w:type="dxa" w:w="2268"/>
          </w:tcPr>
          <w:p>
            <w:pPr>
              <w:spacing w:after="0" w:line="252" w:lineRule="auto"/>
            </w:pPr>
            <w:r>
              <w:rPr>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sz w:val="17"/>
              </w:rPr>
              <w:t>Zielgruppe</w:t>
            </w:r>
          </w:p>
        </w:tc>
        <w:tc>
          <w:tcPr>
            <w:tcW w:type="dxa" w:w="7257"/>
          </w:tcPr>
          <w:p>
            <w:pPr>
              <w:spacing w:after="0" w:line="252" w:lineRule="auto"/>
            </w:pPr>
            <w:r>
              <w:rPr>
                <w:sz w:val="17"/>
              </w:rPr>
              <w:t>Anwender, Key-User und Administratoren beim Kunden; Projekt- und Integrationsteams (ERP/WMS-Schnittstelle)</w:t>
            </w:r>
          </w:p>
        </w:tc>
      </w:tr>
      <w:tr>
        <w:tc>
          <w:tcPr>
            <w:tcW w:type="dxa" w:w="2268"/>
          </w:tcPr>
          <w:p>
            <w:pPr>
              <w:spacing w:after="0" w:line="252" w:lineRule="auto"/>
            </w:pPr>
            <w:r>
              <w:rPr>
                <w:sz w:val="17"/>
              </w:rPr>
              <w:t>Grundlage</w:t>
            </w:r>
          </w:p>
        </w:tc>
        <w:tc>
          <w:tcPr>
            <w:tcW w:type="dxa" w:w="7257"/>
          </w:tcPr>
          <w:p>
            <w:pPr>
              <w:spacing w:after="0" w:line="252" w:lineRule="auto"/>
            </w:pPr>
            <w:r>
              <w:rPr>
                <w:sz w:val="17"/>
              </w:rPr>
              <w:t>Ausschließlich die offiziellen Handbücher zu Release 2.7 (Abgleich mit 2.8) und die Telegrammbeispiele 2.7.0, siehe Kapitel 9 „Quellenverzeichnis“</w:t>
            </w:r>
          </w:p>
        </w:tc>
      </w:tr>
    </w:tbl>
    <w:p>
      <w:pPr>
        <w:spacing w:after="40"/>
      </w:pP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 xml:space="preserve">Dieses Dokument fasst ausschließlich Informationen zusammen, die in den genannten Quellen dokumentiert sind. Es werden keine Felder, Menüs oder Verhaltensweisen ergänzt. Stellen, zu denen die Unterlagen keine Aussage treffen, sind mit dem grauen Kasten </w:t>
            </w:r>
            <w:r>
              <w:rPr>
                <w:b/>
                <w:sz w:val="19"/>
              </w:rPr>
              <w:t>„In den Unterlagen nicht beschrieben“</w:t>
            </w:r>
            <w:r>
              <w:rPr>
                <w:sz w:val="19"/>
              </w:rPr>
              <w:t xml:space="preserve"> gekennzeichnet.</w:t>
            </w:r>
          </w:p>
          <w:p>
            <w:pPr>
              <w:spacing w:after="40"/>
            </w:pPr>
            <w:r>
              <w:rPr>
                <w:sz w:val="19"/>
              </w:rPr>
              <w:t xml:space="preserve">Bezeichnungen von Dialogen, Registerkarten, Feldern und Icons sind </w:t>
            </w:r>
            <w:r>
              <w:rPr>
                <w:b/>
                <w:sz w:val="19"/>
              </w:rPr>
              <w:t>fett</w:t>
            </w:r>
            <w:r>
              <w:rPr>
                <w:sz w:val="19"/>
              </w:rPr>
              <w:t xml:space="preserve"> gesetzt und entsprechen der deutschen Oberfläche laut Benutzer- bzw. Administratorhandbuch 2.7. Schnittstellen-Satzarten und Feldnamen sind in </w:t>
            </w:r>
            <w:r>
              <w:rPr>
                <w:rFonts w:ascii="Consolas" w:hAnsi="Consolas"/>
                <w:sz w:val="17"/>
              </w:rPr>
              <w:t>Festbreitenschrift</w:t>
            </w:r>
            <w:r>
              <w:rPr>
                <w:sz w:val="19"/>
              </w:rPr>
              <w:t xml:space="preserve"> gesetzt und entsprechen dem englischsprachigen Interface Manual.</w:t>
            </w:r>
          </w:p>
        </w:tc>
      </w:tr>
    </w:tbl>
    <w:p>
      <w:pPr>
        <w:spacing w:after="40"/>
      </w:pPr>
    </w:p>
    <w:p>
      <w:pPr>
        <w:pStyle w:val="Heading1"/>
      </w:pPr>
      <w:r>
        <w:t>2 Was sind externe Referenzen?</w:t>
      </w:r>
    </w:p>
    <w:p>
      <w:pPr>
        <w:pStyle w:val="Heading2"/>
      </w:pPr>
      <w:r>
        <w:t>2.1 Definition</w:t>
      </w:r>
    </w:p>
    <w:p>
      <w:r>
        <w:t>Das Benutzerhandbuch definiert den Begriff wie folgt:</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Definition (BH, Kap. 5.3.1.2)</w:t>
            </w:r>
          </w:p>
          <w:p>
            <w:pPr>
              <w:spacing w:after="40"/>
            </w:pPr>
            <w:r>
              <w:rPr>
                <w:sz w:val="19"/>
              </w:rPr>
              <w:t>„Eine externe Referenz bezeichnet Informationen aller Art, die standardmäßig nicht in WAMAS L&amp;S verwaltet werden und die zur weiteren Verarbeitung an Systempartner übermittelt werden können.“</w:t>
            </w:r>
          </w:p>
        </w:tc>
      </w:tr>
    </w:tbl>
    <w:p>
      <w:pPr>
        <w:spacing w:after="40"/>
      </w:pPr>
    </w:p>
    <w:p>
      <w:r>
        <w:t xml:space="preserve">Externe Referenzen sind damit frei belegbare Zusatzinformationen zu einem </w:t>
      </w:r>
      <w:r>
        <w:rPr>
          <w:b/>
        </w:rPr>
        <w:t>Bedarf</w:t>
      </w:r>
      <w:r>
        <w:t xml:space="preserve"> (Einlagerbedarf, Kommissionierbedarf, Inventurbedarf). WAMAS Lift &amp; Store verwendet sie nicht selbst für die Lagerlogik, sondern speichert sie und kann sie an Systempartner (z. B. das ERP) zurückmelden.</w:t>
      </w:r>
    </w:p>
    <w:p>
      <w:pPr>
        <w:pStyle w:val="Quelle"/>
      </w:pPr>
      <w:r>
        <w:rPr>
          <w:b/>
        </w:rPr>
        <w:t xml:space="preserve">Quelle: </w:t>
      </w:r>
      <w:r>
        <w:rPr>
          <w:sz w:val="17"/>
        </w:rPr>
        <w:t>BH Kap. 5.3.1.2 (S. 67)</w:t>
      </w:r>
    </w:p>
    <w:p>
      <w:pPr>
        <w:pStyle w:val="Heading2"/>
      </w:pPr>
      <w:r>
        <w:t>2.2 Aufbau einer externen Referenz</w:t>
      </w:r>
    </w:p>
    <w:p>
      <w:r>
        <w:t>Eine externe Referenz besteht aus einem Schlüssel und bis zu zwei Werten: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14"/>
        <w:gridCol w:w="1701"/>
        <w:gridCol w:w="1304"/>
        <w:gridCol w:w="4706"/>
      </w:tblGrid>
      <w:tr>
        <w:trPr>
          <w:tblHeader w:val="true"/>
        </w:trPr>
        <w:tc>
          <w:tcPr>
            <w:tcW w:type="dxa" w:w="1814"/>
            <w:shd w:val="clear" w:color="auto" w:fill="FEEE19"/>
          </w:tcPr>
          <w:p>
            <w:pPr>
              <w:spacing w:after="0"/>
            </w:pPr>
            <w:r>
              <w:rPr>
                <w:b/>
                <w:sz w:val="17"/>
              </w:rPr>
              <w:t>Feld in der Oberfläche</w:t>
            </w:r>
          </w:p>
        </w:tc>
        <w:tc>
          <w:tcPr>
            <w:tcW w:type="dxa" w:w="1701"/>
            <w:shd w:val="clear" w:color="auto" w:fill="FEEE19"/>
          </w:tcPr>
          <w:p>
            <w:pPr>
              <w:spacing w:after="0"/>
            </w:pPr>
            <w:r>
              <w:rPr>
                <w:b/>
                <w:sz w:val="17"/>
              </w:rPr>
              <w:t>Feld in der Schnittstelle</w:t>
            </w:r>
          </w:p>
        </w:tc>
        <w:tc>
          <w:tcPr>
            <w:tcW w:type="dxa" w:w="1304"/>
            <w:shd w:val="clear" w:color="auto" w:fill="FEEE19"/>
          </w:tcPr>
          <w:p>
            <w:pPr>
              <w:spacing w:after="0"/>
            </w:pPr>
            <w:r>
              <w:rPr>
                <w:b/>
                <w:sz w:val="17"/>
              </w:rPr>
              <w:t>Typ / Länge</w:t>
            </w:r>
          </w:p>
        </w:tc>
        <w:tc>
          <w:tcPr>
            <w:tcW w:type="dxa" w:w="4706"/>
            <w:shd w:val="clear" w:color="auto" w:fill="FEEE19"/>
          </w:tcPr>
          <w:p>
            <w:pPr>
              <w:spacing w:after="0"/>
            </w:pPr>
            <w:r>
              <w:rPr>
                <w:b/>
                <w:sz w:val="17"/>
              </w:rPr>
              <w:t>Bedeutung laut Unterlagen</w:t>
            </w:r>
          </w:p>
        </w:tc>
      </w:tr>
      <w:tr>
        <w:tc>
          <w:tcPr>
            <w:tcW w:type="dxa" w:w="1814"/>
          </w:tcPr>
          <w:p>
            <w:pPr>
              <w:spacing w:after="0" w:line="252" w:lineRule="auto"/>
            </w:pPr>
            <w:r>
              <w:rPr>
                <w:b/>
                <w:sz w:val="17"/>
              </w:rPr>
              <w:t>Ursprung</w:t>
            </w:r>
          </w:p>
        </w:tc>
        <w:tc>
          <w:tcPr>
            <w:tcW w:type="dxa" w:w="1701"/>
          </w:tcPr>
          <w:p>
            <w:pPr>
              <w:spacing w:after="0" w:line="252" w:lineRule="auto"/>
            </w:pPr>
            <w:r>
              <w:rPr>
                <w:sz w:val="17"/>
              </w:rPr>
              <w:t>–</w:t>
            </w:r>
          </w:p>
        </w:tc>
        <w:tc>
          <w:tcPr>
            <w:tcW w:type="dxa" w:w="1304"/>
          </w:tcPr>
          <w:p>
            <w:pPr>
              <w:spacing w:after="0" w:line="252" w:lineRule="auto"/>
            </w:pPr>
            <w:r>
              <w:rPr>
                <w:sz w:val="17"/>
              </w:rPr>
              <w:t>–</w:t>
            </w:r>
          </w:p>
        </w:tc>
        <w:tc>
          <w:tcPr>
            <w:tcW w:type="dxa" w:w="4706"/>
          </w:tcPr>
          <w:p>
            <w:pPr>
              <w:spacing w:after="0" w:line="252" w:lineRule="auto"/>
            </w:pPr>
            <w:r>
              <w:rPr>
                <w:sz w:val="17"/>
              </w:rPr>
              <w:t xml:space="preserve">Wird im Dialog </w:t>
            </w:r>
            <w:r>
              <w:rPr>
                <w:b/>
                <w:sz w:val="17"/>
              </w:rPr>
              <w:t>LM157 Externe Referenzzeile pflegen</w:t>
            </w:r>
            <w:r>
              <w:rPr>
                <w:sz w:val="17"/>
              </w:rPr>
              <w:t xml:space="preserve"> mit dem Wert </w:t>
            </w:r>
            <w:r>
              <w:rPr>
                <w:b/>
                <w:sz w:val="17"/>
              </w:rPr>
              <w:t>HAND</w:t>
            </w:r>
            <w:r>
              <w:rPr>
                <w:sz w:val="17"/>
              </w:rPr>
              <w:t xml:space="preserve"> vorbelegt und kann nicht geändert werden.</w:t>
            </w:r>
          </w:p>
        </w:tc>
      </w:tr>
      <w:tr>
        <w:tc>
          <w:tcPr>
            <w:tcW w:type="dxa" w:w="1814"/>
          </w:tcPr>
          <w:p>
            <w:pPr>
              <w:spacing w:after="0" w:line="252" w:lineRule="auto"/>
            </w:pPr>
            <w:r>
              <w:rPr>
                <w:b/>
                <w:sz w:val="17"/>
              </w:rPr>
              <w:t>Schlüssel</w:t>
            </w:r>
          </w:p>
        </w:tc>
        <w:tc>
          <w:tcPr>
            <w:tcW w:type="dxa" w:w="1701"/>
          </w:tcPr>
          <w:p>
            <w:pPr>
              <w:spacing w:after="0" w:line="252" w:lineRule="auto"/>
            </w:pPr>
            <w:r>
              <w:rPr>
                <w:rFonts w:ascii="Consolas" w:hAnsi="Consolas"/>
                <w:sz w:val="15"/>
              </w:rPr>
              <w:t>extRefKey</w:t>
            </w:r>
          </w:p>
        </w:tc>
        <w:tc>
          <w:tcPr>
            <w:tcW w:type="dxa" w:w="1304"/>
          </w:tcPr>
          <w:p>
            <w:pPr>
              <w:spacing w:after="0" w:line="252" w:lineRule="auto"/>
            </w:pPr>
            <w:r>
              <w:rPr>
                <w:sz w:val="17"/>
              </w:rPr>
              <w:t>String, 64</w:t>
            </w:r>
          </w:p>
        </w:tc>
        <w:tc>
          <w:tcPr>
            <w:tcW w:type="dxa" w:w="4706"/>
          </w:tcPr>
          <w:p>
            <w:pPr>
              <w:spacing w:after="0" w:line="252" w:lineRule="auto"/>
            </w:pPr>
            <w:r>
              <w:rPr>
                <w:sz w:val="17"/>
              </w:rPr>
              <w:t>Eindeutiger Name der externen Referenz („external reference key“).</w:t>
            </w:r>
          </w:p>
        </w:tc>
      </w:tr>
      <w:tr>
        <w:tc>
          <w:tcPr>
            <w:tcW w:type="dxa" w:w="1814"/>
          </w:tcPr>
          <w:p>
            <w:pPr>
              <w:spacing w:after="0" w:line="252" w:lineRule="auto"/>
            </w:pPr>
            <w:r>
              <w:rPr>
                <w:b/>
                <w:sz w:val="17"/>
              </w:rPr>
              <w:t>Wert 1</w:t>
            </w:r>
          </w:p>
        </w:tc>
        <w:tc>
          <w:tcPr>
            <w:tcW w:type="dxa" w:w="1701"/>
          </w:tcPr>
          <w:p>
            <w:pPr>
              <w:spacing w:after="0" w:line="252" w:lineRule="auto"/>
            </w:pPr>
            <w:r>
              <w:rPr>
                <w:rFonts w:ascii="Consolas" w:hAnsi="Consolas"/>
                <w:sz w:val="15"/>
              </w:rPr>
              <w:t>extRefVal1</w:t>
            </w:r>
          </w:p>
        </w:tc>
        <w:tc>
          <w:tcPr>
            <w:tcW w:type="dxa" w:w="1304"/>
          </w:tcPr>
          <w:p>
            <w:pPr>
              <w:spacing w:after="0" w:line="252" w:lineRule="auto"/>
            </w:pPr>
            <w:r>
              <w:rPr>
                <w:sz w:val="17"/>
              </w:rPr>
              <w:t>String, 512</w:t>
            </w:r>
          </w:p>
        </w:tc>
        <w:tc>
          <w:tcPr>
            <w:tcW w:type="dxa" w:w="4706"/>
          </w:tcPr>
          <w:p>
            <w:pPr>
              <w:spacing w:after="0" w:line="252" w:lineRule="auto"/>
            </w:pPr>
            <w:r>
              <w:rPr>
                <w:sz w:val="17"/>
              </w:rPr>
              <w:t>Erster Wert zum Schlüssel; optional.</w:t>
            </w:r>
          </w:p>
        </w:tc>
      </w:tr>
      <w:tr>
        <w:tc>
          <w:tcPr>
            <w:tcW w:type="dxa" w:w="1814"/>
          </w:tcPr>
          <w:p>
            <w:pPr>
              <w:spacing w:after="0" w:line="252" w:lineRule="auto"/>
            </w:pPr>
            <w:r>
              <w:rPr>
                <w:b/>
                <w:sz w:val="17"/>
              </w:rPr>
              <w:t>Wert 2</w:t>
            </w:r>
          </w:p>
        </w:tc>
        <w:tc>
          <w:tcPr>
            <w:tcW w:type="dxa" w:w="1701"/>
          </w:tcPr>
          <w:p>
            <w:pPr>
              <w:spacing w:after="0" w:line="252" w:lineRule="auto"/>
            </w:pPr>
            <w:r>
              <w:rPr>
                <w:rFonts w:ascii="Consolas" w:hAnsi="Consolas"/>
                <w:sz w:val="15"/>
              </w:rPr>
              <w:t>extRefVal2</w:t>
            </w:r>
          </w:p>
        </w:tc>
        <w:tc>
          <w:tcPr>
            <w:tcW w:type="dxa" w:w="1304"/>
          </w:tcPr>
          <w:p>
            <w:pPr>
              <w:spacing w:after="0" w:line="252" w:lineRule="auto"/>
            </w:pPr>
            <w:r>
              <w:rPr>
                <w:sz w:val="17"/>
              </w:rPr>
              <w:t>String, 512</w:t>
            </w:r>
          </w:p>
        </w:tc>
        <w:tc>
          <w:tcPr>
            <w:tcW w:type="dxa" w:w="4706"/>
          </w:tcPr>
          <w:p>
            <w:pPr>
              <w:spacing w:after="0" w:line="252" w:lineRule="auto"/>
            </w:pPr>
            <w:r>
              <w:rPr>
                <w:sz w:val="17"/>
              </w:rPr>
              <w:t>Zweiter Wert zum Schlüssel; darf leer sein. Laut BH kann die Eingabe „bei Wertebereichen“ erforderlich sein.</w:t>
            </w:r>
          </w:p>
        </w:tc>
      </w:tr>
    </w:tbl>
    <w:p>
      <w:pPr>
        <w:pStyle w:val="BeschriftungSSI"/>
      </w:pPr>
      <w:r>
        <w:t>Tab. 1: Felder einer externen Referenz</w:t>
      </w:r>
    </w:p>
    <w:p>
      <w:r>
        <w:t xml:space="preserve">Externe Referenzen gibt es auf zwei Ebenen: zum </w:t>
      </w:r>
      <w:r>
        <w:rPr>
          <w:b/>
        </w:rPr>
        <w:t>Bedarf (Kopf)</w:t>
      </w:r>
      <w:r>
        <w:t xml:space="preserve"> und zur </w:t>
      </w:r>
      <w:r>
        <w:rPr>
          <w:b/>
        </w:rPr>
        <w:t>Bedarfszeile</w:t>
      </w:r>
      <w:r>
        <w:t>. Beide Ebenen sind in der Schnittstelle definiert (siehe Kapitel 6). Einem Bedarf bzw. einer Zeile können beliebig viele externe Referenzen zugeordnet sein (Anzahl 0…n).</w:t>
      </w:r>
    </w:p>
    <w:p>
      <w:pPr>
        <w:pStyle w:val="Quelle"/>
      </w:pPr>
      <w:r>
        <w:rPr>
          <w:b/>
        </w:rPr>
        <w:t xml:space="preserve">Quelle: </w:t>
      </w:r>
      <w:r>
        <w:rPr>
          <w:sz w:val="17"/>
        </w:rPr>
        <w:t>BH Kap. 5.3.1.2 (S. 67–68), 6.2.1.1.2 (S. 92); IF-ERP Kap. 6.1, 6.1.1.4–6.1.1.5, 6.1.2.4–6.1.2.5 (S. 67, 74–75, 79)</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Was mit „Wertebereichen“ bei </w:t>
            </w:r>
            <w:r>
              <w:rPr>
                <w:b/>
                <w:sz w:val="19"/>
              </w:rPr>
              <w:t>Wert 2</w:t>
            </w:r>
            <w:r>
              <w:rPr>
                <w:sz w:val="19"/>
              </w:rPr>
              <w:t xml:space="preserve"> konkret gemeint ist (z. B. Von-/Bis-Logik), wird nicht erläutert.</w:t>
            </w:r>
          </w:p>
          <w:p>
            <w:pPr>
              <w:spacing w:after="40"/>
            </w:pPr>
            <w:r>
              <w:rPr>
                <w:sz w:val="19"/>
              </w:rPr>
              <w:t xml:space="preserve">Welche weiteren Werte außer </w:t>
            </w:r>
            <w:r>
              <w:rPr>
                <w:b/>
                <w:sz w:val="19"/>
              </w:rPr>
              <w:t>HAND</w:t>
            </w:r>
            <w:r>
              <w:rPr>
                <w:sz w:val="19"/>
              </w:rPr>
              <w:t xml:space="preserve"> das Feld </w:t>
            </w:r>
            <w:r>
              <w:rPr>
                <w:b/>
                <w:sz w:val="19"/>
              </w:rPr>
              <w:t>Ursprung</w:t>
            </w:r>
            <w:r>
              <w:rPr>
                <w:sz w:val="19"/>
              </w:rPr>
              <w:t xml:space="preserve"> annehmen kann (z. B. bei Referenzen aus der Schnittstelle oder aus dem Splitten), ist nicht beschrieben.</w:t>
            </w:r>
          </w:p>
          <w:p>
            <w:pPr>
              <w:spacing w:after="40"/>
            </w:pPr>
            <w:r>
              <w:rPr>
                <w:sz w:val="19"/>
              </w:rPr>
              <w:t xml:space="preserve">Die Pflege externer Referenzen auf </w:t>
            </w:r>
            <w:r>
              <w:rPr>
                <w:b/>
                <w:sz w:val="19"/>
              </w:rPr>
              <w:t>Zeilenebene</w:t>
            </w:r>
            <w:r>
              <w:rPr>
                <w:sz w:val="19"/>
              </w:rPr>
              <w:t xml:space="preserve"> in der Oberfläche ist nicht beschrieben; die Anleitungen im BH beziehen sich nur auf die Registerkarte </w:t>
            </w:r>
            <w:r>
              <w:rPr>
                <w:b/>
                <w:sz w:val="19"/>
              </w:rPr>
              <w:t>Externe Referenz</w:t>
            </w:r>
            <w:r>
              <w:rPr>
                <w:sz w:val="19"/>
              </w:rPr>
              <w:t xml:space="preserve"> des Bedarfs bzw. der Bedarfsvorlage.</w:t>
            </w:r>
          </w:p>
        </w:tc>
      </w:tr>
    </w:tbl>
    <w:p>
      <w:pPr>
        <w:spacing w:after="40"/>
      </w:pPr>
    </w:p>
    <w:p>
      <w:pPr>
        <w:pStyle w:val="Heading2"/>
      </w:pPr>
      <w:r>
        <w:t>2.3 Wofür werden externe Referenzen verwendet?</w:t>
      </w:r>
    </w:p>
    <w:p>
      <w:r>
        <w:t>Laut den Unterlagen kommen externe Referenzen in folgenden Situationen vor:</w:t>
      </w:r>
    </w:p>
    <w:p>
      <w:pPr>
        <w:pStyle w:val="ListBullet"/>
      </w:pPr>
      <w:r>
        <w:rPr>
          <w:b/>
        </w:rPr>
        <w:t>Manuelle Erfassung</w:t>
      </w:r>
      <w:r>
        <w:t xml:space="preserve"> beim Anlegen eines Einlager-, Kommissionier- oder Inventurbedarfs (Registerkarte </w:t>
      </w:r>
      <w:r>
        <w:rPr>
          <w:b/>
        </w:rPr>
        <w:t>Externe Referenz</w:t>
      </w:r>
      <w:r>
        <w:t>).</w:t>
      </w:r>
    </w:p>
    <w:p>
      <w:pPr>
        <w:pStyle w:val="ListBullet"/>
      </w:pPr>
      <w:r>
        <w:rPr>
          <w:b/>
        </w:rPr>
        <w:t>Vorlagen:</w:t>
      </w:r>
      <w:r>
        <w:t xml:space="preserve"> In einer Bedarfsvorlage hinterlegte externe Referenzen werden automatisch dem entsprechenden Kommissionier- oder Einlagerbedarf hinzugefügt.</w:t>
      </w:r>
    </w:p>
    <w:p>
      <w:pPr>
        <w:pStyle w:val="ListBullet"/>
      </w:pPr>
      <w:r>
        <w:rPr>
          <w:b/>
        </w:rPr>
        <w:t>Splitten von Bedarfen:</w:t>
      </w:r>
      <w:r>
        <w:t xml:space="preserve"> Beim Splitten eines Einlager-, Kommissionier- oder Inventurbedarfs erhält der neue Bedarf automatisch eine externe Referenz, welche die ursprüngliche Bedarfsnummer enthält.</w:t>
      </w:r>
    </w:p>
    <w:p>
      <w:pPr>
        <w:pStyle w:val="ListBullet"/>
      </w:pPr>
      <w:r>
        <w:rPr>
          <w:b/>
        </w:rPr>
        <w:t>Empfang vom Systempartner:</w:t>
      </w:r>
      <w:r>
        <w:t xml:space="preserve"> Das ERP kann externe Referenzen zu Bedarf und Bedarfszeile mitsenden.</w:t>
      </w:r>
    </w:p>
    <w:p>
      <w:pPr>
        <w:pStyle w:val="ListBullet"/>
      </w:pPr>
      <w:r>
        <w:rPr>
          <w:b/>
        </w:rPr>
        <w:t>Rückmeldung an den Systempartner:</w:t>
      </w:r>
      <w:r>
        <w:t xml:space="preserve"> Quittierungen für Einlager-, Kommissionier- und Inventurbedarfe enthalten eigene Satzarten für externe Referenzen.</w:t>
      </w:r>
    </w:p>
    <w:p>
      <w:pPr>
        <w:pStyle w:val="ListBullet"/>
      </w:pPr>
      <w:r>
        <w:rPr>
          <w:b/>
        </w:rPr>
        <w:t>WAMAS Lift &amp; Store als WCS:</w:t>
      </w:r>
      <w:r>
        <w:t xml:space="preserve"> In der Kommissionieranforderung vom übergeordneten WAMAS WMS können externe Referenzen übertragen werden; ein Systemparameter legt fest, welcher Wert daraus als externe Referenz am Kommissionierbedarf gesetzt wird.</w:t>
      </w:r>
    </w:p>
    <w:p>
      <w:pPr>
        <w:pStyle w:val="Quelle"/>
      </w:pPr>
      <w:r>
        <w:rPr>
          <w:b/>
        </w:rPr>
        <w:t xml:space="preserve">Quelle: </w:t>
      </w:r>
      <w:r>
        <w:rPr>
          <w:sz w:val="17"/>
        </w:rPr>
        <w:t>BH Kap. 5.3.1.2, 6.2.1.1.2–6.2.3.1.2, 6.4.7–6.4.9; AH Kap. 3.11.2 (S. 183); IF-ERP Kap. 6–8; IF-WCS Kap. 9</w:t>
      </w:r>
    </w:p>
    <w:p>
      <w:pPr>
        <w:pStyle w:val="Heading2"/>
      </w:pPr>
      <w:r>
        <w:t>2.4 Abgrenzung: Was keine externe Referenz ist</w:t>
      </w:r>
    </w:p>
    <w:p>
      <w:r>
        <w:t xml:space="preserve">In den Handbüchern kommt das Wort „extern“ in mehreren anderen Zusammenhängen vor. Diese Funktionen haben </w:t>
      </w:r>
      <w:r>
        <w:rPr>
          <w:b/>
        </w:rPr>
        <w:t>nichts</w:t>
      </w:r>
      <w:r>
        <w:t xml:space="preserve"> mit externen Referenzen zu tun: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5443"/>
        <w:gridCol w:w="1701"/>
      </w:tblGrid>
      <w:tr>
        <w:trPr>
          <w:tblHeader w:val="true"/>
        </w:trPr>
        <w:tc>
          <w:tcPr>
            <w:tcW w:type="dxa" w:w="2381"/>
            <w:shd w:val="clear" w:color="auto" w:fill="FEEE19"/>
          </w:tcPr>
          <w:p>
            <w:pPr>
              <w:spacing w:after="0"/>
            </w:pPr>
            <w:r>
              <w:rPr>
                <w:b/>
                <w:sz w:val="17"/>
              </w:rPr>
              <w:t>Begriff</w:t>
            </w:r>
          </w:p>
        </w:tc>
        <w:tc>
          <w:tcPr>
            <w:tcW w:type="dxa" w:w="5443"/>
            <w:shd w:val="clear" w:color="auto" w:fill="FEEE19"/>
          </w:tcPr>
          <w:p>
            <w:pPr>
              <w:spacing w:after="0"/>
            </w:pPr>
            <w:r>
              <w:rPr>
                <w:b/>
                <w:sz w:val="17"/>
              </w:rPr>
              <w:t>Bedeutung laut Unterlagen</w:t>
            </w:r>
          </w:p>
        </w:tc>
        <w:tc>
          <w:tcPr>
            <w:tcW w:type="dxa" w:w="1701"/>
            <w:shd w:val="clear" w:color="auto" w:fill="FEEE19"/>
          </w:tcPr>
          <w:p>
            <w:pPr>
              <w:spacing w:after="0"/>
            </w:pPr>
            <w:r>
              <w:rPr>
                <w:b/>
                <w:sz w:val="17"/>
              </w:rPr>
              <w:t>Quelle</w:t>
            </w:r>
          </w:p>
        </w:tc>
      </w:tr>
      <w:tr>
        <w:tc>
          <w:tcPr>
            <w:tcW w:type="dxa" w:w="2381"/>
          </w:tcPr>
          <w:p>
            <w:pPr>
              <w:spacing w:after="0" w:line="252" w:lineRule="auto"/>
            </w:pPr>
            <w:r>
              <w:rPr>
                <w:b/>
                <w:sz w:val="17"/>
              </w:rPr>
              <w:t>Externe Ladeeinheiten</w:t>
            </w:r>
            <w:r>
              <w:rPr>
                <w:sz w:val="17"/>
              </w:rPr>
              <w:t xml:space="preserve"> / externe LE-ID</w:t>
            </w:r>
          </w:p>
        </w:tc>
        <w:tc>
          <w:tcPr>
            <w:tcW w:type="dxa" w:w="5443"/>
          </w:tcPr>
          <w:p>
            <w:pPr>
              <w:spacing w:after="0" w:line="252" w:lineRule="auto"/>
            </w:pPr>
            <w:r>
              <w:rPr>
                <w:sz w:val="17"/>
              </w:rPr>
              <w:t>Versand-Ladeeinheiten oder avisierte Ladeeinheiten, die automatisch angelegt werden, sobald ein Kommissionierbedarf geplant wird.</w:t>
            </w:r>
          </w:p>
        </w:tc>
        <w:tc>
          <w:tcPr>
            <w:tcW w:type="dxa" w:w="1701"/>
          </w:tcPr>
          <w:p>
            <w:pPr>
              <w:spacing w:after="0" w:line="252" w:lineRule="auto"/>
            </w:pPr>
            <w:r>
              <w:rPr>
                <w:sz w:val="17"/>
              </w:rPr>
              <w:t>BH 6.7.1</w:t>
            </w:r>
          </w:p>
        </w:tc>
      </w:tr>
      <w:tr>
        <w:tc>
          <w:tcPr>
            <w:tcW w:type="dxa" w:w="2381"/>
          </w:tcPr>
          <w:p>
            <w:pPr>
              <w:spacing w:after="0" w:line="252" w:lineRule="auto"/>
            </w:pPr>
            <w:r>
              <w:rPr>
                <w:b/>
                <w:sz w:val="17"/>
              </w:rPr>
              <w:t>Externe Lagerplätze</w:t>
            </w:r>
            <w:r>
              <w:rPr>
                <w:sz w:val="17"/>
              </w:rPr>
              <w:t xml:space="preserve"> / externe Lagerplatzgruppen</w:t>
            </w:r>
          </w:p>
        </w:tc>
        <w:tc>
          <w:tcPr>
            <w:tcW w:type="dxa" w:w="5443"/>
          </w:tcPr>
          <w:p>
            <w:pPr>
              <w:spacing w:after="0" w:line="252" w:lineRule="auto"/>
            </w:pPr>
            <w:r>
              <w:rPr>
                <w:sz w:val="17"/>
              </w:rPr>
              <w:t>Lagerplätze, an denen u. a. Einlagerung, Kommissionierung, Bestandsverteilung und spontane Inventur am Mobilterminal durchgeführt werden.</w:t>
            </w:r>
          </w:p>
        </w:tc>
        <w:tc>
          <w:tcPr>
            <w:tcW w:type="dxa" w:w="1701"/>
          </w:tcPr>
          <w:p>
            <w:pPr>
              <w:spacing w:after="0" w:line="252" w:lineRule="auto"/>
            </w:pPr>
            <w:r>
              <w:rPr>
                <w:sz w:val="17"/>
              </w:rPr>
              <w:t>BH Kap. 4 (Mobilterminal), 5.4.1</w:t>
            </w:r>
          </w:p>
        </w:tc>
      </w:tr>
      <w:tr>
        <w:tc>
          <w:tcPr>
            <w:tcW w:type="dxa" w:w="2381"/>
          </w:tcPr>
          <w:p>
            <w:pPr>
              <w:spacing w:after="0" w:line="252" w:lineRule="auto"/>
            </w:pPr>
            <w:r>
              <w:rPr>
                <w:sz w:val="17"/>
              </w:rPr>
              <w:t xml:space="preserve">Checkbox </w:t>
            </w:r>
            <w:r>
              <w:rPr>
                <w:b/>
                <w:sz w:val="17"/>
              </w:rPr>
              <w:t>Externer Artikel</w:t>
            </w:r>
          </w:p>
        </w:tc>
        <w:tc>
          <w:tcPr>
            <w:tcW w:type="dxa" w:w="5443"/>
          </w:tcPr>
          <w:p>
            <w:pPr>
              <w:spacing w:after="0" w:line="252" w:lineRule="auto"/>
            </w:pPr>
            <w:r>
              <w:rPr>
                <w:sz w:val="17"/>
              </w:rPr>
              <w:t>Markiert einen Artikel als extern; er kann am Mobilterminal verarbeitet werden.</w:t>
            </w:r>
          </w:p>
        </w:tc>
        <w:tc>
          <w:tcPr>
            <w:tcW w:type="dxa" w:w="1701"/>
          </w:tcPr>
          <w:p>
            <w:pPr>
              <w:spacing w:after="0" w:line="252" w:lineRule="auto"/>
            </w:pPr>
            <w:r>
              <w:rPr>
                <w:sz w:val="17"/>
              </w:rPr>
              <w:t>AH 3.6.3.7, 3.6.5.3</w:t>
            </w:r>
          </w:p>
        </w:tc>
      </w:tr>
      <w:tr>
        <w:tc>
          <w:tcPr>
            <w:tcW w:type="dxa" w:w="2381"/>
          </w:tcPr>
          <w:p>
            <w:pPr>
              <w:spacing w:after="0" w:line="252" w:lineRule="auto"/>
            </w:pPr>
            <w:r>
              <w:rPr>
                <w:b/>
                <w:sz w:val="17"/>
              </w:rPr>
              <w:t>Externe Lagerreservierungsstrategie</w:t>
            </w:r>
          </w:p>
        </w:tc>
        <w:tc>
          <w:tcPr>
            <w:tcW w:type="dxa" w:w="5443"/>
          </w:tcPr>
          <w:p>
            <w:pPr>
              <w:spacing w:after="0" w:line="252" w:lineRule="auto"/>
            </w:pPr>
            <w:r>
              <w:rPr>
                <w:sz w:val="17"/>
              </w:rPr>
              <w:t xml:space="preserve">Strategien </w:t>
            </w:r>
            <w:r>
              <w:rPr>
                <w:rFonts w:ascii="Consolas" w:hAnsi="Consolas"/>
                <w:sz w:val="15"/>
              </w:rPr>
              <w:t>ABC_EXTERNAL</w:t>
            </w:r>
            <w:r>
              <w:rPr>
                <w:sz w:val="17"/>
              </w:rPr>
              <w:t xml:space="preserve">, </w:t>
            </w:r>
            <w:r>
              <w:rPr>
                <w:rFonts w:ascii="Consolas" w:hAnsi="Consolas"/>
                <w:sz w:val="15"/>
              </w:rPr>
              <w:t>ASSIGNMENT_EXTERN</w:t>
            </w:r>
            <w:r>
              <w:rPr>
                <w:sz w:val="17"/>
              </w:rPr>
              <w:t xml:space="preserve">, </w:t>
            </w:r>
            <w:r>
              <w:rPr>
                <w:rFonts w:ascii="Consolas" w:hAnsi="Consolas"/>
                <w:sz w:val="15"/>
              </w:rPr>
              <w:t>LOWEST_STOCK_EXTERN</w:t>
            </w:r>
            <w:r>
              <w:rPr>
                <w:sz w:val="17"/>
              </w:rPr>
              <w:t xml:space="preserve"> für externe Lagerplätze.</w:t>
            </w:r>
          </w:p>
        </w:tc>
        <w:tc>
          <w:tcPr>
            <w:tcW w:type="dxa" w:w="1701"/>
          </w:tcPr>
          <w:p>
            <w:pPr>
              <w:spacing w:after="0" w:line="252" w:lineRule="auto"/>
            </w:pPr>
            <w:r>
              <w:rPr>
                <w:sz w:val="17"/>
              </w:rPr>
              <w:t>AH 3.6.1.5, 3.6.1.11, 3.6.3.7</w:t>
            </w:r>
          </w:p>
        </w:tc>
      </w:tr>
      <w:tr>
        <w:tc>
          <w:tcPr>
            <w:tcW w:type="dxa" w:w="2381"/>
          </w:tcPr>
          <w:p>
            <w:pPr>
              <w:spacing w:after="0" w:line="252" w:lineRule="auto"/>
            </w:pPr>
            <w:r>
              <w:rPr>
                <w:b/>
                <w:sz w:val="17"/>
              </w:rPr>
              <w:t>Externe inSPM / outSPM</w:t>
            </w:r>
          </w:p>
        </w:tc>
        <w:tc>
          <w:tcPr>
            <w:tcW w:type="dxa" w:w="5443"/>
          </w:tcPr>
          <w:p>
            <w:pPr>
              <w:spacing w:after="0" w:line="252" w:lineRule="auto"/>
            </w:pPr>
            <w:r>
              <w:rPr>
                <w:sz w:val="17"/>
              </w:rPr>
              <w:t>Systempartnernachricht im externen Format des Systempartners (vor bzw. nach der Konvertierung).</w:t>
            </w:r>
          </w:p>
        </w:tc>
        <w:tc>
          <w:tcPr>
            <w:tcW w:type="dxa" w:w="1701"/>
          </w:tcPr>
          <w:p>
            <w:pPr>
              <w:spacing w:after="0" w:line="252" w:lineRule="auto"/>
            </w:pPr>
            <w:r>
              <w:rPr>
                <w:sz w:val="17"/>
              </w:rPr>
              <w:t>AH 3.5; IF-ERP 2.1</w:t>
            </w:r>
          </w:p>
        </w:tc>
      </w:tr>
    </w:tbl>
    <w:p>
      <w:pPr>
        <w:pStyle w:val="BeschriftungSSI"/>
      </w:pPr>
      <w:r>
        <w:t>Tab. 2: Begriffe mit „extern“, die keine externen Referenzen sind</w:t>
      </w:r>
    </w:p>
    <w:p>
      <w:pPr>
        <w:pStyle w:val="Heading2"/>
      </w:pPr>
      <w:r>
        <w:t>2.5 Feld „Scheinnummer“</w:t>
      </w:r>
    </w:p>
    <w:p>
      <w:r>
        <w:t xml:space="preserve">In den Kopfdaten von Bedarfen und Bedarfsvorlagen gibt es das Feld </w:t>
      </w:r>
      <w:r>
        <w:rPr>
          <w:b/>
        </w:rPr>
        <w:t>Scheinnummer</w:t>
      </w:r>
      <w:r>
        <w:t xml:space="preserve">. Laut BH wird dort „die vom externen Systempartner gesendete Scheinnummer“ angezeigt; in der Beschreibung der Bedarfsvorlage heißt es „die vom externen Systempartner gesendete externe Referenz“. Die Scheinnummer ist ein einzelnes Anzeigefeld und nicht identisch mit der Registerkarte </w:t>
      </w:r>
      <w:r>
        <w:rPr>
          <w:b/>
        </w:rPr>
        <w:t>Externe Referenz</w:t>
      </w:r>
      <w:r>
        <w:t xml:space="preserve"> (Schlüssel/Wert-Liste).</w:t>
      </w:r>
    </w:p>
    <w:p>
      <w:r>
        <w:t xml:space="preserve">In der Schnittstelle gibt es im Bedarfskopf das Feld </w:t>
      </w:r>
      <w:r>
        <w:rPr>
          <w:rFonts w:ascii="Consolas" w:hAnsi="Consolas"/>
          <w:sz w:val="18"/>
        </w:rPr>
        <w:t>noteNo</w:t>
      </w:r>
      <w:r>
        <w:t xml:space="preserve"> („Note number“, String 18), das laut IF-ERP „nur informativen Zwecken dient“.</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Dass das Feld </w:t>
            </w:r>
            <w:r>
              <w:rPr>
                <w:b/>
                <w:sz w:val="19"/>
              </w:rPr>
              <w:t>Scheinnummer</w:t>
            </w:r>
            <w:r>
              <w:rPr>
                <w:sz w:val="19"/>
              </w:rPr>
              <w:t xml:space="preserve"> dem Schnittstellenfeld </w:t>
            </w:r>
            <w:r>
              <w:rPr>
                <w:rFonts w:ascii="Consolas" w:hAnsi="Consolas"/>
                <w:sz w:val="17"/>
              </w:rPr>
              <w:t>noteNo</w:t>
            </w:r>
            <w:r>
              <w:rPr>
                <w:sz w:val="19"/>
              </w:rPr>
              <w:t xml:space="preserve"> entspricht, liegt nahe, wird in den Unterlagen aber nicht ausdrücklich zugeordnet.</w:t>
            </w:r>
          </w:p>
        </w:tc>
      </w:tr>
    </w:tbl>
    <w:p>
      <w:pPr>
        <w:spacing w:after="40"/>
      </w:pP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für Umsteiger von Release 2.4</w:t>
            </w:r>
          </w:p>
          <w:p>
            <w:pPr>
              <w:spacing w:after="40"/>
            </w:pPr>
            <w:r>
              <w:rPr>
                <w:sz w:val="19"/>
              </w:rPr>
              <w:t xml:space="preserve">Im Benutzerhandbuch WAMAS LogiMat 2.4 (V 5.0) hieß das entsprechende Kopffeld noch </w:t>
            </w:r>
            <w:r>
              <w:rPr>
                <w:b/>
                <w:sz w:val="19"/>
              </w:rPr>
              <w:t>Externe Referenz</w:t>
            </w:r>
            <w:r>
              <w:rPr>
                <w:sz w:val="19"/>
              </w:rPr>
              <w:t xml:space="preserve"> und zeigte „die vom externen Systempartner gesendete Auftragsnummer“. Wer ältere Unterlagen oder Schulungen kennt, sollte diese Namensänderung beachten.</w:t>
            </w:r>
          </w:p>
        </w:tc>
      </w:tr>
    </w:tbl>
    <w:p>
      <w:pPr>
        <w:spacing w:after="40"/>
      </w:pPr>
    </w:p>
    <w:p>
      <w:pPr>
        <w:pStyle w:val="Quelle"/>
      </w:pPr>
      <w:r>
        <w:rPr>
          <w:b/>
        </w:rPr>
        <w:t xml:space="preserve">Quelle: </w:t>
      </w:r>
      <w:r>
        <w:rPr>
          <w:sz w:val="17"/>
        </w:rPr>
        <w:t>BH Kap. 5.3.1 (S. 67), 6.2.1.1.2 (S. 92), 6.2.1.1.3 (S. 93), 6.2.2.1.2 (S. 100), 6.2.2.1.3 (S. 102); IF-ERP Kap. 6.1.1.1, 6.1.2.1 (S. 68, 76); BH LogiMat 2.4 V 5.0, Kap. 4.5.1.1</w:t>
      </w:r>
    </w:p>
    <w:p>
      <w:pPr>
        <w:pStyle w:val="Heading1"/>
      </w:pPr>
      <w:r>
        <w:t>3 Externe Referenzen in der Oberfläche</w:t>
      </w:r>
    </w:p>
    <w:p>
      <w:r>
        <w:t>Die folgende Tabelle zeigt alle Dialoge, in denen die Unterlagen externe Referenzen erwähnen.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963"/>
        <w:gridCol w:w="2381"/>
        <w:gridCol w:w="2324"/>
        <w:gridCol w:w="1474"/>
      </w:tblGrid>
      <w:tr>
        <w:trPr>
          <w:tblHeader w:val="true"/>
        </w:trPr>
        <w:tc>
          <w:tcPr>
            <w:tcW w:type="dxa" w:w="2381"/>
            <w:shd w:val="clear" w:color="auto" w:fill="FEEE19"/>
          </w:tcPr>
          <w:p>
            <w:pPr>
              <w:spacing w:after="0"/>
            </w:pPr>
            <w:r>
              <w:rPr>
                <w:b/>
                <w:sz w:val="16"/>
              </w:rPr>
              <w:t>Dialog</w:t>
            </w:r>
          </w:p>
        </w:tc>
        <w:tc>
          <w:tcPr>
            <w:tcW w:type="dxa" w:w="964"/>
            <w:shd w:val="clear" w:color="auto" w:fill="FEEE19"/>
          </w:tcPr>
          <w:p>
            <w:pPr>
              <w:spacing w:after="0"/>
            </w:pPr>
            <w:r>
              <w:rPr>
                <w:b/>
                <w:sz w:val="16"/>
              </w:rPr>
              <w:t>Client</w:t>
            </w:r>
          </w:p>
        </w:tc>
        <w:tc>
          <w:tcPr>
            <w:tcW w:type="dxa" w:w="2381"/>
            <w:shd w:val="clear" w:color="auto" w:fill="FEEE19"/>
          </w:tcPr>
          <w:p>
            <w:pPr>
              <w:spacing w:after="0"/>
            </w:pPr>
            <w:r>
              <w:rPr>
                <w:b/>
                <w:sz w:val="16"/>
              </w:rPr>
              <w:t>Ort / Element</w:t>
            </w:r>
          </w:p>
        </w:tc>
        <w:tc>
          <w:tcPr>
            <w:tcW w:type="dxa" w:w="2324"/>
            <w:shd w:val="clear" w:color="auto" w:fill="FEEE19"/>
          </w:tcPr>
          <w:p>
            <w:pPr>
              <w:spacing w:after="0"/>
            </w:pPr>
            <w:r>
              <w:rPr>
                <w:b/>
                <w:sz w:val="16"/>
              </w:rPr>
              <w:t>Zweck</w:t>
            </w:r>
          </w:p>
        </w:tc>
        <w:tc>
          <w:tcPr>
            <w:tcW w:type="dxa" w:w="1474"/>
            <w:shd w:val="clear" w:color="auto" w:fill="FEEE19"/>
          </w:tcPr>
          <w:p>
            <w:pPr>
              <w:spacing w:after="0"/>
            </w:pPr>
            <w:r>
              <w:rPr>
                <w:b/>
                <w:sz w:val="16"/>
              </w:rPr>
              <w:t>Quelle</w:t>
            </w:r>
          </w:p>
        </w:tc>
      </w:tr>
      <w:tr>
        <w:tc>
          <w:tcPr>
            <w:tcW w:type="dxa" w:w="2381"/>
          </w:tcPr>
          <w:p>
            <w:pPr>
              <w:spacing w:after="0" w:line="252" w:lineRule="auto"/>
            </w:pPr>
            <w:r>
              <w:rPr>
                <w:b/>
                <w:sz w:val="16"/>
              </w:rPr>
              <w:t>LM116 Bedarfsvorlage pflegen</w:t>
            </w:r>
          </w:p>
          <w:p>
            <w:pPr>
              <w:spacing w:after="0"/>
            </w:pPr>
            <w:r>
              <w:rPr>
                <w:sz w:val="16"/>
              </w:rPr>
              <w:t xml:space="preserve">(aufgerufen aus </w:t>
            </w:r>
            <w:r>
              <w:rPr>
                <w:b/>
                <w:sz w:val="16"/>
              </w:rPr>
              <w:t>LM040 Übersicht WAMAS L&amp;S</w:t>
            </w:r>
            <w:r>
              <w:rPr>
                <w:sz w:val="16"/>
              </w:rPr>
              <w:t xml:space="preserve">, Registerkarte </w:t>
            </w:r>
            <w:r>
              <w:rPr>
                <w:b/>
                <w:sz w:val="16"/>
              </w:rPr>
              <w:t>Übersicht Vorlagen</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r>
              <w:rPr>
                <w:sz w:val="16"/>
              </w:rPr>
              <w:t xml:space="preserve"> → </w:t>
            </w:r>
            <w:r>
              <w:rPr>
                <w:b/>
                <w:sz w:val="16"/>
              </w:rPr>
              <w:t>LM157 Externe Referenzzeile pflegen</w:t>
            </w:r>
          </w:p>
        </w:tc>
        <w:tc>
          <w:tcPr>
            <w:tcW w:type="dxa" w:w="2324"/>
          </w:tcPr>
          <w:p>
            <w:pPr>
              <w:spacing w:after="0" w:line="252" w:lineRule="auto"/>
            </w:pPr>
            <w:r>
              <w:rPr>
                <w:sz w:val="16"/>
              </w:rPr>
              <w:t>Externe Referenzvorlagen pflegen; werden neuen Bedarfen automatisch hinzugefügt</w:t>
            </w:r>
          </w:p>
        </w:tc>
        <w:tc>
          <w:tcPr>
            <w:tcW w:type="dxa" w:w="1474"/>
          </w:tcPr>
          <w:p>
            <w:pPr>
              <w:spacing w:after="0" w:line="252" w:lineRule="auto"/>
            </w:pPr>
            <w:r>
              <w:rPr>
                <w:sz w:val="16"/>
              </w:rPr>
              <w:t>BH 5.3.1, 5.3.1.2, 5.3.2</w:t>
            </w:r>
          </w:p>
        </w:tc>
      </w:tr>
      <w:tr>
        <w:tc>
          <w:tcPr>
            <w:tcW w:type="dxa" w:w="2381"/>
          </w:tcPr>
          <w:p>
            <w:pPr>
              <w:spacing w:after="0" w:line="252" w:lineRule="auto"/>
            </w:pPr>
            <w:r>
              <w:rPr>
                <w:b/>
                <w:sz w:val="16"/>
              </w:rPr>
              <w:t>LM081 Einlagerbedarf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Einlagerbedarf erfassen</w:t>
            </w:r>
          </w:p>
        </w:tc>
        <w:tc>
          <w:tcPr>
            <w:tcW w:type="dxa" w:w="1474"/>
          </w:tcPr>
          <w:p>
            <w:pPr>
              <w:spacing w:after="0" w:line="252" w:lineRule="auto"/>
            </w:pPr>
            <w:r>
              <w:rPr>
                <w:sz w:val="16"/>
              </w:rPr>
              <w:t>BH 6.2.1.1.2</w:t>
            </w:r>
          </w:p>
        </w:tc>
      </w:tr>
      <w:tr>
        <w:tc>
          <w:tcPr>
            <w:tcW w:type="dxa" w:w="2381"/>
          </w:tcPr>
          <w:p>
            <w:pPr>
              <w:spacing w:after="0" w:line="252" w:lineRule="auto"/>
            </w:pPr>
            <w:r>
              <w:rPr>
                <w:b/>
                <w:sz w:val="16"/>
              </w:rPr>
              <w:t>LM086 Einlagerbedarf anlegen</w:t>
            </w:r>
          </w:p>
          <w:p>
            <w:pPr>
              <w:spacing w:after="0"/>
            </w:pPr>
            <w:r>
              <w:rPr>
                <w:sz w:val="16"/>
              </w:rPr>
              <w:t xml:space="preserve">(aus </w:t>
            </w:r>
            <w:r>
              <w:rPr>
                <w:b/>
                <w:sz w:val="16"/>
              </w:rPr>
              <w:t>LM040</w:t>
            </w:r>
            <w:r>
              <w:rPr>
                <w:sz w:val="16"/>
              </w:rPr>
              <w:t xml:space="preserve">, Registerkarte </w:t>
            </w:r>
            <w:r>
              <w:rPr>
                <w:b/>
                <w:sz w:val="16"/>
              </w:rPr>
              <w:t>Übersicht Aufträge</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Einlagerbedarf erfassen</w:t>
            </w:r>
          </w:p>
        </w:tc>
        <w:tc>
          <w:tcPr>
            <w:tcW w:type="dxa" w:w="1474"/>
          </w:tcPr>
          <w:p>
            <w:pPr>
              <w:spacing w:after="0" w:line="252" w:lineRule="auto"/>
            </w:pPr>
            <w:r>
              <w:rPr>
                <w:sz w:val="16"/>
              </w:rPr>
              <w:t>BH 6.2.1.1.3</w:t>
            </w:r>
          </w:p>
        </w:tc>
      </w:tr>
      <w:tr>
        <w:tc>
          <w:tcPr>
            <w:tcW w:type="dxa" w:w="2381"/>
          </w:tcPr>
          <w:p>
            <w:pPr>
              <w:spacing w:after="0" w:line="252" w:lineRule="auto"/>
            </w:pPr>
            <w:r>
              <w:rPr>
                <w:b/>
                <w:sz w:val="16"/>
              </w:rPr>
              <w:t>LM072 Kommissionierbedarf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Kommissionierbedarf erfassen</w:t>
            </w:r>
          </w:p>
        </w:tc>
        <w:tc>
          <w:tcPr>
            <w:tcW w:type="dxa" w:w="1474"/>
          </w:tcPr>
          <w:p>
            <w:pPr>
              <w:spacing w:after="0" w:line="252" w:lineRule="auto"/>
            </w:pPr>
            <w:r>
              <w:rPr>
                <w:sz w:val="16"/>
              </w:rPr>
              <w:t>BH 6.2.2.1.2</w:t>
            </w:r>
          </w:p>
        </w:tc>
      </w:tr>
      <w:tr>
        <w:tc>
          <w:tcPr>
            <w:tcW w:type="dxa" w:w="2381"/>
          </w:tcPr>
          <w:p>
            <w:pPr>
              <w:spacing w:after="0" w:line="252" w:lineRule="auto"/>
            </w:pPr>
            <w:r>
              <w:rPr>
                <w:b/>
                <w:sz w:val="16"/>
              </w:rPr>
              <w:t>LM087 Kommissionierbedarf anlegen</w:t>
            </w:r>
          </w:p>
          <w:p>
            <w:pPr>
              <w:spacing w:after="0"/>
            </w:pPr>
            <w:r>
              <w:rPr>
                <w:sz w:val="16"/>
              </w:rPr>
              <w:t xml:space="preserve">(aus </w:t>
            </w:r>
            <w:r>
              <w:rPr>
                <w:b/>
                <w:sz w:val="16"/>
              </w:rPr>
              <w:t>LM040</w:t>
            </w:r>
            <w:r>
              <w:rPr>
                <w:sz w:val="16"/>
              </w:rPr>
              <w:t xml:space="preserve">, Registerkarte </w:t>
            </w:r>
            <w:r>
              <w:rPr>
                <w:b/>
                <w:sz w:val="16"/>
              </w:rPr>
              <w:t>Übersicht Aufträge</w:t>
            </w:r>
            <w:r>
              <w:rPr>
                <w:sz w:val="16"/>
              </w:rPr>
              <w:t>)</w:t>
            </w:r>
          </w:p>
        </w:tc>
        <w:tc>
          <w:tcPr>
            <w:tcW w:type="dxa" w:w="964"/>
          </w:tcPr>
          <w:p>
            <w:pPr>
              <w:spacing w:after="0" w:line="252" w:lineRule="auto"/>
            </w:pPr>
            <w:r>
              <w:rPr>
                <w:sz w:val="16"/>
              </w:rPr>
              <w:t>Touch</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Kommissionierbedarf erfassen</w:t>
            </w:r>
          </w:p>
        </w:tc>
        <w:tc>
          <w:tcPr>
            <w:tcW w:type="dxa" w:w="1474"/>
          </w:tcPr>
          <w:p>
            <w:pPr>
              <w:spacing w:after="0" w:line="252" w:lineRule="auto"/>
            </w:pPr>
            <w:r>
              <w:rPr>
                <w:sz w:val="16"/>
              </w:rPr>
              <w:t>BH 6.2.2.1.3</w:t>
            </w:r>
          </w:p>
        </w:tc>
      </w:tr>
      <w:tr>
        <w:tc>
          <w:tcPr>
            <w:tcW w:type="dxa" w:w="2381"/>
          </w:tcPr>
          <w:p>
            <w:pPr>
              <w:spacing w:after="0" w:line="252" w:lineRule="auto"/>
            </w:pPr>
            <w:r>
              <w:rPr>
                <w:b/>
                <w:sz w:val="16"/>
              </w:rPr>
              <w:t>LM091 Inventurbedarf pflegen</w:t>
            </w:r>
          </w:p>
        </w:tc>
        <w:tc>
          <w:tcPr>
            <w:tcW w:type="dxa" w:w="964"/>
          </w:tcPr>
          <w:p>
            <w:pPr>
              <w:spacing w:after="0" w:line="252" w:lineRule="auto"/>
            </w:pPr>
            <w:r>
              <w:rPr>
                <w:sz w:val="16"/>
              </w:rPr>
              <w:t>Desktop</w:t>
            </w:r>
          </w:p>
        </w:tc>
        <w:tc>
          <w:tcPr>
            <w:tcW w:type="dxa" w:w="2381"/>
          </w:tcPr>
          <w:p>
            <w:pPr>
              <w:spacing w:after="0" w:line="252" w:lineRule="auto"/>
            </w:pPr>
            <w:r>
              <w:rPr>
                <w:sz w:val="16"/>
              </w:rPr>
              <w:t xml:space="preserve">Registerkarte </w:t>
            </w:r>
            <w:r>
              <w:rPr>
                <w:b/>
                <w:sz w:val="16"/>
              </w:rPr>
              <w:t>Externe Referenz</w:t>
            </w:r>
            <w:r>
              <w:rPr>
                <w:sz w:val="16"/>
              </w:rPr>
              <w:t xml:space="preserve">, Icon </w:t>
            </w:r>
            <w:r>
              <w:rPr>
                <w:b/>
                <w:sz w:val="16"/>
              </w:rPr>
              <w:t>Datensatz anlegen</w:t>
            </w:r>
          </w:p>
        </w:tc>
        <w:tc>
          <w:tcPr>
            <w:tcW w:type="dxa" w:w="2324"/>
          </w:tcPr>
          <w:p>
            <w:pPr>
              <w:spacing w:after="0" w:line="252" w:lineRule="auto"/>
            </w:pPr>
            <w:r>
              <w:rPr>
                <w:sz w:val="16"/>
              </w:rPr>
              <w:t>Externe Referenz zum Inventurbedarf erfassen</w:t>
            </w:r>
          </w:p>
        </w:tc>
        <w:tc>
          <w:tcPr>
            <w:tcW w:type="dxa" w:w="1474"/>
          </w:tcPr>
          <w:p>
            <w:pPr>
              <w:spacing w:after="0" w:line="252" w:lineRule="auto"/>
            </w:pPr>
            <w:r>
              <w:rPr>
                <w:sz w:val="16"/>
              </w:rPr>
              <w:t>BH 6.2.3.1.2</w:t>
            </w:r>
          </w:p>
        </w:tc>
      </w:tr>
      <w:tr>
        <w:tc>
          <w:tcPr>
            <w:tcW w:type="dxa" w:w="2381"/>
          </w:tcPr>
          <w:p>
            <w:pPr>
              <w:spacing w:after="0" w:line="252" w:lineRule="auto"/>
            </w:pPr>
            <w:r>
              <w:rPr>
                <w:b/>
                <w:sz w:val="16"/>
              </w:rPr>
              <w:t>LM080 Übersicht Einlagerbedarfe</w:t>
            </w:r>
            <w:r>
              <w:rPr>
                <w:sz w:val="16"/>
              </w:rPr>
              <w:t xml:space="preserve"> / </w:t>
            </w:r>
            <w:r>
              <w:rPr>
                <w:b/>
                <w:sz w:val="16"/>
              </w:rPr>
              <w:t>LM023 Einlagerbedarfsdetails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Neuer Bedarf erhält automatisch eine externe Referenz mit der ursprünglichen Bedarfsnummer</w:t>
            </w:r>
          </w:p>
        </w:tc>
        <w:tc>
          <w:tcPr>
            <w:tcW w:type="dxa" w:w="1474"/>
          </w:tcPr>
          <w:p>
            <w:pPr>
              <w:spacing w:after="0" w:line="252" w:lineRule="auto"/>
            </w:pPr>
            <w:r>
              <w:rPr>
                <w:sz w:val="16"/>
              </w:rPr>
              <w:t>BH 6.4.7</w:t>
            </w:r>
          </w:p>
        </w:tc>
      </w:tr>
      <w:tr>
        <w:tc>
          <w:tcPr>
            <w:tcW w:type="dxa" w:w="2381"/>
          </w:tcPr>
          <w:p>
            <w:pPr>
              <w:spacing w:after="0" w:line="252" w:lineRule="auto"/>
            </w:pPr>
            <w:r>
              <w:rPr>
                <w:b/>
                <w:sz w:val="16"/>
              </w:rPr>
              <w:t>LM071 Übersicht Kommissionierbedarfe</w:t>
            </w:r>
            <w:r>
              <w:rPr>
                <w:sz w:val="16"/>
              </w:rPr>
              <w:t xml:space="preserve"> / </w:t>
            </w:r>
            <w:r>
              <w:rPr>
                <w:b/>
                <w:sz w:val="16"/>
              </w:rPr>
              <w:t>LM026 Kommissionierbedarfsdetails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wie oben</w:t>
            </w:r>
          </w:p>
        </w:tc>
        <w:tc>
          <w:tcPr>
            <w:tcW w:type="dxa" w:w="1474"/>
          </w:tcPr>
          <w:p>
            <w:pPr>
              <w:spacing w:after="0" w:line="252" w:lineRule="auto"/>
            </w:pPr>
            <w:r>
              <w:rPr>
                <w:sz w:val="16"/>
              </w:rPr>
              <w:t>BH 6.4.8</w:t>
            </w:r>
          </w:p>
        </w:tc>
      </w:tr>
      <w:tr>
        <w:tc>
          <w:tcPr>
            <w:tcW w:type="dxa" w:w="2381"/>
          </w:tcPr>
          <w:p>
            <w:pPr>
              <w:spacing w:after="0" w:line="252" w:lineRule="auto"/>
            </w:pPr>
            <w:r>
              <w:rPr>
                <w:b/>
                <w:sz w:val="16"/>
              </w:rPr>
              <w:t>LM090 Übersicht Inventurbedarfe</w:t>
            </w:r>
            <w:r>
              <w:rPr>
                <w:sz w:val="16"/>
              </w:rPr>
              <w:t xml:space="preserve"> / </w:t>
            </w:r>
            <w:r>
              <w:rPr>
                <w:b/>
                <w:sz w:val="16"/>
              </w:rPr>
              <w:t>LM028 Inventurbedarfsdetails anzeigen</w:t>
            </w:r>
          </w:p>
        </w:tc>
        <w:tc>
          <w:tcPr>
            <w:tcW w:type="dxa" w:w="964"/>
          </w:tcPr>
          <w:p>
            <w:pPr>
              <w:spacing w:after="0" w:line="252" w:lineRule="auto"/>
            </w:pPr>
            <w:r>
              <w:rPr>
                <w:sz w:val="16"/>
              </w:rPr>
              <w:t>Desktop / Touch</w:t>
            </w:r>
          </w:p>
        </w:tc>
        <w:tc>
          <w:tcPr>
            <w:tcW w:type="dxa" w:w="2381"/>
          </w:tcPr>
          <w:p>
            <w:pPr>
              <w:spacing w:after="0" w:line="252" w:lineRule="auto"/>
            </w:pPr>
            <w:r>
              <w:rPr>
                <w:sz w:val="16"/>
              </w:rPr>
              <w:t xml:space="preserve">Kontextmenü bzw. Icon </w:t>
            </w:r>
            <w:r>
              <w:rPr>
                <w:b/>
                <w:sz w:val="16"/>
              </w:rPr>
              <w:t>Splitten</w:t>
            </w:r>
          </w:p>
        </w:tc>
        <w:tc>
          <w:tcPr>
            <w:tcW w:type="dxa" w:w="2324"/>
          </w:tcPr>
          <w:p>
            <w:pPr>
              <w:spacing w:after="0" w:line="252" w:lineRule="auto"/>
            </w:pPr>
            <w:r>
              <w:rPr>
                <w:sz w:val="16"/>
              </w:rPr>
              <w:t>wie oben</w:t>
            </w:r>
          </w:p>
        </w:tc>
        <w:tc>
          <w:tcPr>
            <w:tcW w:type="dxa" w:w="1474"/>
          </w:tcPr>
          <w:p>
            <w:pPr>
              <w:spacing w:after="0" w:line="252" w:lineRule="auto"/>
            </w:pPr>
            <w:r>
              <w:rPr>
                <w:sz w:val="16"/>
              </w:rPr>
              <w:t>BH 6.4.9</w:t>
            </w:r>
          </w:p>
        </w:tc>
      </w:tr>
      <w:tr>
        <w:tc>
          <w:tcPr>
            <w:tcW w:type="dxa" w:w="2381"/>
          </w:tcPr>
          <w:p>
            <w:pPr>
              <w:spacing w:after="0" w:line="252" w:lineRule="auto"/>
            </w:pPr>
            <w:r>
              <w:rPr>
                <w:b/>
                <w:sz w:val="16"/>
              </w:rPr>
              <w:t>MD096 Systempartnerschnittstelle pflegen (WAMAS als WMS zu ERP)</w:t>
            </w:r>
          </w:p>
        </w:tc>
        <w:tc>
          <w:tcPr>
            <w:tcW w:type="dxa" w:w="964"/>
          </w:tcPr>
          <w:p>
            <w:pPr>
              <w:spacing w:after="0" w:line="252" w:lineRule="auto"/>
            </w:pPr>
            <w:r>
              <w:rPr>
                <w:sz w:val="16"/>
              </w:rPr>
              <w:t>Desktop (Admin)</w:t>
            </w:r>
          </w:p>
        </w:tc>
        <w:tc>
          <w:tcPr>
            <w:tcW w:type="dxa" w:w="2381"/>
          </w:tcPr>
          <w:p>
            <w:pPr>
              <w:spacing w:after="0" w:line="252" w:lineRule="auto"/>
            </w:pPr>
            <w:r>
              <w:rPr>
                <w:sz w:val="16"/>
              </w:rPr>
              <w:t xml:space="preserve">Checkbox </w:t>
            </w:r>
            <w:r>
              <w:rPr>
                <w:b/>
                <w:sz w:val="16"/>
              </w:rPr>
              <w:t>Externe Referenzen inkludieren</w:t>
            </w:r>
            <w:r>
              <w:rPr>
                <w:sz w:val="16"/>
              </w:rPr>
              <w:t xml:space="preserve"> auf mehreren Quittierungs-Registerkarten</w:t>
            </w:r>
          </w:p>
        </w:tc>
        <w:tc>
          <w:tcPr>
            <w:tcW w:type="dxa" w:w="2324"/>
          </w:tcPr>
          <w:p>
            <w:pPr>
              <w:spacing w:after="0" w:line="252" w:lineRule="auto"/>
            </w:pPr>
            <w:r>
              <w:rPr>
                <w:sz w:val="16"/>
              </w:rPr>
              <w:t>Externe Referenzen in die outSPM an das ERP aufnehmen</w:t>
            </w:r>
          </w:p>
        </w:tc>
        <w:tc>
          <w:tcPr>
            <w:tcW w:type="dxa" w:w="1474"/>
          </w:tcPr>
          <w:p>
            <w:pPr>
              <w:spacing w:after="0" w:line="252" w:lineRule="auto"/>
            </w:pPr>
            <w:r>
              <w:rPr>
                <w:sz w:val="16"/>
              </w:rPr>
              <w:t>AH 3.5.2.2–3.5.2.7</w:t>
            </w:r>
          </w:p>
        </w:tc>
      </w:tr>
      <w:tr>
        <w:tc>
          <w:tcPr>
            <w:tcW w:type="dxa" w:w="2381"/>
          </w:tcPr>
          <w:p>
            <w:pPr>
              <w:spacing w:after="0" w:line="252" w:lineRule="auto"/>
            </w:pPr>
            <w:r>
              <w:rPr>
                <w:sz w:val="16"/>
              </w:rPr>
              <w:t>Globale Systemparameter</w:t>
            </w:r>
          </w:p>
        </w:tc>
        <w:tc>
          <w:tcPr>
            <w:tcW w:type="dxa" w:w="964"/>
          </w:tcPr>
          <w:p>
            <w:pPr>
              <w:spacing w:after="0" w:line="252" w:lineRule="auto"/>
            </w:pPr>
            <w:r>
              <w:rPr>
                <w:sz w:val="16"/>
              </w:rPr>
              <w:t>Desktop (Admin)</w:t>
            </w:r>
          </w:p>
        </w:tc>
        <w:tc>
          <w:tcPr>
            <w:tcW w:type="dxa" w:w="2381"/>
          </w:tcPr>
          <w:p>
            <w:pPr>
              <w:spacing w:after="0" w:line="252" w:lineRule="auto"/>
            </w:pPr>
            <w:r>
              <w:rPr>
                <w:sz w:val="16"/>
              </w:rPr>
              <w:t xml:space="preserve">Parameter </w:t>
            </w:r>
            <w:r>
              <w:rPr>
                <w:rFonts w:ascii="Consolas" w:hAnsi="Consolas"/>
                <w:sz w:val="14"/>
              </w:rPr>
              <w:t>logimat.picking.wcs.extRefKey</w:t>
            </w:r>
          </w:p>
        </w:tc>
        <w:tc>
          <w:tcPr>
            <w:tcW w:type="dxa" w:w="2324"/>
          </w:tcPr>
          <w:p>
            <w:pPr>
              <w:spacing w:after="0" w:line="252" w:lineRule="auto"/>
            </w:pPr>
            <w:r>
              <w:rPr>
                <w:sz w:val="16"/>
              </w:rPr>
              <w:t>Externe Referenz am Kommissionierbedarf aus WCS-Kommissionieranforderung setzen</w:t>
            </w:r>
          </w:p>
        </w:tc>
        <w:tc>
          <w:tcPr>
            <w:tcW w:type="dxa" w:w="1474"/>
          </w:tcPr>
          <w:p>
            <w:pPr>
              <w:spacing w:after="0" w:line="252" w:lineRule="auto"/>
            </w:pPr>
            <w:r>
              <w:rPr>
                <w:sz w:val="16"/>
              </w:rPr>
              <w:t>AH 3.11.2</w:t>
            </w:r>
          </w:p>
        </w:tc>
      </w:tr>
    </w:tbl>
    <w:p>
      <w:pPr>
        <w:pStyle w:val="BeschriftungSSI"/>
      </w:pPr>
      <w:r>
        <w:t>Tab. 3: Dialoge mit Bezug zu externen Referenzen</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Eine </w:t>
            </w:r>
            <w:r>
              <w:rPr>
                <w:b/>
                <w:sz w:val="19"/>
              </w:rPr>
              <w:t>Suche oder Filterung</w:t>
            </w:r>
            <w:r>
              <w:rPr>
                <w:sz w:val="19"/>
              </w:rPr>
              <w:t xml:space="preserve"> nach externen Referenzen (z. B. in </w:t>
            </w:r>
            <w:r>
              <w:rPr>
                <w:b/>
                <w:sz w:val="19"/>
              </w:rPr>
              <w:t>LM040</w:t>
            </w:r>
            <w:r>
              <w:rPr>
                <w:sz w:val="19"/>
              </w:rPr>
              <w:t xml:space="preserve">, </w:t>
            </w:r>
            <w:r>
              <w:rPr>
                <w:b/>
                <w:sz w:val="19"/>
              </w:rPr>
              <w:t>LM071</w:t>
            </w:r>
            <w:r>
              <w:rPr>
                <w:sz w:val="19"/>
              </w:rPr>
              <w:t xml:space="preserve">, </w:t>
            </w:r>
            <w:r>
              <w:rPr>
                <w:b/>
                <w:sz w:val="19"/>
              </w:rPr>
              <w:t>LM080</w:t>
            </w:r>
            <w:r>
              <w:rPr>
                <w:sz w:val="19"/>
              </w:rPr>
              <w:t xml:space="preserve"> oder </w:t>
            </w:r>
            <w:r>
              <w:rPr>
                <w:b/>
                <w:sz w:val="19"/>
              </w:rPr>
              <w:t>LM090</w:t>
            </w:r>
            <w:r>
              <w:rPr>
                <w:sz w:val="19"/>
              </w:rPr>
              <w:t xml:space="preserve"> über </w:t>
            </w:r>
            <w:r>
              <w:rPr>
                <w:b/>
                <w:sz w:val="19"/>
              </w:rPr>
              <w:t>Suche</w:t>
            </w:r>
            <w:r>
              <w:rPr>
                <w:sz w:val="19"/>
              </w:rPr>
              <w:t xml:space="preserve"> / </w:t>
            </w:r>
            <w:r>
              <w:rPr>
                <w:b/>
                <w:sz w:val="19"/>
              </w:rPr>
              <w:t>Erweiterte Suche</w:t>
            </w:r>
            <w:r>
              <w:rPr>
                <w:sz w:val="19"/>
              </w:rPr>
              <w:t>) ist nicht beschrieben.</w:t>
            </w:r>
          </w:p>
          <w:p>
            <w:pPr>
              <w:spacing w:after="40"/>
            </w:pPr>
            <w:r>
              <w:rPr>
                <w:sz w:val="19"/>
              </w:rPr>
              <w:t xml:space="preserve">Eine </w:t>
            </w:r>
            <w:r>
              <w:rPr>
                <w:b/>
                <w:sz w:val="19"/>
              </w:rPr>
              <w:t>Anzeige</w:t>
            </w:r>
            <w:r>
              <w:rPr>
                <w:sz w:val="19"/>
              </w:rPr>
              <w:t xml:space="preserve"> der externen Referenzen in den Detaildialogen (z. B. </w:t>
            </w:r>
            <w:r>
              <w:rPr>
                <w:b/>
                <w:sz w:val="19"/>
              </w:rPr>
              <w:t>LM023</w:t>
            </w:r>
            <w:r>
              <w:rPr>
                <w:sz w:val="19"/>
              </w:rPr>
              <w:t xml:space="preserve">, </w:t>
            </w:r>
            <w:r>
              <w:rPr>
                <w:b/>
                <w:sz w:val="19"/>
              </w:rPr>
              <w:t>LM026</w:t>
            </w:r>
            <w:r>
              <w:rPr>
                <w:sz w:val="19"/>
              </w:rPr>
              <w:t xml:space="preserve">, </w:t>
            </w:r>
            <w:r>
              <w:rPr>
                <w:b/>
                <w:sz w:val="19"/>
              </w:rPr>
              <w:t>LM028</w:t>
            </w:r>
            <w:r>
              <w:rPr>
                <w:sz w:val="19"/>
              </w:rPr>
              <w:t>) ist nicht beschrieben.</w:t>
            </w:r>
          </w:p>
          <w:p>
            <w:pPr>
              <w:spacing w:after="40"/>
            </w:pPr>
            <w:r>
              <w:rPr>
                <w:sz w:val="19"/>
              </w:rPr>
              <w:t xml:space="preserve">Ein Bezug externer Referenzen zu </w:t>
            </w:r>
            <w:r>
              <w:rPr>
                <w:b/>
                <w:sz w:val="19"/>
              </w:rPr>
              <w:t>Artikeln</w:t>
            </w:r>
            <w:r>
              <w:rPr>
                <w:sz w:val="19"/>
              </w:rPr>
              <w:t xml:space="preserve"> (Artikelstamm) ist nicht beschrieben. Die Artikel-Satzart der Schnittstelle enthält nur das Feld </w:t>
            </w:r>
            <w:r>
              <w:rPr>
                <w:rFonts w:ascii="Consolas" w:hAnsi="Consolas"/>
                <w:sz w:val="17"/>
              </w:rPr>
              <w:t>externalItem</w:t>
            </w:r>
            <w:r>
              <w:rPr>
                <w:sz w:val="19"/>
              </w:rPr>
              <w:t xml:space="preserve"> („External item“), das etwas anderes bedeutet (siehe Tab. 2).</w:t>
            </w:r>
          </w:p>
        </w:tc>
      </w:tr>
    </w:tbl>
    <w:p>
      <w:pPr>
        <w:spacing w:after="40"/>
      </w:pPr>
    </w:p>
    <w:p>
      <w:pPr>
        <w:pStyle w:val="Heading1"/>
      </w:pPr>
      <w:r>
        <w:t>4 Schritt-für-Schritt-Anleitungen</w:t>
      </w:r>
    </w:p>
    <w:p>
      <w:pPr>
        <w:pStyle w:val="Heading2"/>
      </w:pPr>
      <w:r>
        <w:t>4.1 Externe Referenz in einer Bedarfsvorlage hinterlegen</w:t>
      </w:r>
    </w:p>
    <w:p>
      <w:r>
        <w:t>Verwenden Sie Bedarfsvorlagen, wenn immer wieder dieselben externen Referenzen an neuen Bedarfen benötigt werden. Die in der Vorlage angelegten externen Referenzen werden laut BH automatisch dem entsprechenden Kommissionier- oder Einlagerbedarf hinzugefügt.</w:t>
      </w:r>
    </w:p>
    <w:p>
      <w:pPr>
        <w:spacing w:after="80"/>
      </w:pPr>
      <w:r>
        <w:rPr>
          <w:b/>
        </w:rPr>
        <w:t>Voraussetzung:</w:t>
      </w:r>
      <w:r>
        <w:t xml:space="preserve"> Sie arbeiten am Touch-Client.</w:t>
      </w:r>
    </w:p>
    <w:p>
      <w:pPr>
        <w:spacing w:after="40"/>
      </w:pPr>
      <w:r>
        <w:rPr>
          <w:b/>
        </w:rPr>
        <w:t>Neue Bedarfsvorlage anlegen:</w:t>
      </w:r>
    </w:p>
    <w:p>
      <w:pPr>
        <w:tabs>
          <w:tab w:pos="425" w:val="left"/>
        </w:tabs>
        <w:spacing w:after="60"/>
        <w:ind w:left="425" w:hanging="425"/>
      </w:pPr>
      <w:r>
        <w:rPr>
          <w:b/>
        </w:rPr>
        <w:t>1.</w:t>
        <w:tab/>
      </w:r>
      <w:r>
        <w:t xml:space="preserve">Öffnen Sie den Dialog </w:t>
      </w:r>
      <w:r>
        <w:rPr>
          <w:b/>
        </w:rPr>
        <w:t>LM040 Übersicht WAMAS L&amp;S</w:t>
      </w:r>
      <w:r>
        <w:t>.</w:t>
      </w:r>
    </w:p>
    <w:p>
      <w:pPr>
        <w:tabs>
          <w:tab w:pos="425" w:val="left"/>
        </w:tabs>
        <w:spacing w:after="60"/>
        <w:ind w:left="425" w:hanging="425"/>
      </w:pPr>
      <w:r>
        <w:rPr>
          <w:b/>
        </w:rPr>
        <w:t>2.</w:t>
        <w:tab/>
      </w:r>
      <w:r>
        <w:t xml:space="preserve">Tippen Sie auf der Registerkarte </w:t>
      </w:r>
      <w:r>
        <w:rPr>
          <w:b/>
        </w:rPr>
        <w:t>Übersicht Vorlagen</w:t>
      </w:r>
      <w:r>
        <w:t xml:space="preserve"> auf das Icon </w:t>
      </w:r>
      <w:r>
        <w:rPr>
          <w:b/>
        </w:rPr>
        <w:t>Vorlage anlegen</w:t>
      </w:r>
      <w:r>
        <w:t xml:space="preserve">. Der Dialog </w:t>
      </w:r>
      <w:r>
        <w:rPr>
          <w:b/>
        </w:rPr>
        <w:t>LM116 Bedarfsvorlage pflegen</w:t>
      </w:r>
      <w:r>
        <w:t xml:space="preserve"> öffnet sich.</w:t>
      </w:r>
    </w:p>
    <w:p>
      <w:pPr>
        <w:tabs>
          <w:tab w:pos="425" w:val="left"/>
        </w:tabs>
        <w:spacing w:after="60"/>
        <w:ind w:left="425" w:hanging="425"/>
      </w:pPr>
      <w:r>
        <w:rPr>
          <w:b/>
        </w:rPr>
        <w:t>3.</w:t>
        <w:tab/>
      </w:r>
      <w:r>
        <w:t xml:space="preserve">Füllen Sie die Kopfdaten aus: </w:t>
      </w:r>
      <w:r>
        <w:rPr>
          <w:b/>
        </w:rPr>
        <w:t>Klient</w:t>
      </w:r>
      <w:r>
        <w:t xml:space="preserve">, </w:t>
      </w:r>
      <w:r>
        <w:rPr>
          <w:b/>
        </w:rPr>
        <w:t>Vorlagentyp</w:t>
      </w:r>
      <w:r>
        <w:t xml:space="preserve"> (Kommissionierbedarf oder Einlagerbedarf), </w:t>
      </w:r>
      <w:r>
        <w:rPr>
          <w:b/>
        </w:rPr>
        <w:t>Bedarfstyp</w:t>
      </w:r>
      <w:r>
        <w:t xml:space="preserve">, </w:t>
      </w:r>
      <w:r>
        <w:rPr>
          <w:b/>
        </w:rPr>
        <w:t>Systempartner</w:t>
      </w:r>
      <w:r>
        <w:t xml:space="preserve">, </w:t>
      </w:r>
      <w:r>
        <w:rPr>
          <w:b/>
        </w:rPr>
        <w:t>WAMAS Lift &amp; Store-Zone</w:t>
      </w:r>
      <w:r>
        <w:t xml:space="preserve">, </w:t>
      </w:r>
      <w:r>
        <w:rPr>
          <w:b/>
        </w:rPr>
        <w:t>Bedarfsvorlagen-ID</w:t>
      </w:r>
      <w:r>
        <w:t xml:space="preserve"> und </w:t>
      </w:r>
      <w:r>
        <w:rPr>
          <w:b/>
        </w:rPr>
        <w:t>Priorität</w:t>
      </w:r>
      <w:r>
        <w:t>.</w:t>
      </w:r>
    </w:p>
    <w:p>
      <w:pPr>
        <w:tabs>
          <w:tab w:pos="425" w:val="left"/>
        </w:tabs>
        <w:spacing w:after="60"/>
        <w:ind w:left="425" w:hanging="425"/>
      </w:pPr>
      <w:r>
        <w:rPr>
          <w:b/>
        </w:rPr>
        <w:t>4.</w:t>
        <w:tab/>
      </w:r>
      <w:r>
        <w:t xml:space="preserve">Legen Sie auf der Registerkarte </w:t>
      </w:r>
      <w:r>
        <w:rPr>
          <w:b/>
        </w:rPr>
        <w:t>Bedarfszeilenvorlage</w:t>
      </w:r>
      <w:r>
        <w:t xml:space="preserve"> die benötigten Zeilen an (Icon </w:t>
      </w:r>
      <w:r>
        <w:rPr>
          <w:b/>
        </w:rPr>
        <w:t>Datensatz anlegen</w:t>
      </w:r>
      <w:r>
        <w:t xml:space="preserve">, Dialog </w:t>
      </w:r>
      <w:r>
        <w:rPr>
          <w:b/>
        </w:rPr>
        <w:t>LM017 Bedarfszeilenvorlage anlegen</w:t>
      </w:r>
      <w:r>
        <w:t>).</w:t>
      </w:r>
    </w:p>
    <w:p>
      <w:pPr>
        <w:tabs>
          <w:tab w:pos="425" w:val="left"/>
        </w:tabs>
        <w:spacing w:after="60"/>
        <w:ind w:left="425" w:hanging="425"/>
      </w:pPr>
      <w:r>
        <w:rPr>
          <w:b/>
        </w:rPr>
        <w:t>5.</w:t>
        <w:tab/>
      </w:r>
      <w:r>
        <w:t xml:space="preserve">Wechseln Sie auf die Registerkarte </w:t>
      </w:r>
      <w:r>
        <w:rPr>
          <w:b/>
        </w:rPr>
        <w:t>Externe Referenz</w:t>
      </w:r>
      <w:r>
        <w:t xml:space="preserve"> und tippen Sie auf das Icon </w:t>
      </w:r>
      <w:r>
        <w:rPr>
          <w:b/>
        </w:rPr>
        <w:t>Datensatz anlegen</w:t>
      </w:r>
      <w:r>
        <w:t xml:space="preserve">. Der Dialog </w:t>
      </w:r>
      <w:r>
        <w:rPr>
          <w:b/>
        </w:rPr>
        <w:t>LM157 Externe Referenzzeile pflegen</w:t>
      </w:r>
      <w:r>
        <w:t xml:space="preserve"> öffnet sich.</w:t>
      </w:r>
    </w:p>
    <w:p>
      <w:pPr>
        <w:tabs>
          <w:tab w:pos="425" w:val="left"/>
        </w:tabs>
        <w:spacing w:after="60"/>
        <w:ind w:left="425" w:hanging="425"/>
      </w:pPr>
      <w:r>
        <w:rPr>
          <w:b/>
        </w:rPr>
        <w:t>6.</w:t>
        <w:tab/>
      </w:r>
      <w:r>
        <w:t xml:space="preserve">Prüfen Sie das Feld </w:t>
      </w:r>
      <w:r>
        <w:rPr>
          <w:b/>
        </w:rPr>
        <w:t>Ursprung</w:t>
      </w:r>
      <w:r>
        <w:t xml:space="preserve">: Es ist mit </w:t>
      </w:r>
      <w:r>
        <w:rPr>
          <w:b/>
        </w:rPr>
        <w:t>HAND</w:t>
      </w:r>
      <w:r>
        <w:t xml:space="preserve"> vorbelegt und kann nicht geändert werden.</w:t>
      </w:r>
    </w:p>
    <w:p>
      <w:pPr>
        <w:tabs>
          <w:tab w:pos="425" w:val="left"/>
        </w:tabs>
        <w:spacing w:after="60"/>
        <w:ind w:left="425" w:hanging="425"/>
      </w:pPr>
      <w:r>
        <w:rPr>
          <w:b/>
        </w:rPr>
        <w:t>7.</w:t>
        <w:tab/>
      </w:r>
      <w:r>
        <w:t xml:space="preserve">Geben Sie im Feld </w:t>
      </w:r>
      <w:r>
        <w:rPr>
          <w:b/>
        </w:rPr>
        <w:t>Schlüssel</w:t>
      </w:r>
      <w:r>
        <w:t xml:space="preserve"> einen eindeutigen Namen für die externe Referenz ein.</w:t>
      </w:r>
    </w:p>
    <w:p>
      <w:pPr>
        <w:tabs>
          <w:tab w:pos="425" w:val="left"/>
        </w:tabs>
        <w:spacing w:after="60"/>
        <w:ind w:left="425" w:hanging="425"/>
      </w:pPr>
      <w:r>
        <w:rPr>
          <w:b/>
        </w:rPr>
        <w:t>8.</w:t>
        <w:tab/>
      </w:r>
      <w:r>
        <w:t xml:space="preserve">Geben Sie im Feld </w:t>
      </w:r>
      <w:r>
        <w:rPr>
          <w:b/>
        </w:rPr>
        <w:t>Wert 1</w:t>
      </w:r>
      <w:r>
        <w:t xml:space="preserve"> ggf. einen Wert ein.</w:t>
      </w:r>
    </w:p>
    <w:p>
      <w:pPr>
        <w:tabs>
          <w:tab w:pos="425" w:val="left"/>
        </w:tabs>
        <w:spacing w:after="60"/>
        <w:ind w:left="425" w:hanging="425"/>
      </w:pPr>
      <w:r>
        <w:rPr>
          <w:b/>
        </w:rPr>
        <w:t>9.</w:t>
        <w:tab/>
      </w:r>
      <w:r>
        <w:t xml:space="preserve">Geben Sie im Feld </w:t>
      </w:r>
      <w:r>
        <w:rPr>
          <w:b/>
        </w:rPr>
        <w:t>Wert 2</w:t>
      </w:r>
      <w:r>
        <w:t xml:space="preserve"> ggf. einen Wert ein. Bei Wertebereichen kann diese Eingabe erforderlich sein.</w:t>
      </w:r>
    </w:p>
    <w:p>
      <w:pPr>
        <w:tabs>
          <w:tab w:pos="425" w:val="left"/>
        </w:tabs>
        <w:spacing w:after="60"/>
        <w:ind w:left="425" w:hanging="425"/>
      </w:pPr>
      <w:r>
        <w:rPr>
          <w:b/>
        </w:rPr>
        <w:t>10.</w:t>
        <w:tab/>
      </w:r>
      <w:r>
        <w:t xml:space="preserve">Tippen Sie auf das Icon </w:t>
      </w:r>
      <w:r>
        <w:rPr>
          <w:b/>
        </w:rPr>
        <w:t>Speichern</w:t>
      </w:r>
      <w:r>
        <w:t>. Die Bedarfsvorlage ist gespeichert.</w:t>
      </w:r>
    </w:p>
    <w:p>
      <w:r>
        <w:rPr>
          <w:b/>
        </w:rPr>
        <w:t>Bestehende Bedarfsvorlage ergänzen:</w:t>
      </w:r>
      <w:r>
        <w:t xml:space="preserve"> Öffnen Sie </w:t>
      </w:r>
      <w:r>
        <w:rPr>
          <w:b/>
        </w:rPr>
        <w:t>LM040 Übersicht WAMAS L&amp;S</w:t>
      </w:r>
      <w:r>
        <w:t xml:space="preserve">, suchen Sie die Vorlage auf der Registerkarte </w:t>
      </w:r>
      <w:r>
        <w:rPr>
          <w:b/>
        </w:rPr>
        <w:t>Übersicht Vorlagen</w:t>
      </w:r>
      <w:r>
        <w:t xml:space="preserve"> über den Bereich </w:t>
      </w:r>
      <w:r>
        <w:rPr>
          <w:b/>
        </w:rPr>
        <w:t>Suchkriterien</w:t>
      </w:r>
      <w:r>
        <w:t xml:space="preserve">, wählen Sie sie aus und tippen Sie auf </w:t>
      </w:r>
      <w:r>
        <w:rPr>
          <w:b/>
        </w:rPr>
        <w:t>Bearbeiten</w:t>
      </w:r>
      <w:r>
        <w:t xml:space="preserve">. Im Dialog </w:t>
      </w:r>
      <w:r>
        <w:rPr>
          <w:b/>
        </w:rPr>
        <w:t>LM116 Bedarfsvorlage pflegen</w:t>
      </w:r>
      <w:r>
        <w:t xml:space="preserve"> gehen Sie wie ab Schritt 5 beschrieben vor.</w:t>
      </w:r>
    </w:p>
    <w:p>
      <w:pPr>
        <w:pStyle w:val="Quelle"/>
      </w:pPr>
      <w:r>
        <w:rPr>
          <w:b/>
        </w:rPr>
        <w:t xml:space="preserve">Quelle: </w:t>
      </w:r>
      <w:r>
        <w:rPr>
          <w:sz w:val="17"/>
        </w:rPr>
        <w:t>BH Kap. 5.3.1, 5.3.1.1, 5.3.1.2, 5.3.2 (S. 66–68)</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Wie aus einer Bedarfsvorlage ein konkreter Bedarf erzeugt wird (Bedienablauf), ist im BH 2.7 nicht beschrieben.</w:t>
            </w:r>
          </w:p>
          <w:p>
            <w:pPr>
              <w:spacing w:after="40"/>
            </w:pPr>
            <w:r>
              <w:rPr>
                <w:sz w:val="19"/>
              </w:rPr>
              <w:t>Ob vorhandene externe Referenzen einer Vorlage geändert oder gelöscht werden können, ist nicht beschrieben.</w:t>
            </w:r>
          </w:p>
        </w:tc>
      </w:tr>
    </w:tbl>
    <w:p>
      <w:pPr>
        <w:spacing w:after="40"/>
      </w:pPr>
    </w:p>
    <w:p>
      <w:pPr>
        <w:pStyle w:val="Heading2"/>
      </w:pPr>
      <w:r>
        <w:t>4.2 Externe Referenz beim manuellen Anlegen eines Bedarfs erfassen</w:t>
      </w:r>
    </w:p>
    <w:p>
      <w:r>
        <w:t>Das Vorgehen ist für Einlager-, Kommissionier- und Inventurbedarfe gleich. Wählen Sie zunächst den passenden Dialog: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701"/>
        <w:gridCol w:w="2608"/>
        <w:gridCol w:w="3628"/>
        <w:gridCol w:w="1587"/>
      </w:tblGrid>
      <w:tr>
        <w:trPr>
          <w:tblHeader w:val="true"/>
        </w:trPr>
        <w:tc>
          <w:tcPr>
            <w:tcW w:type="dxa" w:w="1701"/>
            <w:shd w:val="clear" w:color="auto" w:fill="FEEE19"/>
          </w:tcPr>
          <w:p>
            <w:pPr>
              <w:spacing w:after="0"/>
            </w:pPr>
            <w:r>
              <w:rPr>
                <w:b/>
                <w:sz w:val="17"/>
              </w:rPr>
              <w:t>Bedarfsart</w:t>
            </w:r>
          </w:p>
        </w:tc>
        <w:tc>
          <w:tcPr>
            <w:tcW w:type="dxa" w:w="2608"/>
            <w:shd w:val="clear" w:color="auto" w:fill="FEEE19"/>
          </w:tcPr>
          <w:p>
            <w:pPr>
              <w:spacing w:after="0"/>
            </w:pPr>
            <w:r>
              <w:rPr>
                <w:b/>
                <w:sz w:val="17"/>
              </w:rPr>
              <w:t>Desktop</w:t>
            </w:r>
          </w:p>
        </w:tc>
        <w:tc>
          <w:tcPr>
            <w:tcW w:type="dxa" w:w="3628"/>
            <w:shd w:val="clear" w:color="auto" w:fill="FEEE19"/>
          </w:tcPr>
          <w:p>
            <w:pPr>
              <w:spacing w:after="0"/>
            </w:pPr>
            <w:r>
              <w:rPr>
                <w:b/>
                <w:sz w:val="17"/>
              </w:rPr>
              <w:t>Touch-Client</w:t>
            </w:r>
          </w:p>
        </w:tc>
        <w:tc>
          <w:tcPr>
            <w:tcW w:type="dxa" w:w="1587"/>
            <w:shd w:val="clear" w:color="auto" w:fill="FEEE19"/>
          </w:tcPr>
          <w:p>
            <w:pPr>
              <w:spacing w:after="0"/>
            </w:pPr>
            <w:r>
              <w:rPr>
                <w:b/>
                <w:sz w:val="17"/>
              </w:rPr>
              <w:t>Quelle</w:t>
            </w:r>
          </w:p>
        </w:tc>
      </w:tr>
      <w:tr>
        <w:tc>
          <w:tcPr>
            <w:tcW w:type="dxa" w:w="1701"/>
          </w:tcPr>
          <w:p>
            <w:pPr>
              <w:spacing w:after="0" w:line="252" w:lineRule="auto"/>
            </w:pPr>
            <w:r>
              <w:rPr>
                <w:sz w:val="17"/>
              </w:rPr>
              <w:t>Einlagerbedarf</w:t>
            </w:r>
          </w:p>
        </w:tc>
        <w:tc>
          <w:tcPr>
            <w:tcW w:type="dxa" w:w="2608"/>
          </w:tcPr>
          <w:p>
            <w:pPr>
              <w:spacing w:after="0" w:line="252" w:lineRule="auto"/>
            </w:pPr>
            <w:r>
              <w:rPr>
                <w:b/>
                <w:sz w:val="17"/>
              </w:rPr>
              <w:t>LM081 Einlagerbedarf pflegen</w:t>
            </w:r>
            <w:r>
              <w:rPr>
                <w:sz w:val="17"/>
              </w:rPr>
              <w:t xml:space="preserve"> (Schritt 8)</w:t>
            </w:r>
          </w:p>
        </w:tc>
        <w:tc>
          <w:tcPr>
            <w:tcW w:type="dxa" w:w="3628"/>
          </w:tcPr>
          <w:p>
            <w:pPr>
              <w:spacing w:after="0" w:line="252" w:lineRule="auto"/>
            </w:pPr>
            <w:r>
              <w:rPr>
                <w:b/>
                <w:sz w:val="17"/>
              </w:rPr>
              <w:t>LM040</w:t>
            </w:r>
            <w:r>
              <w:rPr>
                <w:sz w:val="17"/>
              </w:rPr>
              <w:t xml:space="preserve"> › </w:t>
            </w:r>
            <w:r>
              <w:rPr>
                <w:b/>
                <w:sz w:val="17"/>
              </w:rPr>
              <w:t>Übersicht Aufträge</w:t>
            </w:r>
            <w:r>
              <w:rPr>
                <w:sz w:val="17"/>
              </w:rPr>
              <w:t xml:space="preserve"> › Icon </w:t>
            </w:r>
            <w:r>
              <w:rPr>
                <w:b/>
                <w:sz w:val="17"/>
              </w:rPr>
              <w:t>Einlagerbedarf anlegen</w:t>
            </w:r>
            <w:r>
              <w:rPr>
                <w:sz w:val="17"/>
              </w:rPr>
              <w:t xml:space="preserve"> → </w:t>
            </w:r>
            <w:r>
              <w:rPr>
                <w:b/>
                <w:sz w:val="17"/>
              </w:rPr>
              <w:t>LM086 Einlagerbedarf anlegen</w:t>
            </w:r>
            <w:r>
              <w:rPr>
                <w:sz w:val="17"/>
              </w:rPr>
              <w:t xml:space="preserve"> (Schritt 8)</w:t>
            </w:r>
          </w:p>
        </w:tc>
        <w:tc>
          <w:tcPr>
            <w:tcW w:type="dxa" w:w="1587"/>
          </w:tcPr>
          <w:p>
            <w:pPr>
              <w:spacing w:after="0" w:line="252" w:lineRule="auto"/>
            </w:pPr>
            <w:r>
              <w:rPr>
                <w:sz w:val="17"/>
              </w:rPr>
              <w:t>BH 6.2.1.1.2, 6.2.1.1.3</w:t>
            </w:r>
          </w:p>
        </w:tc>
      </w:tr>
      <w:tr>
        <w:tc>
          <w:tcPr>
            <w:tcW w:type="dxa" w:w="1701"/>
          </w:tcPr>
          <w:p>
            <w:pPr>
              <w:spacing w:after="0" w:line="252" w:lineRule="auto"/>
            </w:pPr>
            <w:r>
              <w:rPr>
                <w:sz w:val="17"/>
              </w:rPr>
              <w:t>Kommissionierbedarf</w:t>
            </w:r>
          </w:p>
        </w:tc>
        <w:tc>
          <w:tcPr>
            <w:tcW w:type="dxa" w:w="2608"/>
          </w:tcPr>
          <w:p>
            <w:pPr>
              <w:spacing w:after="0" w:line="252" w:lineRule="auto"/>
            </w:pPr>
            <w:r>
              <w:rPr>
                <w:b/>
                <w:sz w:val="17"/>
              </w:rPr>
              <w:t>LM072 Kommissionierbedarf pflegen</w:t>
            </w:r>
            <w:r>
              <w:rPr>
                <w:sz w:val="17"/>
              </w:rPr>
              <w:t xml:space="preserve"> (Schritt 7)</w:t>
            </w:r>
          </w:p>
        </w:tc>
        <w:tc>
          <w:tcPr>
            <w:tcW w:type="dxa" w:w="3628"/>
          </w:tcPr>
          <w:p>
            <w:pPr>
              <w:spacing w:after="0" w:line="252" w:lineRule="auto"/>
            </w:pPr>
            <w:r>
              <w:rPr>
                <w:b/>
                <w:sz w:val="17"/>
              </w:rPr>
              <w:t>LM040</w:t>
            </w:r>
            <w:r>
              <w:rPr>
                <w:sz w:val="17"/>
              </w:rPr>
              <w:t xml:space="preserve"> › </w:t>
            </w:r>
            <w:r>
              <w:rPr>
                <w:b/>
                <w:sz w:val="17"/>
              </w:rPr>
              <w:t>Übersicht Aufträge</w:t>
            </w:r>
            <w:r>
              <w:rPr>
                <w:sz w:val="17"/>
              </w:rPr>
              <w:t xml:space="preserve"> › Icon </w:t>
            </w:r>
            <w:r>
              <w:rPr>
                <w:b/>
                <w:sz w:val="17"/>
              </w:rPr>
              <w:t>Kommissionierbedarf anlegen</w:t>
            </w:r>
            <w:r>
              <w:rPr>
                <w:sz w:val="17"/>
              </w:rPr>
              <w:t xml:space="preserve"> → </w:t>
            </w:r>
            <w:r>
              <w:rPr>
                <w:b/>
                <w:sz w:val="17"/>
              </w:rPr>
              <w:t>LM087 Kommissionierbedarf anlegen</w:t>
            </w:r>
            <w:r>
              <w:rPr>
                <w:sz w:val="17"/>
              </w:rPr>
              <w:t xml:space="preserve"> (Schritt 7)</w:t>
            </w:r>
          </w:p>
        </w:tc>
        <w:tc>
          <w:tcPr>
            <w:tcW w:type="dxa" w:w="1587"/>
          </w:tcPr>
          <w:p>
            <w:pPr>
              <w:spacing w:after="0" w:line="252" w:lineRule="auto"/>
            </w:pPr>
            <w:r>
              <w:rPr>
                <w:sz w:val="17"/>
              </w:rPr>
              <w:t>BH 6.2.2.1.2, 6.2.2.1.3</w:t>
            </w:r>
          </w:p>
        </w:tc>
      </w:tr>
      <w:tr>
        <w:tc>
          <w:tcPr>
            <w:tcW w:type="dxa" w:w="1701"/>
          </w:tcPr>
          <w:p>
            <w:pPr>
              <w:spacing w:after="0" w:line="252" w:lineRule="auto"/>
            </w:pPr>
            <w:r>
              <w:rPr>
                <w:sz w:val="17"/>
              </w:rPr>
              <w:t>Inventurbedarf</w:t>
            </w:r>
          </w:p>
        </w:tc>
        <w:tc>
          <w:tcPr>
            <w:tcW w:type="dxa" w:w="2608"/>
          </w:tcPr>
          <w:p>
            <w:pPr>
              <w:spacing w:after="0" w:line="252" w:lineRule="auto"/>
            </w:pPr>
            <w:r>
              <w:rPr>
                <w:b/>
                <w:sz w:val="17"/>
              </w:rPr>
              <w:t>LM091 Inventurbedarf pflegen</w:t>
            </w:r>
            <w:r>
              <w:rPr>
                <w:sz w:val="17"/>
              </w:rPr>
              <w:t xml:space="preserve"> (Schritt 20)</w:t>
            </w:r>
          </w:p>
        </w:tc>
        <w:tc>
          <w:tcPr>
            <w:tcW w:type="dxa" w:w="3628"/>
          </w:tcPr>
          <w:p>
            <w:pPr>
              <w:spacing w:after="0" w:line="252" w:lineRule="auto"/>
            </w:pPr>
            <w:r>
              <w:rPr>
                <w:sz w:val="17"/>
              </w:rPr>
              <w:t>nicht beschrieben</w:t>
            </w:r>
          </w:p>
        </w:tc>
        <w:tc>
          <w:tcPr>
            <w:tcW w:type="dxa" w:w="1587"/>
          </w:tcPr>
          <w:p>
            <w:pPr>
              <w:spacing w:after="0" w:line="252" w:lineRule="auto"/>
            </w:pPr>
            <w:r>
              <w:rPr>
                <w:sz w:val="17"/>
              </w:rPr>
              <w:t>BH 6.2.3.1.2</w:t>
            </w:r>
          </w:p>
        </w:tc>
      </w:tr>
    </w:tbl>
    <w:p>
      <w:pPr>
        <w:pStyle w:val="BeschriftungSSI"/>
      </w:pPr>
      <w:r>
        <w:t>Tab. 4: Dialoge zum Anlegen von Bedarfen mit externer Referenz</w:t>
      </w:r>
    </w:p>
    <w:p>
      <w:pPr>
        <w:spacing w:after="40"/>
      </w:pPr>
      <w:r>
        <w:rPr>
          <w:b/>
        </w:rPr>
        <w:t>So gehen Sie vor:</w:t>
      </w:r>
    </w:p>
    <w:p>
      <w:pPr>
        <w:tabs>
          <w:tab w:pos="425" w:val="left"/>
        </w:tabs>
        <w:spacing w:after="60"/>
        <w:ind w:left="425" w:hanging="425"/>
      </w:pPr>
      <w:r>
        <w:rPr>
          <w:b/>
        </w:rPr>
        <w:t>1.</w:t>
        <w:tab/>
      </w:r>
      <w:r>
        <w:t xml:space="preserve">Öffnen Sie den Dialog aus Tab. 4 und erfassen Sie wie gewohnt die Kopfdaten (z. B. </w:t>
      </w:r>
      <w:r>
        <w:rPr>
          <w:b/>
        </w:rPr>
        <w:t>Klient</w:t>
      </w:r>
      <w:r>
        <w:t xml:space="preserve">, </w:t>
      </w:r>
      <w:r>
        <w:rPr>
          <w:b/>
        </w:rPr>
        <w:t>Lagerstandort</w:t>
      </w:r>
      <w:r>
        <w:t xml:space="preserve">, </w:t>
      </w:r>
      <w:r>
        <w:rPr>
          <w:b/>
        </w:rPr>
        <w:t>Systempartner</w:t>
      </w:r>
      <w:r>
        <w:t xml:space="preserve">, </w:t>
      </w:r>
      <w:r>
        <w:rPr>
          <w:b/>
        </w:rPr>
        <w:t>Priorität</w:t>
      </w:r>
      <w:r>
        <w:t xml:space="preserve">, Bedarfstyp, </w:t>
      </w:r>
      <w:r>
        <w:rPr>
          <w:b/>
        </w:rPr>
        <w:t>WAMAS Lift &amp; Store-Zone</w:t>
      </w:r>
      <w:r>
        <w:t>) sowie die Bedarfszeilen.</w:t>
      </w:r>
    </w:p>
    <w:p>
      <w:pPr>
        <w:tabs>
          <w:tab w:pos="425" w:val="left"/>
        </w:tabs>
        <w:spacing w:after="60"/>
        <w:ind w:left="425" w:hanging="425"/>
      </w:pPr>
      <w:r>
        <w:rPr>
          <w:b/>
        </w:rPr>
        <w:t>2.</w:t>
        <w:tab/>
      </w:r>
      <w:r>
        <w:t xml:space="preserve">Wechseln Sie auf die Registerkarte </w:t>
      </w:r>
      <w:r>
        <w:rPr>
          <w:b/>
        </w:rPr>
        <w:t>Externe Referenz</w:t>
      </w:r>
      <w:r>
        <w:t>.</w:t>
      </w:r>
    </w:p>
    <w:p>
      <w:pPr>
        <w:tabs>
          <w:tab w:pos="425" w:val="left"/>
        </w:tabs>
        <w:spacing w:after="60"/>
        <w:ind w:left="425" w:hanging="425"/>
      </w:pPr>
      <w:r>
        <w:rPr>
          <w:b/>
        </w:rPr>
        <w:t>3.</w:t>
        <w:tab/>
      </w:r>
      <w:r>
        <w:t xml:space="preserve">Klicken (Desktop) bzw. tippen (Touch-Client) Sie auf das Icon </w:t>
      </w:r>
      <w:r>
        <w:rPr>
          <w:b/>
        </w:rPr>
        <w:t>Datensatz anlegen</w:t>
      </w:r>
      <w:r>
        <w:t>.</w:t>
      </w:r>
    </w:p>
    <w:p>
      <w:pPr>
        <w:tabs>
          <w:tab w:pos="425" w:val="left"/>
        </w:tabs>
        <w:spacing w:after="60"/>
        <w:ind w:left="425" w:hanging="425"/>
      </w:pPr>
      <w:r>
        <w:rPr>
          <w:b/>
        </w:rPr>
        <w:t>4.</w:t>
        <w:tab/>
      </w:r>
      <w:r>
        <w:t xml:space="preserve">Geben Sie im Feld </w:t>
      </w:r>
      <w:r>
        <w:rPr>
          <w:b/>
        </w:rPr>
        <w:t>Schlüssel</w:t>
      </w:r>
      <w:r>
        <w:t xml:space="preserve"> einen eindeutigen Namen für die externe Referenz ein.</w:t>
      </w:r>
    </w:p>
    <w:p>
      <w:pPr>
        <w:tabs>
          <w:tab w:pos="425" w:val="left"/>
        </w:tabs>
        <w:spacing w:after="60"/>
        <w:ind w:left="425" w:hanging="425"/>
      </w:pPr>
      <w:r>
        <w:rPr>
          <w:b/>
        </w:rPr>
        <w:t>5.</w:t>
        <w:tab/>
      </w:r>
      <w:r>
        <w:t xml:space="preserve">Geben Sie im Feld </w:t>
      </w:r>
      <w:r>
        <w:rPr>
          <w:b/>
        </w:rPr>
        <w:t>Wert 1</w:t>
      </w:r>
      <w:r>
        <w:t xml:space="preserve"> ggf. einen Wert ein.</w:t>
      </w:r>
    </w:p>
    <w:p>
      <w:pPr>
        <w:tabs>
          <w:tab w:pos="425" w:val="left"/>
        </w:tabs>
        <w:spacing w:after="60"/>
        <w:ind w:left="425" w:hanging="425"/>
      </w:pPr>
      <w:r>
        <w:rPr>
          <w:b/>
        </w:rPr>
        <w:t>6.</w:t>
        <w:tab/>
      </w:r>
      <w:r>
        <w:t xml:space="preserve">Geben Sie im Feld </w:t>
      </w:r>
      <w:r>
        <w:rPr>
          <w:b/>
        </w:rPr>
        <w:t>Wert 2</w:t>
      </w:r>
      <w:r>
        <w:t xml:space="preserve"> ggf. einen Wert ein. Bei Wertebereichen kann diese Eingabe erforderlich sein.</w:t>
      </w:r>
    </w:p>
    <w:p>
      <w:pPr>
        <w:tabs>
          <w:tab w:pos="425" w:val="left"/>
        </w:tabs>
        <w:spacing w:after="60"/>
        <w:ind w:left="425" w:hanging="425"/>
      </w:pPr>
      <w:r>
        <w:rPr>
          <w:b/>
        </w:rPr>
        <w:t>7.</w:t>
        <w:tab/>
      </w:r>
      <w:r>
        <w:t>Wiederholen Sie die Schritte 3 bis 6 für weitere externe Referenzen.</w:t>
      </w:r>
    </w:p>
    <w:p>
      <w:pPr>
        <w:tabs>
          <w:tab w:pos="425" w:val="left"/>
        </w:tabs>
        <w:spacing w:after="60"/>
        <w:ind w:left="425" w:hanging="425"/>
      </w:pPr>
      <w:r>
        <w:rPr>
          <w:b/>
        </w:rPr>
        <w:t>8.</w:t>
        <w:tab/>
      </w:r>
      <w:r>
        <w:t xml:space="preserve">Bestätigen Sie mit dem Button </w:t>
      </w:r>
      <w:r>
        <w:rPr>
          <w:b/>
        </w:rPr>
        <w:t>Speichern</w:t>
      </w:r>
      <w:r>
        <w:t>.</w:t>
      </w:r>
    </w:p>
    <w:p>
      <w:r>
        <w:rPr>
          <w:b/>
        </w:rPr>
        <w:t>Ergebnis:</w:t>
      </w:r>
      <w:r>
        <w:t xml:space="preserve"> Der Bedarf ist mit den externen Referenzen gespeichert. Abhängig von den Einstellungen lautet der Hauptstatus </w:t>
      </w:r>
      <w:r>
        <w:rPr>
          <w:b/>
        </w:rPr>
        <w:t>Neu</w:t>
      </w:r>
      <w:r>
        <w:t xml:space="preserve"> oder </w:t>
      </w:r>
      <w:r>
        <w:rPr>
          <w:b/>
        </w:rPr>
        <w:t>Freigegeben</w:t>
      </w:r>
      <w:r>
        <w:t xml:space="preserve"> (Desktop) bzw. </w:t>
      </w:r>
      <w:r>
        <w:rPr>
          <w:b/>
        </w:rPr>
        <w:t>Neu</w:t>
      </w:r>
      <w:r>
        <w:t xml:space="preserve"> (Touch-Client; laut BH nur für Einlager- und Kommissionierbedarf beschrieben).</w:t>
      </w:r>
    </w:p>
    <w:p>
      <w:pPr>
        <w:pStyle w:val="Quelle"/>
      </w:pPr>
      <w:r>
        <w:rPr>
          <w:b/>
        </w:rPr>
        <w:t xml:space="preserve">Quelle: </w:t>
      </w:r>
      <w:r>
        <w:rPr>
          <w:sz w:val="17"/>
        </w:rPr>
        <w:t>BH Kap. 6.2.1.1.2 (S. 91–93), 6.2.1.1.3 (S. 93–94), 6.2.2.1.2 (S. 99–101), 6.2.2.1.3 (S. 101–102), 6.2.3.1.2 (S. 107–108)</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Schritt 7 (weitere Referenzen) leitet sich daraus ab, dass die Schnittstelle 0…n externe Referenzen je Bedarf zulässt (IF-ERP Kap. 6.1, 7.1, 8.1). Die BH-Anleitungen beschreiben jeweils das Anlegen eines Datensatzes.</w:t>
            </w:r>
          </w:p>
        </w:tc>
      </w:tr>
    </w:tbl>
    <w:p>
      <w:pPr>
        <w:spacing w:after="40"/>
      </w:pP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Ob im Dialog zum Erfassen der externen Referenz am Bedarf ebenfalls das Feld </w:t>
            </w:r>
            <w:r>
              <w:rPr>
                <w:b/>
                <w:sz w:val="19"/>
              </w:rPr>
              <w:t>Ursprung</w:t>
            </w:r>
            <w:r>
              <w:rPr>
                <w:sz w:val="19"/>
              </w:rPr>
              <w:t xml:space="preserve"> angezeigt wird und welcher Dialogname sich öffnet, ist in den Bedarfs-Anleitungen nicht angegeben (nur für die Bedarfsvorlage: </w:t>
            </w:r>
            <w:r>
              <w:rPr>
                <w:b/>
                <w:sz w:val="19"/>
              </w:rPr>
              <w:t>LM157</w:t>
            </w:r>
            <w:r>
              <w:rPr>
                <w:sz w:val="19"/>
              </w:rPr>
              <w:t>).</w:t>
            </w:r>
          </w:p>
          <w:p>
            <w:pPr>
              <w:spacing w:after="40"/>
            </w:pPr>
            <w:r>
              <w:rPr>
                <w:sz w:val="19"/>
              </w:rPr>
              <w:t>Das Anlegen eines Inventurbedarfs am Touch-Client ist nicht beschrieben.</w:t>
            </w:r>
          </w:p>
          <w:p>
            <w:pPr>
              <w:spacing w:after="40"/>
            </w:pPr>
            <w:r>
              <w:rPr>
                <w:sz w:val="19"/>
              </w:rPr>
              <w:t>Das nachträgliche Bearbeiten oder Löschen externer Referenzen an einem bestehenden Bedarf ist nicht beschrieben.</w:t>
            </w:r>
          </w:p>
        </w:tc>
      </w:tr>
    </w:tbl>
    <w:p>
      <w:pPr>
        <w:spacing w:after="40"/>
      </w:pPr>
    </w:p>
    <w:p>
      <w:pPr>
        <w:pStyle w:val="Heading2"/>
      </w:pPr>
      <w:r>
        <w:t>4.3 Externe Referenzen vom Systempartner empfangen</w:t>
      </w:r>
    </w:p>
    <w:p>
      <w:r>
        <w:t>Laut BH sendet der Systempartner Einlager-, Kommissionier- und Inventurbedarfe über die Schnittstelle an WAMAS. Externe Referenzen werden dabei als eigene Untersätze mitgeschickt:</w:t>
      </w:r>
    </w:p>
    <w:p>
      <w:pPr>
        <w:tabs>
          <w:tab w:pos="425" w:val="left"/>
        </w:tabs>
        <w:spacing w:after="60"/>
        <w:ind w:left="425" w:hanging="425"/>
      </w:pPr>
      <w:r>
        <w:rPr>
          <w:b/>
        </w:rPr>
        <w:t>1.</w:t>
        <w:tab/>
      </w:r>
      <w:r>
        <w:t>Erstellen Sie im ERP die Bedarfsnachricht mit dem Mastersatz (</w:t>
      </w:r>
      <w:r>
        <w:rPr>
          <w:rFonts w:ascii="Consolas" w:hAnsi="Consolas"/>
          <w:sz w:val="18"/>
        </w:rPr>
        <w:t>WLSSD002</w:t>
      </w:r>
      <w:r>
        <w:t xml:space="preserve">, </w:t>
      </w:r>
      <w:r>
        <w:rPr>
          <w:rFonts w:ascii="Consolas" w:hAnsi="Consolas"/>
          <w:sz w:val="18"/>
        </w:rPr>
        <w:t>WLSPD002</w:t>
      </w:r>
      <w:r>
        <w:t xml:space="preserve"> bzw. </w:t>
      </w:r>
      <w:r>
        <w:rPr>
          <w:rFonts w:ascii="Consolas" w:hAnsi="Consolas"/>
          <w:sz w:val="18"/>
        </w:rPr>
        <w:t>WLSINVD002</w:t>
      </w:r>
      <w:r>
        <w:t>) und den Bedarfszeilen.</w:t>
      </w:r>
    </w:p>
    <w:p>
      <w:pPr>
        <w:tabs>
          <w:tab w:pos="425" w:val="left"/>
        </w:tabs>
        <w:spacing w:after="60"/>
        <w:ind w:left="425" w:hanging="425"/>
      </w:pPr>
      <w:r>
        <w:rPr>
          <w:b/>
        </w:rPr>
        <w:t>2.</w:t>
        <w:tab/>
      </w:r>
      <w:r>
        <w:t>Fügen Sie für jede externe Referenz zum Bedarf einen Kopf-Untersatz hinzu (</w:t>
      </w:r>
      <w:r>
        <w:rPr>
          <w:rFonts w:ascii="Consolas" w:hAnsi="Consolas"/>
          <w:sz w:val="18"/>
        </w:rPr>
        <w:t>WLSSDEXTREF001</w:t>
      </w:r>
      <w:r>
        <w:t xml:space="preserve">, </w:t>
      </w:r>
      <w:r>
        <w:rPr>
          <w:rFonts w:ascii="Consolas" w:hAnsi="Consolas"/>
          <w:sz w:val="18"/>
        </w:rPr>
        <w:t>WLSPDEXTREF001</w:t>
      </w:r>
      <w:r>
        <w:t xml:space="preserve"> bzw. </w:t>
      </w:r>
      <w:r>
        <w:rPr>
          <w:rFonts w:ascii="Consolas" w:hAnsi="Consolas"/>
          <w:sz w:val="18"/>
        </w:rPr>
        <w:t>WLSINVDEXTREF001</w:t>
      </w:r>
      <w:r>
        <w:t xml:space="preserve">) mit </w:t>
      </w:r>
      <w:r>
        <w:rPr>
          <w:rFonts w:ascii="Consolas" w:hAnsi="Consolas"/>
          <w:sz w:val="18"/>
        </w:rPr>
        <w:t>clientId</w:t>
      </w:r>
      <w:r>
        <w:t xml:space="preserve">, </w:t>
      </w:r>
      <w:r>
        <w:rPr>
          <w:rFonts w:ascii="Consolas" w:hAnsi="Consolas"/>
          <w:sz w:val="18"/>
        </w:rPr>
        <w:t>demandNo</w:t>
      </w:r>
      <w:r>
        <w:t xml:space="preserve">, </w:t>
      </w:r>
      <w:r>
        <w:rPr>
          <w:rFonts w:ascii="Consolas" w:hAnsi="Consolas"/>
          <w:sz w:val="18"/>
        </w:rPr>
        <w:t>extRefKey</w:t>
      </w:r>
      <w:r>
        <w:t xml:space="preserve">, </w:t>
      </w:r>
      <w:r>
        <w:rPr>
          <w:rFonts w:ascii="Consolas" w:hAnsi="Consolas"/>
          <w:sz w:val="18"/>
        </w:rPr>
        <w:t>extRefVal1</w:t>
      </w:r>
      <w:r>
        <w:t xml:space="preserve">, </w:t>
      </w:r>
      <w:r>
        <w:rPr>
          <w:rFonts w:ascii="Consolas" w:hAnsi="Consolas"/>
          <w:sz w:val="18"/>
        </w:rPr>
        <w:t>extRefVal2</w:t>
      </w:r>
      <w:r>
        <w:t>.</w:t>
      </w:r>
    </w:p>
    <w:p>
      <w:pPr>
        <w:tabs>
          <w:tab w:pos="425" w:val="left"/>
        </w:tabs>
        <w:spacing w:after="60"/>
        <w:ind w:left="425" w:hanging="425"/>
      </w:pPr>
      <w:r>
        <w:rPr>
          <w:b/>
        </w:rPr>
        <w:t>3.</w:t>
        <w:tab/>
      </w:r>
      <w:r>
        <w:t>Fügen Sie für jede externe Referenz zu einer Zeile einen Zeilen-Untersatz hinzu (</w:t>
      </w:r>
      <w:r>
        <w:rPr>
          <w:rFonts w:ascii="Consolas" w:hAnsi="Consolas"/>
          <w:sz w:val="18"/>
        </w:rPr>
        <w:t>WLSSDLEXTREF001</w:t>
      </w:r>
      <w:r>
        <w:t xml:space="preserve">, </w:t>
      </w:r>
      <w:r>
        <w:rPr>
          <w:rFonts w:ascii="Consolas" w:hAnsi="Consolas"/>
          <w:sz w:val="18"/>
        </w:rPr>
        <w:t>WLSPDLEXTREF001</w:t>
      </w:r>
      <w:r>
        <w:t xml:space="preserve"> bzw. </w:t>
      </w:r>
      <w:r>
        <w:rPr>
          <w:rFonts w:ascii="Consolas" w:hAnsi="Consolas"/>
          <w:sz w:val="18"/>
        </w:rPr>
        <w:t>WLSINVDLEXTREF001</w:t>
      </w:r>
      <w:r>
        <w:t xml:space="preserve">) und geben Sie zusätzlich </w:t>
      </w:r>
      <w:r>
        <w:rPr>
          <w:rFonts w:ascii="Consolas" w:hAnsi="Consolas"/>
          <w:sz w:val="18"/>
        </w:rPr>
        <w:t>sysPartnerLine</w:t>
      </w:r>
      <w:r>
        <w:t xml:space="preserve"> der betreffenden Zeile an.</w:t>
      </w:r>
    </w:p>
    <w:p>
      <w:pPr>
        <w:tabs>
          <w:tab w:pos="425" w:val="left"/>
        </w:tabs>
        <w:spacing w:after="60"/>
        <w:ind w:left="425" w:hanging="425"/>
      </w:pPr>
      <w:r>
        <w:rPr>
          <w:b/>
        </w:rPr>
        <w:t>4.</w:t>
        <w:tab/>
      </w:r>
      <w:r>
        <w:t>Senden Sie die Nachricht über den konfigurierten Empfänger (Datei, Tabelle, REST usw.) an WAMAS Lift &amp; Store.</w:t>
      </w:r>
    </w:p>
    <w:p>
      <w:r>
        <w:t>Satzarten, Felder und Beispiele finden Sie in Kapitel 6.</w:t>
      </w:r>
    </w:p>
    <w:p>
      <w:pPr>
        <w:pStyle w:val="Quelle"/>
      </w:pPr>
      <w:r>
        <w:rPr>
          <w:b/>
        </w:rPr>
        <w:t xml:space="preserve">Quelle: </w:t>
      </w:r>
      <w:r>
        <w:rPr>
          <w:sz w:val="17"/>
        </w:rPr>
        <w:t>BH Kap. 6.2.1.1.1, 6.2.2.1.1, 6.2.3.1.1; IF-ERP Kap. 6.1, 7.1, 8.1; TB</w:t>
      </w:r>
    </w:p>
    <w:p>
      <w:pPr>
        <w:pStyle w:val="Heading2"/>
      </w:pPr>
      <w:r>
        <w:t>4.4 Externe Referenz durch Splitten eines Bedarfs</w:t>
      </w:r>
    </w:p>
    <w:p>
      <w:r>
        <w:t xml:space="preserve">Beim Splitten eines Bedarfs legt WAMAS Lift &amp; Store einen neuen Bedarf mit der Restmenge an. </w:t>
      </w:r>
      <w:r>
        <w:rPr>
          <w:b/>
        </w:rPr>
        <w:t>Dem neuen Bedarf wird automatisch eine externe Referenz hinzugefügt, welche die ursprüngliche Bedarfsnummer enthält.</w:t>
      </w:r>
      <w:r>
        <w:t xml:space="preserve"> So bleibt nachvollziehbar, aus welchem Bedarf der neue Bedarf entstanden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84"/>
        <w:gridCol w:w="7541"/>
      </w:tblGrid>
      <w:tr>
        <w:trPr>
          <w:tblHeader w:val="true"/>
        </w:trPr>
        <w:tc>
          <w:tcPr>
            <w:tcW w:type="dxa" w:w="1984"/>
            <w:shd w:val="clear" w:color="auto" w:fill="FEEE19"/>
          </w:tcPr>
          <w:p>
            <w:pPr>
              <w:spacing w:after="0"/>
            </w:pPr>
            <w:r>
              <w:rPr>
                <w:b/>
                <w:sz w:val="17"/>
              </w:rPr>
              <w:t>Bedarfsart</w:t>
            </w:r>
          </w:p>
        </w:tc>
        <w:tc>
          <w:tcPr>
            <w:tcW w:type="dxa" w:w="7540"/>
            <w:shd w:val="clear" w:color="auto" w:fill="FEEE19"/>
          </w:tcPr>
          <w:p>
            <w:pPr>
              <w:spacing w:after="0"/>
            </w:pPr>
            <w:r>
              <w:rPr>
                <w:b/>
                <w:sz w:val="17"/>
              </w:rPr>
              <w:t>Voraussetzungen laut BH</w:t>
            </w:r>
          </w:p>
        </w:tc>
      </w:tr>
      <w:tr>
        <w:tc>
          <w:tcPr>
            <w:tcW w:type="dxa" w:w="1984"/>
          </w:tcPr>
          <w:p>
            <w:pPr>
              <w:spacing w:after="0" w:line="252" w:lineRule="auto"/>
            </w:pPr>
            <w:r>
              <w:rPr>
                <w:sz w:val="17"/>
              </w:rPr>
              <w:t>Einlagerbedarf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gelieferte Menge kleiner als bestellte Menge; es wurde bereits eine Menge eingelagert.</w:t>
            </w:r>
          </w:p>
        </w:tc>
      </w:tr>
      <w:tr>
        <w:tc>
          <w:tcPr>
            <w:tcW w:type="dxa" w:w="1984"/>
          </w:tcPr>
          <w:p>
            <w:pPr>
              <w:spacing w:after="0" w:line="252" w:lineRule="auto"/>
            </w:pPr>
            <w:r>
              <w:rPr>
                <w:sz w:val="17"/>
              </w:rPr>
              <w:t>Kommissionierbedarf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gelieferte Menge kleiner als bestellte Menge; es wurde bereits eine Menge kommissioniert.</w:t>
            </w:r>
          </w:p>
        </w:tc>
      </w:tr>
      <w:tr>
        <w:tc>
          <w:tcPr>
            <w:tcW w:type="dxa" w:w="1984"/>
          </w:tcPr>
          <w:p>
            <w:pPr>
              <w:spacing w:after="0" w:line="252" w:lineRule="auto"/>
            </w:pPr>
            <w:r>
              <w:rPr>
                <w:sz w:val="17"/>
              </w:rPr>
              <w:t>Inventurbedarf</w:t>
            </w:r>
          </w:p>
        </w:tc>
        <w:tc>
          <w:tcPr>
            <w:tcW w:type="dxa" w:w="7540"/>
          </w:tcPr>
          <w:p>
            <w:pPr>
              <w:spacing w:after="0" w:line="252" w:lineRule="auto"/>
            </w:pPr>
            <w:r>
              <w:rPr>
                <w:sz w:val="17"/>
              </w:rPr>
              <w:t xml:space="preserve">Hauptstatus </w:t>
            </w:r>
            <w:r>
              <w:rPr>
                <w:b/>
                <w:sz w:val="17"/>
              </w:rPr>
              <w:t>Aktiv</w:t>
            </w:r>
            <w:r>
              <w:rPr>
                <w:sz w:val="17"/>
              </w:rPr>
              <w:t xml:space="preserve"> oder </w:t>
            </w:r>
            <w:r>
              <w:rPr>
                <w:b/>
                <w:sz w:val="17"/>
              </w:rPr>
              <w:t>Reserviert</w:t>
            </w:r>
            <w:r>
              <w:rPr>
                <w:sz w:val="17"/>
              </w:rPr>
              <w:t>; mindestens ein Zählergebnis wurde erfasst.</w:t>
            </w:r>
          </w:p>
        </w:tc>
      </w:tr>
    </w:tbl>
    <w:p>
      <w:pPr>
        <w:pStyle w:val="BeschriftungSSI"/>
      </w:pPr>
      <w:r>
        <w:t>Tab. 5: Voraussetzungen für das Splitten</w:t>
      </w:r>
    </w:p>
    <w:p>
      <w:pPr>
        <w:spacing w:after="40"/>
      </w:pPr>
      <w:r>
        <w:rPr>
          <w:b/>
        </w:rPr>
        <w:t>Am Desktop splitten:</w:t>
      </w:r>
    </w:p>
    <w:p>
      <w:pPr>
        <w:tabs>
          <w:tab w:pos="425" w:val="left"/>
        </w:tabs>
        <w:spacing w:after="60"/>
        <w:ind w:left="425" w:hanging="425"/>
      </w:pPr>
      <w:r>
        <w:rPr>
          <w:b/>
        </w:rPr>
        <w:t>1.</w:t>
        <w:tab/>
      </w:r>
      <w:r>
        <w:t xml:space="preserve">Öffnen Sie die Übersicht der Bedarfsart: </w:t>
      </w:r>
      <w:r>
        <w:rPr>
          <w:b/>
        </w:rPr>
        <w:t>LM080 Übersicht Einlagerbedarfe</w:t>
      </w:r>
      <w:r>
        <w:t xml:space="preserve">, </w:t>
      </w:r>
      <w:r>
        <w:rPr>
          <w:b/>
        </w:rPr>
        <w:t>LM071 Übersicht Kommissionierbedarfe</w:t>
      </w:r>
      <w:r>
        <w:t xml:space="preserve"> oder </w:t>
      </w:r>
      <w:r>
        <w:rPr>
          <w:b/>
        </w:rPr>
        <w:t>LM090 Übersicht Inventurbedarfe</w:t>
      </w:r>
      <w:r>
        <w:t>.</w:t>
      </w:r>
    </w:p>
    <w:p>
      <w:pPr>
        <w:tabs>
          <w:tab w:pos="425" w:val="left"/>
        </w:tabs>
        <w:spacing w:after="60"/>
        <w:ind w:left="425" w:hanging="425"/>
      </w:pPr>
      <w:r>
        <w:rPr>
          <w:b/>
        </w:rPr>
        <w:t>2.</w:t>
        <w:tab/>
      </w:r>
      <w:r>
        <w:t xml:space="preserve">Suchen Sie den Bedarf über </w:t>
      </w:r>
      <w:r>
        <w:rPr>
          <w:b/>
        </w:rPr>
        <w:t>Suche</w:t>
      </w:r>
      <w:r>
        <w:t xml:space="preserve"> oder </w:t>
      </w:r>
      <w:r>
        <w:rPr>
          <w:b/>
        </w:rPr>
        <w:t>Erweiterte Suche</w:t>
      </w:r>
      <w:r>
        <w:t xml:space="preserve"> und wählen Sie ihn aus.</w:t>
      </w:r>
    </w:p>
    <w:p>
      <w:pPr>
        <w:tabs>
          <w:tab w:pos="425" w:val="left"/>
        </w:tabs>
        <w:spacing w:after="60"/>
        <w:ind w:left="425" w:hanging="425"/>
      </w:pPr>
      <w:r>
        <w:rPr>
          <w:b/>
        </w:rPr>
        <w:t>3.</w:t>
        <w:tab/>
      </w:r>
      <w:r>
        <w:t xml:space="preserve">Klicken Sie mit der rechten Maustaste auf den Bedarf und wählen Sie im Kontextmenü </w:t>
      </w:r>
      <w:r>
        <w:rPr>
          <w:b/>
        </w:rPr>
        <w:t>Splitten</w:t>
      </w:r>
      <w:r>
        <w:t>.</w:t>
      </w:r>
    </w:p>
    <w:p>
      <w:pPr>
        <w:tabs>
          <w:tab w:pos="425" w:val="left"/>
        </w:tabs>
        <w:spacing w:after="60"/>
        <w:ind w:left="425" w:hanging="425"/>
      </w:pPr>
      <w:r>
        <w:rPr>
          <w:b/>
        </w:rPr>
        <w:t>4.</w:t>
        <w:tab/>
      </w:r>
      <w:r>
        <w:t>Bestätigen Sie den Bestätigungsdialog.</w:t>
      </w:r>
    </w:p>
    <w:p>
      <w:pPr>
        <w:spacing w:after="40"/>
      </w:pPr>
      <w:r>
        <w:rPr>
          <w:b/>
        </w:rPr>
        <w:t>Am Touch-Client splitten:</w:t>
      </w:r>
    </w:p>
    <w:p>
      <w:pPr>
        <w:tabs>
          <w:tab w:pos="425" w:val="left"/>
        </w:tabs>
        <w:spacing w:after="60"/>
        <w:ind w:left="425" w:hanging="425"/>
      </w:pPr>
      <w:r>
        <w:rPr>
          <w:b/>
        </w:rPr>
        <w:t>1.</w:t>
        <w:tab/>
      </w:r>
      <w:r>
        <w:t xml:space="preserve">Öffnen Sie </w:t>
      </w:r>
      <w:r>
        <w:rPr>
          <w:b/>
        </w:rPr>
        <w:t>LM040 Übersicht WAMAS L&amp;S</w:t>
      </w:r>
      <w:r>
        <w:t>.</w:t>
      </w:r>
    </w:p>
    <w:p>
      <w:pPr>
        <w:tabs>
          <w:tab w:pos="425" w:val="left"/>
        </w:tabs>
        <w:spacing w:after="60"/>
        <w:ind w:left="425" w:hanging="425"/>
      </w:pPr>
      <w:r>
        <w:rPr>
          <w:b/>
        </w:rPr>
        <w:t>2.</w:t>
        <w:tab/>
      </w:r>
      <w:r>
        <w:t xml:space="preserve">Suchen Sie den Bedarf über </w:t>
      </w:r>
      <w:r>
        <w:rPr>
          <w:b/>
        </w:rPr>
        <w:t>Suche</w:t>
      </w:r>
      <w:r>
        <w:t xml:space="preserve"> oder </w:t>
      </w:r>
      <w:r>
        <w:rPr>
          <w:b/>
        </w:rPr>
        <w:t>Erweiterte Suche</w:t>
      </w:r>
      <w:r>
        <w:t xml:space="preserve"> und wählen Sie ihn aus.</w:t>
      </w:r>
    </w:p>
    <w:p>
      <w:pPr>
        <w:tabs>
          <w:tab w:pos="425" w:val="left"/>
        </w:tabs>
        <w:spacing w:after="60"/>
        <w:ind w:left="425" w:hanging="425"/>
      </w:pPr>
      <w:r>
        <w:rPr>
          <w:b/>
        </w:rPr>
        <w:t>3.</w:t>
        <w:tab/>
      </w:r>
      <w:r>
        <w:t xml:space="preserve">Tippen Sie auf das Icon </w:t>
      </w:r>
      <w:r>
        <w:rPr>
          <w:b/>
        </w:rPr>
        <w:t>Details</w:t>
      </w:r>
      <w:r>
        <w:t xml:space="preserve">. Es öffnet sich </w:t>
      </w:r>
      <w:r>
        <w:rPr>
          <w:b/>
        </w:rPr>
        <w:t>LM023 Einlagerbedarfsdetails anzeigen</w:t>
      </w:r>
      <w:r>
        <w:t xml:space="preserve">, </w:t>
      </w:r>
      <w:r>
        <w:rPr>
          <w:b/>
        </w:rPr>
        <w:t>LM026 Kommissionierbedarfsdetails anzeigen</w:t>
      </w:r>
      <w:r>
        <w:t xml:space="preserve"> bzw. </w:t>
      </w:r>
      <w:r>
        <w:rPr>
          <w:b/>
        </w:rPr>
        <w:t>LM028 Inventurbedarfsdetails anzeigen</w:t>
      </w:r>
      <w:r>
        <w:t>.</w:t>
      </w:r>
    </w:p>
    <w:p>
      <w:pPr>
        <w:tabs>
          <w:tab w:pos="425" w:val="left"/>
        </w:tabs>
        <w:spacing w:after="60"/>
        <w:ind w:left="425" w:hanging="425"/>
      </w:pPr>
      <w:r>
        <w:rPr>
          <w:b/>
        </w:rPr>
        <w:t>4.</w:t>
        <w:tab/>
      </w:r>
      <w:r>
        <w:t xml:space="preserve">Tippen Sie auf das Icon </w:t>
      </w:r>
      <w:r>
        <w:rPr>
          <w:b/>
        </w:rPr>
        <w:t>Splitten</w:t>
      </w:r>
      <w:r>
        <w:t xml:space="preserve"> und bestätigen Sie die Frage mit </w:t>
      </w:r>
      <w:r>
        <w:rPr>
          <w:b/>
        </w:rPr>
        <w:t>Ja</w:t>
      </w:r>
      <w:r>
        <w:t>.</w:t>
      </w:r>
    </w:p>
    <w:p>
      <w:r>
        <w:rPr>
          <w:b/>
        </w:rPr>
        <w:t>Ergebnis:</w:t>
      </w:r>
      <w:r>
        <w:t xml:space="preserve"> Ein neuer Bedarf mit der restlichen Menge wird angelegt (Hauptstatus </w:t>
      </w:r>
      <w:r>
        <w:rPr>
          <w:b/>
        </w:rPr>
        <w:t>Aktiv</w:t>
      </w:r>
      <w:r>
        <w:t xml:space="preserve">); der ursprüngliche Bedarf erhält den Hauptstatus </w:t>
      </w:r>
      <w:r>
        <w:rPr>
          <w:b/>
        </w:rPr>
        <w:t>Fertiggestellt</w:t>
      </w:r>
      <w:r>
        <w:t>. Der neue Bedarf trägt eine externe Referenz mit der ursprünglichen Bedarfsnummer.</w:t>
      </w:r>
    </w:p>
    <w:p>
      <w:pPr>
        <w:pStyle w:val="Quelle"/>
      </w:pPr>
      <w:r>
        <w:rPr>
          <w:b/>
        </w:rPr>
        <w:t xml:space="preserve">Quelle: </w:t>
      </w:r>
      <w:r>
        <w:rPr>
          <w:sz w:val="17"/>
        </w:rPr>
        <w:t>BH Kap. 6.4.7, 6.4.8, 6.4.9 (S. 135–138)</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Welcher </w:t>
            </w:r>
            <w:r>
              <w:rPr>
                <w:b/>
                <w:sz w:val="19"/>
              </w:rPr>
              <w:t>Schlüssel</w:t>
            </w:r>
            <w:r>
              <w:rPr>
                <w:sz w:val="19"/>
              </w:rPr>
              <w:t xml:space="preserve"> für die beim Splitten automatisch erzeugte externe Referenz verwendet wird und in welchem Wertfeld die ursprüngliche Bedarfsnummer steht, ist nicht beschrieben.</w:t>
            </w:r>
          </w:p>
          <w:p>
            <w:pPr>
              <w:spacing w:after="40"/>
            </w:pPr>
            <w:r>
              <w:rPr>
                <w:sz w:val="19"/>
              </w:rPr>
              <w:t>Ob diese automatisch erzeugte Referenz in der Quittierung an das ERP mitgesendet wird, ist nicht beschrieben.</w:t>
            </w:r>
          </w:p>
        </w:tc>
      </w:tr>
    </w:tbl>
    <w:p>
      <w:pPr>
        <w:spacing w:after="40"/>
      </w:pPr>
    </w:p>
    <w:p>
      <w:pPr>
        <w:pStyle w:val="Heading2"/>
      </w:pPr>
      <w:r>
        <w:t>4.5 Externe Referenzen anzeigen, suchen, ändern</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Die Unterlagen beschreiben weder eine Anzeige der externen Referenzen bestehender Bedarfe noch eine Suche oder Filterung danach, noch das Ändern oder Löschen.</w:t>
            </w:r>
          </w:p>
          <w:p>
            <w:pPr>
              <w:spacing w:after="40"/>
            </w:pPr>
            <w:r>
              <w:rPr>
                <w:sz w:val="19"/>
              </w:rPr>
              <w:t>Das Bearbeiten und Löschen ist nur für Bedarfs</w:t>
            </w:r>
            <w:r>
              <w:rPr>
                <w:b/>
                <w:sz w:val="19"/>
              </w:rPr>
              <w:t>zeilen</w:t>
            </w:r>
            <w:r>
              <w:rPr>
                <w:sz w:val="19"/>
              </w:rPr>
              <w:t xml:space="preserve"> beschrieben (Icons </w:t>
            </w:r>
            <w:r>
              <w:rPr>
                <w:b/>
                <w:sz w:val="19"/>
              </w:rPr>
              <w:t>Datensatz bearbeiten</w:t>
            </w:r>
            <w:r>
              <w:rPr>
                <w:sz w:val="19"/>
              </w:rPr>
              <w:t xml:space="preserve"> / </w:t>
            </w:r>
            <w:r>
              <w:rPr>
                <w:b/>
                <w:sz w:val="19"/>
              </w:rPr>
              <w:t>Datensatz löschen</w:t>
            </w:r>
            <w:r>
              <w:rPr>
                <w:sz w:val="19"/>
              </w:rPr>
              <w:t>), nicht für externe Referenzen.</w:t>
            </w:r>
          </w:p>
        </w:tc>
      </w:tr>
    </w:tbl>
    <w:p>
      <w:pPr>
        <w:spacing w:after="40"/>
      </w:pPr>
    </w:p>
    <w:p>
      <w:pPr>
        <w:pStyle w:val="Heading1"/>
      </w:pPr>
      <w:r>
        <w:t>5 Konfiguration und Administration</w:t>
      </w:r>
    </w:p>
    <w:p>
      <w:pPr>
        <w:pStyle w:val="Heading2"/>
      </w:pPr>
      <w:r>
        <w:t>5.1 Externe Referenzen in ERP-Quittierungen mitsenden (MD096)</w:t>
      </w:r>
    </w:p>
    <w:p>
      <w:r>
        <w:t xml:space="preserve">Im Dialog </w:t>
      </w:r>
      <w:r>
        <w:rPr>
          <w:b/>
        </w:rPr>
        <w:t>MD096 Systempartnerschnittstelle pflegen (WAMAS als WMS zu ERP)</w:t>
      </w:r>
      <w:r>
        <w:t xml:space="preserve"> legen Sie fest, welche Informationen die ausgehenden Systempartnernachrichten (outSPM) an das ERP enthalten. Auf mehreren Quittierungs-Registerkarten gibt es dafür die Checkbox </w:t>
      </w:r>
      <w:r>
        <w:rPr>
          <w:b/>
        </w:rPr>
        <w:t>Externe Referenzen inkludieren</w:t>
      </w:r>
      <w: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08"/>
        <w:gridCol w:w="4536"/>
        <w:gridCol w:w="2381"/>
      </w:tblGrid>
      <w:tr>
        <w:trPr>
          <w:tblHeader w:val="true"/>
        </w:trPr>
        <w:tc>
          <w:tcPr>
            <w:tcW w:type="dxa" w:w="2608"/>
            <w:shd w:val="clear" w:color="auto" w:fill="FEEE19"/>
          </w:tcPr>
          <w:p>
            <w:pPr>
              <w:spacing w:after="0"/>
            </w:pPr>
            <w:r>
              <w:rPr>
                <w:b/>
                <w:sz w:val="17"/>
              </w:rPr>
              <w:t>Registerkarte in MD096</w:t>
            </w:r>
          </w:p>
        </w:tc>
        <w:tc>
          <w:tcPr>
            <w:tcW w:type="dxa" w:w="4535"/>
            <w:shd w:val="clear" w:color="auto" w:fill="FEEE19"/>
          </w:tcPr>
          <w:p>
            <w:pPr>
              <w:spacing w:after="0"/>
            </w:pPr>
            <w:r>
              <w:rPr>
                <w:b/>
                <w:sz w:val="17"/>
              </w:rPr>
              <w:t>Wortlaut im AH</w:t>
            </w:r>
          </w:p>
        </w:tc>
        <w:tc>
          <w:tcPr>
            <w:tcW w:type="dxa" w:w="2381"/>
            <w:shd w:val="clear" w:color="auto" w:fill="FEEE19"/>
          </w:tcPr>
          <w:p>
            <w:pPr>
              <w:spacing w:after="0"/>
            </w:pPr>
            <w:r>
              <w:rPr>
                <w:b/>
                <w:sz w:val="17"/>
              </w:rPr>
              <w:t>Kapitel (Schritt)</w:t>
            </w:r>
          </w:p>
        </w:tc>
      </w:tr>
      <w:tr>
        <w:tc>
          <w:tcPr>
            <w:tcW w:type="dxa" w:w="2608"/>
          </w:tcPr>
          <w:p>
            <w:pPr>
              <w:spacing w:after="0" w:line="252" w:lineRule="auto"/>
            </w:pPr>
            <w:r>
              <w:rPr>
                <w:b/>
                <w:sz w:val="17"/>
              </w:rPr>
              <w:t>Quittierung WE-Auftrag</w:t>
            </w:r>
          </w:p>
        </w:tc>
        <w:tc>
          <w:tcPr>
            <w:tcW w:type="dxa" w:w="4535"/>
          </w:tcPr>
          <w:p>
            <w:pPr>
              <w:spacing w:after="0" w:line="252" w:lineRule="auto"/>
            </w:pPr>
            <w:r>
              <w:rPr>
                <w:sz w:val="17"/>
              </w:rPr>
              <w:t>„Wenn die outSPM Informationen zu externen Referenzen enthalten soll …“</w:t>
            </w:r>
          </w:p>
        </w:tc>
        <w:tc>
          <w:tcPr>
            <w:tcW w:type="dxa" w:w="2381"/>
          </w:tcPr>
          <w:p>
            <w:pPr>
              <w:spacing w:after="0" w:line="252" w:lineRule="auto"/>
            </w:pPr>
            <w:r>
              <w:rPr>
                <w:sz w:val="17"/>
              </w:rPr>
              <w:t>AH 3.5.2.2 (Schritt 12)</w:t>
            </w:r>
          </w:p>
        </w:tc>
      </w:tr>
      <w:tr>
        <w:tc>
          <w:tcPr>
            <w:tcW w:type="dxa" w:w="2608"/>
          </w:tcPr>
          <w:p>
            <w:pPr>
              <w:spacing w:after="0" w:line="252" w:lineRule="auto"/>
            </w:pPr>
            <w:r>
              <w:rPr>
                <w:b/>
                <w:sz w:val="17"/>
              </w:rPr>
              <w:t>Anlieferungsquittierung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3.5.2.3 (Schritt 23)</w:t>
            </w:r>
          </w:p>
        </w:tc>
      </w:tr>
      <w:tr>
        <w:tc>
          <w:tcPr>
            <w:tcW w:type="dxa" w:w="2608"/>
          </w:tcPr>
          <w:p>
            <w:pPr>
              <w:spacing w:after="0" w:line="252" w:lineRule="auto"/>
            </w:pPr>
            <w:r>
              <w:rPr>
                <w:b/>
                <w:sz w:val="17"/>
              </w:rPr>
              <w:t>Ladungsquittierung</w:t>
            </w:r>
          </w:p>
        </w:tc>
        <w:tc>
          <w:tcPr>
            <w:tcW w:type="dxa" w:w="4535"/>
          </w:tcPr>
          <w:p>
            <w:pPr>
              <w:spacing w:after="0" w:line="252" w:lineRule="auto"/>
            </w:pPr>
            <w:r>
              <w:rPr>
                <w:sz w:val="17"/>
              </w:rPr>
              <w:t xml:space="preserve">„… Informationen über die externen Referenzen </w:t>
            </w:r>
            <w:r>
              <w:rPr>
                <w:b/>
                <w:sz w:val="17"/>
              </w:rPr>
              <w:t>in der Sendung</w:t>
            </w:r>
            <w:r>
              <w:rPr>
                <w:sz w:val="17"/>
              </w:rPr>
              <w:t xml:space="preserve"> …“</w:t>
            </w:r>
          </w:p>
        </w:tc>
        <w:tc>
          <w:tcPr>
            <w:tcW w:type="dxa" w:w="2381"/>
          </w:tcPr>
          <w:p>
            <w:pPr>
              <w:spacing w:after="0" w:line="252" w:lineRule="auto"/>
            </w:pPr>
            <w:r>
              <w:rPr>
                <w:sz w:val="17"/>
              </w:rPr>
              <w:t>AH 3.5.2.4 (Schritt 12)</w:t>
            </w:r>
          </w:p>
        </w:tc>
      </w:tr>
      <w:tr>
        <w:tc>
          <w:tcPr>
            <w:tcW w:type="dxa" w:w="2608"/>
          </w:tcPr>
          <w:p>
            <w:pPr>
              <w:spacing w:after="0" w:line="252" w:lineRule="auto"/>
            </w:pPr>
            <w:r>
              <w:rPr>
                <w:b/>
                <w:sz w:val="17"/>
              </w:rPr>
              <w:t>WA-Auftragsquittierung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3.5.2.6 (Schritt 15)</w:t>
            </w:r>
          </w:p>
        </w:tc>
      </w:tr>
      <w:tr>
        <w:tc>
          <w:tcPr>
            <w:tcW w:type="dxa" w:w="2608"/>
          </w:tcPr>
          <w:p>
            <w:pPr>
              <w:spacing w:after="0" w:line="252" w:lineRule="auto"/>
            </w:pPr>
            <w:r>
              <w:rPr>
                <w:b/>
                <w:sz w:val="17"/>
              </w:rPr>
              <w:t>Auslieferungsquittierung</w:t>
            </w:r>
          </w:p>
        </w:tc>
        <w:tc>
          <w:tcPr>
            <w:tcW w:type="dxa" w:w="4535"/>
          </w:tcPr>
          <w:p>
            <w:pPr>
              <w:spacing w:after="0" w:line="252" w:lineRule="auto"/>
            </w:pPr>
            <w:r>
              <w:rPr>
                <w:sz w:val="17"/>
              </w:rPr>
              <w:t>wie oben</w:t>
            </w:r>
          </w:p>
        </w:tc>
        <w:tc>
          <w:tcPr>
            <w:tcW w:type="dxa" w:w="2381"/>
          </w:tcPr>
          <w:p>
            <w:pPr>
              <w:spacing w:after="0" w:line="252" w:lineRule="auto"/>
            </w:pPr>
            <w:r>
              <w:rPr>
                <w:sz w:val="17"/>
              </w:rPr>
              <w:t>AH 3.5.2.7 (Schritt 30)</w:t>
            </w:r>
          </w:p>
        </w:tc>
      </w:tr>
    </w:tbl>
    <w:p>
      <w:pPr>
        <w:pStyle w:val="BeschriftungSSI"/>
      </w:pPr>
      <w:r>
        <w:t>Tab. 6: Checkbox „Externe Referenzen inkludieren“ im Dialog MD096</w:t>
      </w:r>
    </w:p>
    <w:p>
      <w:pPr>
        <w:spacing w:after="40"/>
      </w:pPr>
      <w:r>
        <w:rPr>
          <w:b/>
        </w:rPr>
        <w:t>So aktivieren Sie die Übertragung:</w:t>
      </w:r>
    </w:p>
    <w:p>
      <w:pPr>
        <w:tabs>
          <w:tab w:pos="425" w:val="left"/>
        </w:tabs>
        <w:spacing w:after="60"/>
        <w:ind w:left="425" w:hanging="425"/>
      </w:pPr>
      <w:r>
        <w:rPr>
          <w:b/>
        </w:rPr>
        <w:t>1.</w:t>
        <w:tab/>
      </w:r>
      <w:r>
        <w:t xml:space="preserve">Öffnen Sie den Dialog </w:t>
      </w:r>
      <w:r>
        <w:rPr>
          <w:b/>
        </w:rPr>
        <w:t>MD096 Systempartnerschnittstelle pflegen (WAMAS als WMS zu ERP)</w:t>
      </w:r>
      <w:r>
        <w:t>.</w:t>
      </w:r>
    </w:p>
    <w:p>
      <w:pPr>
        <w:tabs>
          <w:tab w:pos="425" w:val="left"/>
        </w:tabs>
        <w:spacing w:after="60"/>
        <w:ind w:left="425" w:hanging="425"/>
      </w:pPr>
      <w:r>
        <w:rPr>
          <w:b/>
        </w:rPr>
        <w:t>2.</w:t>
        <w:tab/>
      </w:r>
      <w:r>
        <w:t xml:space="preserve">Wählen Sie im Feld </w:t>
      </w:r>
      <w:r>
        <w:rPr>
          <w:b/>
        </w:rPr>
        <w:t>Systempartner</w:t>
      </w:r>
      <w:r>
        <w:t xml:space="preserve"> den ERP-Systempartner aus.</w:t>
      </w:r>
    </w:p>
    <w:p>
      <w:pPr>
        <w:tabs>
          <w:tab w:pos="425" w:val="left"/>
        </w:tabs>
        <w:spacing w:after="60"/>
        <w:ind w:left="425" w:hanging="425"/>
      </w:pPr>
      <w:r>
        <w:rPr>
          <w:b/>
        </w:rPr>
        <w:t>3.</w:t>
        <w:tab/>
      </w:r>
      <w:r>
        <w:t>Öffnen Sie die gewünschte Quittierungs-Registerkarte aus Tab. 6.</w:t>
      </w:r>
    </w:p>
    <w:p>
      <w:pPr>
        <w:tabs>
          <w:tab w:pos="425" w:val="left"/>
        </w:tabs>
        <w:spacing w:after="60"/>
        <w:ind w:left="425" w:hanging="425"/>
      </w:pPr>
      <w:r>
        <w:rPr>
          <w:b/>
        </w:rPr>
        <w:t>4.</w:t>
        <w:tab/>
      </w:r>
      <w:r>
        <w:t xml:space="preserve">Prüfen Sie </w:t>
      </w:r>
      <w:r>
        <w:rPr>
          <w:b/>
        </w:rPr>
        <w:t>Ziel-Systempartner</w:t>
      </w:r>
      <w:r>
        <w:t xml:space="preserve">, </w:t>
      </w:r>
      <w:r>
        <w:rPr>
          <w:b/>
        </w:rPr>
        <w:t>Konverter</w:t>
      </w:r>
      <w:r>
        <w:t xml:space="preserve"> und </w:t>
      </w:r>
      <w:r>
        <w:rPr>
          <w:b/>
        </w:rPr>
        <w:t>Hauptdatensatztyp</w:t>
      </w:r>
      <w:r>
        <w:t>.</w:t>
      </w:r>
    </w:p>
    <w:p>
      <w:pPr>
        <w:tabs>
          <w:tab w:pos="425" w:val="left"/>
        </w:tabs>
        <w:spacing w:after="60"/>
        <w:ind w:left="425" w:hanging="425"/>
      </w:pPr>
      <w:r>
        <w:rPr>
          <w:b/>
        </w:rPr>
        <w:t>5.</w:t>
        <w:tab/>
      </w:r>
      <w:r>
        <w:t xml:space="preserve">Aktivieren Sie die Checkbox </w:t>
      </w:r>
      <w:r>
        <w:rPr>
          <w:b/>
        </w:rPr>
        <w:t>Externe Referenzen inkludieren</w:t>
      </w:r>
      <w:r>
        <w:t>.</w:t>
      </w:r>
    </w:p>
    <w:p>
      <w:pPr>
        <w:tabs>
          <w:tab w:pos="425" w:val="left"/>
        </w:tabs>
        <w:spacing w:after="60"/>
        <w:ind w:left="425" w:hanging="425"/>
      </w:pPr>
      <w:r>
        <w:rPr>
          <w:b/>
        </w:rPr>
        <w:t>6.</w:t>
        <w:tab/>
      </w:r>
      <w:r>
        <w:t xml:space="preserve">Betätigen Sie den Button </w:t>
      </w:r>
      <w:r>
        <w:rPr>
          <w:b/>
        </w:rPr>
        <w:t>Speichern</w:t>
      </w:r>
      <w:r>
        <w:t>.</w:t>
      </w:r>
    </w:p>
    <w:p>
      <w:pPr>
        <w:pStyle w:val="Quelle"/>
      </w:pPr>
      <w:r>
        <w:rPr>
          <w:b/>
        </w:rPr>
        <w:t xml:space="preserve">Quelle: </w:t>
      </w:r>
      <w:r>
        <w:rPr>
          <w:sz w:val="17"/>
        </w:rPr>
        <w:t>AH Kap. 3.5.2, 3.5.2.2, 3.5.2.3, 3.5.2.4, 3.5.2.6, 3.5.2.7 (S. 76–84)</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w:t>
            </w:r>
          </w:p>
          <w:p>
            <w:pPr>
              <w:spacing w:after="40"/>
            </w:pPr>
            <w:r>
              <w:rPr>
                <w:sz w:val="19"/>
              </w:rPr>
              <w:t xml:space="preserve">Die Registerkarten in </w:t>
            </w:r>
            <w:r>
              <w:rPr>
                <w:b/>
                <w:sz w:val="19"/>
              </w:rPr>
              <w:t>MD096</w:t>
            </w:r>
            <w:r>
              <w:rPr>
                <w:sz w:val="19"/>
              </w:rPr>
              <w:t xml:space="preserve"> betreffen WMS-Objekte (WE-Auftrag, Anlieferung, Ladung, WA-Auftrag, Auslieferung). Die Quittierungen für WAMAS Lift &amp; Store-Bedarfe werden im Dialog </w:t>
            </w:r>
            <w:r>
              <w:rPr>
                <w:b/>
                <w:sz w:val="19"/>
              </w:rPr>
              <w:t>MD021 Systempartner pflegen</w:t>
            </w:r>
            <w:r>
              <w:rPr>
                <w:sz w:val="19"/>
              </w:rPr>
              <w:t xml:space="preserve">, Registerkarte </w:t>
            </w:r>
            <w:r>
              <w:rPr>
                <w:b/>
                <w:sz w:val="19"/>
              </w:rPr>
              <w:t>WAMAS Lift &amp; Store Registerkarte Quittierung</w:t>
            </w:r>
            <w:r>
              <w:rPr>
                <w:sz w:val="19"/>
              </w:rPr>
              <w:t xml:space="preserve">, konfiguriert (Kommissionierbedarfs-, Einlagerbedarfs-, Inventurbedarfsquittierung usw.). Dort ist </w:t>
            </w:r>
            <w:r>
              <w:rPr>
                <w:b/>
                <w:sz w:val="19"/>
              </w:rPr>
              <w:t>keine</w:t>
            </w:r>
            <w:r>
              <w:rPr>
                <w:sz w:val="19"/>
              </w:rPr>
              <w:t xml:space="preserve"> Checkbox für externe Referenzen beschrieben.</w:t>
            </w:r>
          </w:p>
        </w:tc>
      </w:tr>
    </w:tbl>
    <w:p>
      <w:pPr>
        <w:spacing w:after="40"/>
      </w:pP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die Satzarten für externe Referenzen in den Bedarfsquittierungen von WAMAS Lift &amp; Store (</w:t>
            </w:r>
            <w:r>
              <w:rPr>
                <w:rFonts w:ascii="Consolas" w:hAnsi="Consolas"/>
                <w:sz w:val="17"/>
              </w:rPr>
              <w:t>WLSSDEXTREFACK001</w:t>
            </w:r>
            <w:r>
              <w:rPr>
                <w:sz w:val="19"/>
              </w:rPr>
              <w:t xml:space="preserve">, </w:t>
            </w:r>
            <w:r>
              <w:rPr>
                <w:rFonts w:ascii="Consolas" w:hAnsi="Consolas"/>
                <w:sz w:val="17"/>
              </w:rPr>
              <w:t>WLSPDEXTREFACK001</w:t>
            </w:r>
            <w:r>
              <w:rPr>
                <w:sz w:val="19"/>
              </w:rPr>
              <w:t xml:space="preserve">, </w:t>
            </w:r>
            <w:r>
              <w:rPr>
                <w:rFonts w:ascii="Consolas" w:hAnsi="Consolas"/>
                <w:sz w:val="17"/>
              </w:rPr>
              <w:t>WLSINVDEXTREFACK001</w:t>
            </w:r>
            <w:r>
              <w:rPr>
                <w:sz w:val="19"/>
              </w:rPr>
              <w:t xml:space="preserve"> und Zeilen-Pendants) immer gesendet werden oder ob sie über eine Einstellung ein- und ausgeschaltet werden, ist nicht beschrieben. In den Telegrammbeispielen 2.7.0 sind sie in den Quittierungen enthalten.</w:t>
            </w:r>
          </w:p>
        </w:tc>
      </w:tr>
    </w:tbl>
    <w:p>
      <w:pPr>
        <w:spacing w:after="40"/>
      </w:pPr>
    </w:p>
    <w:p>
      <w:pPr>
        <w:pStyle w:val="Quelle"/>
      </w:pPr>
      <w:r>
        <w:rPr>
          <w:b/>
        </w:rPr>
        <w:t xml:space="preserve">Quelle: </w:t>
      </w:r>
      <w:r>
        <w:rPr>
          <w:sz w:val="17"/>
        </w:rPr>
        <w:t>AH Kap. 3.5.1, 3.5.1.6, 3.5.1.6.1–3.5.1.6.6 (S. 66–76); TB</w:t>
      </w:r>
    </w:p>
    <w:p>
      <w:pPr>
        <w:pStyle w:val="Heading2"/>
      </w:pPr>
      <w:r>
        <w:t>5.2 Systemparameter logimat.picking.wcs.extRefKey</w:t>
      </w:r>
    </w:p>
    <w:p>
      <w:r>
        <w:t>Wenn WAMAS Lift &amp; Store als WCS unter einem WAMAS WMS betrieben wird, legt der globale Systemparameter fest, welcher Wert aus der Kommissionieranforderung als externe Referenz am Kommissionierbedarf gesetzt wird.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948"/>
        <w:gridCol w:w="1020"/>
        <w:gridCol w:w="5556"/>
      </w:tblGrid>
      <w:tr>
        <w:trPr>
          <w:tblHeader w:val="true"/>
        </w:trPr>
        <w:tc>
          <w:tcPr>
            <w:tcW w:type="dxa" w:w="2948"/>
            <w:shd w:val="clear" w:color="auto" w:fill="FEEE19"/>
          </w:tcPr>
          <w:p>
            <w:pPr>
              <w:spacing w:after="0"/>
            </w:pPr>
            <w:r>
              <w:rPr>
                <w:b/>
                <w:sz w:val="17"/>
              </w:rPr>
              <w:t>Name</w:t>
            </w:r>
          </w:p>
        </w:tc>
        <w:tc>
          <w:tcPr>
            <w:tcW w:type="dxa" w:w="1020"/>
            <w:shd w:val="clear" w:color="auto" w:fill="FEEE19"/>
          </w:tcPr>
          <w:p>
            <w:pPr>
              <w:spacing w:after="0"/>
            </w:pPr>
            <w:r>
              <w:rPr>
                <w:b/>
                <w:sz w:val="17"/>
              </w:rPr>
              <w:t>Typ</w:t>
            </w:r>
          </w:p>
        </w:tc>
        <w:tc>
          <w:tcPr>
            <w:tcW w:type="dxa" w:w="5556"/>
            <w:shd w:val="clear" w:color="auto" w:fill="FEEE19"/>
          </w:tcPr>
          <w:p>
            <w:pPr>
              <w:spacing w:after="0"/>
            </w:pPr>
            <w:r>
              <w:rPr>
                <w:b/>
                <w:sz w:val="17"/>
              </w:rPr>
              <w:t>Beschreibung (AH)</w:t>
            </w:r>
          </w:p>
        </w:tc>
      </w:tr>
      <w:tr>
        <w:tc>
          <w:tcPr>
            <w:tcW w:type="dxa" w:w="2948"/>
          </w:tcPr>
          <w:p>
            <w:pPr>
              <w:spacing w:after="0" w:line="252" w:lineRule="auto"/>
            </w:pPr>
            <w:r>
              <w:rPr>
                <w:rFonts w:ascii="Consolas" w:hAnsi="Consolas"/>
                <w:sz w:val="15"/>
              </w:rPr>
              <w:t>logimat.picking.wcs.extRefKey</w:t>
            </w:r>
          </w:p>
        </w:tc>
        <w:tc>
          <w:tcPr>
            <w:tcW w:type="dxa" w:w="1020"/>
          </w:tcPr>
          <w:p>
            <w:pPr>
              <w:spacing w:after="0" w:line="252" w:lineRule="auto"/>
            </w:pPr>
            <w:r>
              <w:rPr>
                <w:sz w:val="17"/>
              </w:rPr>
              <w:t>String</w:t>
            </w:r>
          </w:p>
        </w:tc>
        <w:tc>
          <w:tcPr>
            <w:tcW w:type="dxa" w:w="5556"/>
          </w:tcPr>
          <w:p>
            <w:pPr>
              <w:spacing w:after="0" w:line="252" w:lineRule="auto"/>
            </w:pPr>
            <w:r>
              <w:rPr>
                <w:sz w:val="17"/>
              </w:rPr>
              <w:t>„Gibt an, nach welchem Wert in einem WCS-Kommissionieranforderungs-Telegramm zu suchen ist, um die externe Referenz auf einem Kommissionierbedarf einzustellen.“</w:t>
            </w:r>
          </w:p>
        </w:tc>
      </w:tr>
    </w:tbl>
    <w:p>
      <w:pPr>
        <w:pStyle w:val="BeschriftungSSI"/>
      </w:pPr>
      <w:r>
        <w:t>Tab. 7: Systemparameter für externe Referenzen</w:t>
      </w:r>
    </w:p>
    <w:p>
      <w:r>
        <w:rPr>
          <w:b/>
        </w:rPr>
        <w:t>So pflegen Sie den Parameter:</w:t>
      </w:r>
      <w:r>
        <w:t xml:space="preserve"> Öffnen Sie die Pflege der globalen Systemparameter gemäß AH Kap. 3.11.2, suchen Sie den Parameter </w:t>
      </w:r>
      <w:r>
        <w:rPr>
          <w:rFonts w:ascii="Consolas" w:hAnsi="Consolas"/>
          <w:sz w:val="18"/>
        </w:rPr>
        <w:t>logimat.picking.wcs.extRefKey</w:t>
      </w:r>
      <w:r>
        <w:t xml:space="preserve"> und tragen Sie den gewünschten Wert ein.</w:t>
      </w:r>
    </w:p>
    <w:p>
      <w:pPr>
        <w:pStyle w:val="Quelle"/>
      </w:pPr>
      <w:r>
        <w:rPr>
          <w:b/>
        </w:rPr>
        <w:t xml:space="preserve">Quelle: </w:t>
      </w:r>
      <w:r>
        <w:rPr>
          <w:sz w:val="17"/>
        </w:rPr>
        <w:t>AH Kap. 3.11.2 „Pflegen globaler Systemparameter“ (S. 183); IF-WCS Kap. 9.1 (S. 128–139)</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Der Standardwert, das erwartete Format des Werts (z. B. ein </w:t>
            </w:r>
            <w:r>
              <w:rPr>
                <w:rFonts w:ascii="Consolas" w:hAnsi="Consolas"/>
                <w:sz w:val="17"/>
              </w:rPr>
              <w:t>extRefKey</w:t>
            </w:r>
            <w:r>
              <w:rPr>
                <w:sz w:val="19"/>
              </w:rPr>
              <w:t xml:space="preserve"> aus </w:t>
            </w:r>
            <w:r>
              <w:rPr>
                <w:rFonts w:ascii="Consolas" w:hAnsi="Consolas"/>
                <w:sz w:val="17"/>
              </w:rPr>
              <w:t>WCS_PICKREQEXTREF00005</w:t>
            </w:r>
            <w:r>
              <w:rPr>
                <w:sz w:val="19"/>
              </w:rPr>
              <w:t>) und das Verhalten bei leerem Parameter sind nicht beschrieben.</w:t>
            </w:r>
          </w:p>
        </w:tc>
      </w:tr>
    </w:tbl>
    <w:p>
      <w:pPr>
        <w:spacing w:after="40"/>
      </w:pPr>
    </w:p>
    <w:p>
      <w:pPr>
        <w:pStyle w:val="Heading2"/>
      </w:pPr>
      <w:r>
        <w:t>5.3 Übertragungswege (REST, Datei, Tabelle)</w:t>
      </w:r>
    </w:p>
    <w:p>
      <w:r>
        <w:t>Externe Referenzen sind normale Untersätze der Systempartnernachrichten. Für sie ist keine eigene Übertragungs-Einstellung beschrieben; sie nutzen die für den Systempartner konfigurierten Empfänger, Sender und Konverter (Datei, Tabelle, REST; Fixed-Length-, CSV-, XML- oder JSON-Konverter).</w:t>
      </w:r>
    </w:p>
    <w:p>
      <w:pPr>
        <w:pStyle w:val="ListBullet"/>
      </w:pPr>
      <w:r>
        <w:t>REST-Empfänger: AH Kap. 3.5.1.2.3; REST-Sender: AH Kap. 3.5.1.3.3 (in der Datei „REST WAMAS.LS_2.7.pdf“ als Auszug enthalten).</w:t>
      </w:r>
    </w:p>
    <w:p>
      <w:pPr>
        <w:pStyle w:val="ListBullet"/>
      </w:pPr>
      <w:r>
        <w:t xml:space="preserve">REST-Endpunkte laut IF-ERP Kap. 2.1.1.5.1: Version 2 </w:t>
      </w:r>
      <w:r>
        <w:rPr>
          <w:rFonts w:ascii="Consolas" w:hAnsi="Consolas"/>
          <w:sz w:val="18"/>
        </w:rPr>
        <w:t>/di/{api}/{system-partner}/messages</w:t>
      </w:r>
      <w:r>
        <w:t xml:space="preserve">, Version 3 </w:t>
      </w:r>
      <w:r>
        <w:rPr>
          <w:rFonts w:ascii="Consolas" w:hAnsi="Consolas"/>
          <w:sz w:val="18"/>
        </w:rPr>
        <w:t>/di-api/v3/{system-partner}/messages</w:t>
      </w:r>
      <w:r>
        <w:t xml:space="preserve">; Statusabfrage über </w:t>
      </w:r>
      <w:r>
        <w:rPr>
          <w:rFonts w:ascii="Consolas" w:hAnsi="Consolas"/>
          <w:sz w:val="18"/>
        </w:rPr>
        <w:t>/health</w:t>
      </w:r>
      <w:r>
        <w:t>.</w:t>
      </w:r>
    </w:p>
    <w:p>
      <w:pPr>
        <w:pStyle w:val="Quelle"/>
      </w:pPr>
      <w:r>
        <w:rPr>
          <w:b/>
        </w:rPr>
        <w:t xml:space="preserve">Quelle: </w:t>
      </w:r>
      <w:r>
        <w:rPr>
          <w:sz w:val="17"/>
        </w:rPr>
        <w:t>AH Kap. 3.5.1.2.3, 3.5.1.3.3 (S. 69–73); IF-ERP Kap. 2.1.1.5 (S. 21–25)</w:t>
      </w:r>
    </w:p>
    <w:p>
      <w:pPr>
        <w:pStyle w:val="Heading1"/>
      </w:pPr>
      <w:r>
        <w:t>6 Schnittstelle</w:t>
      </w:r>
    </w:p>
    <w:p>
      <w:pPr>
        <w:pStyle w:val="Heading2"/>
      </w:pPr>
      <w:r>
        <w:t>6.1 Satzarten im Überblick</w:t>
      </w:r>
    </w:p>
    <w:p>
      <w:r>
        <w:rPr>
          <w:b/>
        </w:rPr>
        <w:t>WAMAS Lift &amp; Store als WMS/WCS am ERP</w:t>
      </w:r>
      <w:r>
        <w:t xml:space="preserve"> (IF-ERP). Alle Satzarten für externe Referenzen sind Untersätze (kein Mastersatz) mit der erlaubten Anzahl 0…n.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44"/>
        <w:gridCol w:w="1134"/>
        <w:gridCol w:w="1474"/>
        <w:gridCol w:w="1984"/>
        <w:gridCol w:w="2154"/>
        <w:gridCol w:w="1134"/>
      </w:tblGrid>
      <w:tr>
        <w:trPr>
          <w:tblHeader w:val="true"/>
        </w:trPr>
        <w:tc>
          <w:tcPr>
            <w:tcW w:type="dxa" w:w="1644"/>
            <w:shd w:val="clear" w:color="auto" w:fill="FEEE19"/>
          </w:tcPr>
          <w:p>
            <w:pPr>
              <w:spacing w:after="0"/>
            </w:pPr>
            <w:r>
              <w:rPr>
                <w:b/>
                <w:sz w:val="16"/>
              </w:rPr>
              <w:t>Bedarfsart</w:t>
            </w:r>
          </w:p>
        </w:tc>
        <w:tc>
          <w:tcPr>
            <w:tcW w:type="dxa" w:w="1134"/>
            <w:shd w:val="clear" w:color="auto" w:fill="FEEE19"/>
          </w:tcPr>
          <w:p>
            <w:pPr>
              <w:spacing w:after="0"/>
            </w:pPr>
            <w:r>
              <w:rPr>
                <w:b/>
                <w:sz w:val="16"/>
              </w:rPr>
              <w:t>Richtung</w:t>
            </w:r>
          </w:p>
        </w:tc>
        <w:tc>
          <w:tcPr>
            <w:tcW w:type="dxa" w:w="1474"/>
            <w:shd w:val="clear" w:color="auto" w:fill="FEEE19"/>
          </w:tcPr>
          <w:p>
            <w:pPr>
              <w:spacing w:after="0"/>
            </w:pPr>
            <w:r>
              <w:rPr>
                <w:b/>
                <w:sz w:val="16"/>
              </w:rPr>
              <w:t>Mastersatz</w:t>
            </w:r>
          </w:p>
        </w:tc>
        <w:tc>
          <w:tcPr>
            <w:tcW w:type="dxa" w:w="1984"/>
            <w:shd w:val="clear" w:color="auto" w:fill="FEEE19"/>
          </w:tcPr>
          <w:p>
            <w:pPr>
              <w:spacing w:after="0"/>
            </w:pPr>
            <w:r>
              <w:rPr>
                <w:b/>
                <w:sz w:val="16"/>
              </w:rPr>
              <w:t>Ext. Referenz Kopf</w:t>
            </w:r>
          </w:p>
        </w:tc>
        <w:tc>
          <w:tcPr>
            <w:tcW w:type="dxa" w:w="2154"/>
            <w:shd w:val="clear" w:color="auto" w:fill="FEEE19"/>
          </w:tcPr>
          <w:p>
            <w:pPr>
              <w:spacing w:after="0"/>
            </w:pPr>
            <w:r>
              <w:rPr>
                <w:b/>
                <w:sz w:val="16"/>
              </w:rPr>
              <w:t>Ext. Referenz Zeile</w:t>
            </w:r>
          </w:p>
        </w:tc>
        <w:tc>
          <w:tcPr>
            <w:tcW w:type="dxa" w:w="1134"/>
            <w:shd w:val="clear" w:color="auto" w:fill="FEEE19"/>
          </w:tcPr>
          <w:p>
            <w:pPr>
              <w:spacing w:after="0"/>
            </w:pPr>
            <w:r>
              <w:rPr>
                <w:b/>
                <w:sz w:val="16"/>
              </w:rPr>
              <w:t>IF-ERP Kap.</w:t>
            </w:r>
          </w:p>
        </w:tc>
      </w:tr>
      <w:tr>
        <w:tc>
          <w:tcPr>
            <w:tcW w:type="dxa" w:w="1644"/>
          </w:tcPr>
          <w:p>
            <w:pPr>
              <w:spacing w:after="0" w:line="252" w:lineRule="auto"/>
            </w:pPr>
            <w:r>
              <w:rPr>
                <w:sz w:val="16"/>
              </w:rPr>
              <w:t>Einlagerbedarf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WLSSD002</w:t>
            </w:r>
          </w:p>
        </w:tc>
        <w:tc>
          <w:tcPr>
            <w:tcW w:type="dxa" w:w="1984"/>
          </w:tcPr>
          <w:p>
            <w:pPr>
              <w:spacing w:after="0" w:line="252" w:lineRule="auto"/>
            </w:pPr>
            <w:r>
              <w:rPr>
                <w:rFonts w:ascii="Consolas" w:hAnsi="Consolas"/>
                <w:sz w:val="14"/>
              </w:rPr>
              <w:t>WLSSDEXTREF001</w:t>
            </w:r>
          </w:p>
        </w:tc>
        <w:tc>
          <w:tcPr>
            <w:tcW w:type="dxa" w:w="2154"/>
          </w:tcPr>
          <w:p>
            <w:pPr>
              <w:spacing w:after="0" w:line="252" w:lineRule="auto"/>
            </w:pPr>
            <w:r>
              <w:rPr>
                <w:rFonts w:ascii="Consolas" w:hAnsi="Consolas"/>
                <w:sz w:val="14"/>
              </w:rPr>
              <w:t>WLSSDLEXTREF001</w:t>
            </w:r>
          </w:p>
        </w:tc>
        <w:tc>
          <w:tcPr>
            <w:tcW w:type="dxa" w:w="1134"/>
          </w:tcPr>
          <w:p>
            <w:pPr>
              <w:spacing w:after="0" w:line="252" w:lineRule="auto"/>
            </w:pPr>
            <w:r>
              <w:rPr>
                <w:sz w:val="16"/>
              </w:rPr>
              <w:t>6.1</w:t>
            </w:r>
          </w:p>
        </w:tc>
      </w:tr>
      <w:tr>
        <w:tc>
          <w:tcPr>
            <w:tcW w:type="dxa" w:w="1644"/>
          </w:tcPr>
          <w:p>
            <w:pPr>
              <w:spacing w:after="0" w:line="252" w:lineRule="auto"/>
            </w:pPr>
            <w:r>
              <w:rPr>
                <w:sz w:val="16"/>
              </w:rPr>
              <w:t>Einlagerbedarf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WLSSDACK002</w:t>
            </w:r>
          </w:p>
        </w:tc>
        <w:tc>
          <w:tcPr>
            <w:tcW w:type="dxa" w:w="1984"/>
          </w:tcPr>
          <w:p>
            <w:pPr>
              <w:spacing w:after="0" w:line="252" w:lineRule="auto"/>
            </w:pPr>
            <w:r>
              <w:rPr>
                <w:rFonts w:ascii="Consolas" w:hAnsi="Consolas"/>
                <w:sz w:val="14"/>
              </w:rPr>
              <w:t>WLSSDEXTREFACK001</w:t>
            </w:r>
          </w:p>
        </w:tc>
        <w:tc>
          <w:tcPr>
            <w:tcW w:type="dxa" w:w="2154"/>
          </w:tcPr>
          <w:p>
            <w:pPr>
              <w:spacing w:after="0" w:line="252" w:lineRule="auto"/>
            </w:pPr>
            <w:r>
              <w:rPr>
                <w:rFonts w:ascii="Consolas" w:hAnsi="Consolas"/>
                <w:sz w:val="14"/>
              </w:rPr>
              <w:t>WLSSDLEXTREFACK001</w:t>
            </w:r>
          </w:p>
        </w:tc>
        <w:tc>
          <w:tcPr>
            <w:tcW w:type="dxa" w:w="1134"/>
          </w:tcPr>
          <w:p>
            <w:pPr>
              <w:spacing w:after="0" w:line="252" w:lineRule="auto"/>
            </w:pPr>
            <w:r>
              <w:rPr>
                <w:sz w:val="16"/>
              </w:rPr>
              <w:t>6.2</w:t>
            </w:r>
          </w:p>
        </w:tc>
      </w:tr>
      <w:tr>
        <w:tc>
          <w:tcPr>
            <w:tcW w:type="dxa" w:w="1644"/>
          </w:tcPr>
          <w:p>
            <w:pPr>
              <w:spacing w:after="0" w:line="252" w:lineRule="auto"/>
            </w:pPr>
            <w:r>
              <w:rPr>
                <w:sz w:val="16"/>
              </w:rPr>
              <w:t>Kommissionierbedarf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WLSPD002</w:t>
            </w:r>
          </w:p>
        </w:tc>
        <w:tc>
          <w:tcPr>
            <w:tcW w:type="dxa" w:w="1984"/>
          </w:tcPr>
          <w:p>
            <w:pPr>
              <w:spacing w:after="0" w:line="252" w:lineRule="auto"/>
            </w:pPr>
            <w:r>
              <w:rPr>
                <w:rFonts w:ascii="Consolas" w:hAnsi="Consolas"/>
                <w:sz w:val="14"/>
              </w:rPr>
              <w:t>WLSPDEXTREF001</w:t>
            </w:r>
          </w:p>
        </w:tc>
        <w:tc>
          <w:tcPr>
            <w:tcW w:type="dxa" w:w="2154"/>
          </w:tcPr>
          <w:p>
            <w:pPr>
              <w:spacing w:after="0" w:line="252" w:lineRule="auto"/>
            </w:pPr>
            <w:r>
              <w:rPr>
                <w:rFonts w:ascii="Consolas" w:hAnsi="Consolas"/>
                <w:sz w:val="14"/>
              </w:rPr>
              <w:t>WLSPDLEXTREF001</w:t>
            </w:r>
          </w:p>
        </w:tc>
        <w:tc>
          <w:tcPr>
            <w:tcW w:type="dxa" w:w="1134"/>
          </w:tcPr>
          <w:p>
            <w:pPr>
              <w:spacing w:after="0" w:line="252" w:lineRule="auto"/>
            </w:pPr>
            <w:r>
              <w:rPr>
                <w:sz w:val="16"/>
              </w:rPr>
              <w:t>7.1</w:t>
            </w:r>
          </w:p>
        </w:tc>
      </w:tr>
      <w:tr>
        <w:tc>
          <w:tcPr>
            <w:tcW w:type="dxa" w:w="1644"/>
          </w:tcPr>
          <w:p>
            <w:pPr>
              <w:spacing w:after="0" w:line="252" w:lineRule="auto"/>
            </w:pPr>
            <w:r>
              <w:rPr>
                <w:sz w:val="16"/>
              </w:rPr>
              <w:t>Kommissionierbedarf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WLSPDACK002</w:t>
            </w:r>
          </w:p>
        </w:tc>
        <w:tc>
          <w:tcPr>
            <w:tcW w:type="dxa" w:w="1984"/>
          </w:tcPr>
          <w:p>
            <w:pPr>
              <w:spacing w:after="0" w:line="252" w:lineRule="auto"/>
            </w:pPr>
            <w:r>
              <w:rPr>
                <w:rFonts w:ascii="Consolas" w:hAnsi="Consolas"/>
                <w:sz w:val="14"/>
              </w:rPr>
              <w:t>WLSPDEXTREFACK001</w:t>
            </w:r>
          </w:p>
        </w:tc>
        <w:tc>
          <w:tcPr>
            <w:tcW w:type="dxa" w:w="2154"/>
          </w:tcPr>
          <w:p>
            <w:pPr>
              <w:spacing w:after="0" w:line="252" w:lineRule="auto"/>
            </w:pPr>
            <w:r>
              <w:rPr>
                <w:rFonts w:ascii="Consolas" w:hAnsi="Consolas"/>
                <w:sz w:val="14"/>
              </w:rPr>
              <w:t>WLSPDLEXTREFACK001</w:t>
            </w:r>
          </w:p>
        </w:tc>
        <w:tc>
          <w:tcPr>
            <w:tcW w:type="dxa" w:w="1134"/>
          </w:tcPr>
          <w:p>
            <w:pPr>
              <w:spacing w:after="0" w:line="252" w:lineRule="auto"/>
            </w:pPr>
            <w:r>
              <w:rPr>
                <w:sz w:val="16"/>
              </w:rPr>
              <w:t>7.2</w:t>
            </w:r>
          </w:p>
        </w:tc>
      </w:tr>
      <w:tr>
        <w:tc>
          <w:tcPr>
            <w:tcW w:type="dxa" w:w="1644"/>
          </w:tcPr>
          <w:p>
            <w:pPr>
              <w:spacing w:after="0" w:line="252" w:lineRule="auto"/>
            </w:pPr>
            <w:r>
              <w:rPr>
                <w:sz w:val="16"/>
              </w:rPr>
              <w:t>Inventurbedarf</w:t>
            </w:r>
          </w:p>
        </w:tc>
        <w:tc>
          <w:tcPr>
            <w:tcW w:type="dxa" w:w="1134"/>
          </w:tcPr>
          <w:p>
            <w:pPr>
              <w:spacing w:after="0" w:line="252" w:lineRule="auto"/>
            </w:pPr>
            <w:r>
              <w:rPr>
                <w:sz w:val="16"/>
              </w:rPr>
              <w:t>ERP → WLS</w:t>
            </w:r>
          </w:p>
        </w:tc>
        <w:tc>
          <w:tcPr>
            <w:tcW w:type="dxa" w:w="1474"/>
          </w:tcPr>
          <w:p>
            <w:pPr>
              <w:spacing w:after="0" w:line="252" w:lineRule="auto"/>
            </w:pPr>
            <w:r>
              <w:rPr>
                <w:rFonts w:ascii="Consolas" w:hAnsi="Consolas"/>
                <w:sz w:val="14"/>
              </w:rPr>
              <w:t>WLSINVD002</w:t>
            </w:r>
          </w:p>
        </w:tc>
        <w:tc>
          <w:tcPr>
            <w:tcW w:type="dxa" w:w="1984"/>
          </w:tcPr>
          <w:p>
            <w:pPr>
              <w:spacing w:after="0" w:line="252" w:lineRule="auto"/>
            </w:pPr>
            <w:r>
              <w:rPr>
                <w:rFonts w:ascii="Consolas" w:hAnsi="Consolas"/>
                <w:sz w:val="14"/>
              </w:rPr>
              <w:t>WLSINVDEXTREF001</w:t>
            </w:r>
          </w:p>
        </w:tc>
        <w:tc>
          <w:tcPr>
            <w:tcW w:type="dxa" w:w="2154"/>
          </w:tcPr>
          <w:p>
            <w:pPr>
              <w:spacing w:after="0" w:line="252" w:lineRule="auto"/>
            </w:pPr>
            <w:r>
              <w:rPr>
                <w:rFonts w:ascii="Consolas" w:hAnsi="Consolas"/>
                <w:sz w:val="14"/>
              </w:rPr>
              <w:t>WLSINVDLEXTREF001</w:t>
            </w:r>
          </w:p>
        </w:tc>
        <w:tc>
          <w:tcPr>
            <w:tcW w:type="dxa" w:w="1134"/>
          </w:tcPr>
          <w:p>
            <w:pPr>
              <w:spacing w:after="0" w:line="252" w:lineRule="auto"/>
            </w:pPr>
            <w:r>
              <w:rPr>
                <w:sz w:val="16"/>
              </w:rPr>
              <w:t>8.1</w:t>
            </w:r>
          </w:p>
        </w:tc>
      </w:tr>
      <w:tr>
        <w:tc>
          <w:tcPr>
            <w:tcW w:type="dxa" w:w="1644"/>
          </w:tcPr>
          <w:p>
            <w:pPr>
              <w:spacing w:after="0" w:line="252" w:lineRule="auto"/>
            </w:pPr>
            <w:r>
              <w:rPr>
                <w:sz w:val="16"/>
              </w:rPr>
              <w:t>Inventurbedarf</w:t>
            </w:r>
          </w:p>
        </w:tc>
        <w:tc>
          <w:tcPr>
            <w:tcW w:type="dxa" w:w="1134"/>
          </w:tcPr>
          <w:p>
            <w:pPr>
              <w:spacing w:after="0" w:line="252" w:lineRule="auto"/>
            </w:pPr>
            <w:r>
              <w:rPr>
                <w:sz w:val="16"/>
              </w:rPr>
              <w:t>WLS → ERP</w:t>
            </w:r>
          </w:p>
        </w:tc>
        <w:tc>
          <w:tcPr>
            <w:tcW w:type="dxa" w:w="1474"/>
          </w:tcPr>
          <w:p>
            <w:pPr>
              <w:spacing w:after="0" w:line="252" w:lineRule="auto"/>
            </w:pPr>
            <w:r>
              <w:rPr>
                <w:rFonts w:ascii="Consolas" w:hAnsi="Consolas"/>
                <w:sz w:val="14"/>
              </w:rPr>
              <w:t>WLSINVDACK002</w:t>
            </w:r>
          </w:p>
        </w:tc>
        <w:tc>
          <w:tcPr>
            <w:tcW w:type="dxa" w:w="1984"/>
          </w:tcPr>
          <w:p>
            <w:pPr>
              <w:spacing w:after="0" w:line="252" w:lineRule="auto"/>
            </w:pPr>
            <w:r>
              <w:rPr>
                <w:rFonts w:ascii="Consolas" w:hAnsi="Consolas"/>
                <w:sz w:val="14"/>
              </w:rPr>
              <w:t>WLSINVDEXTREFACK001</w:t>
            </w:r>
          </w:p>
        </w:tc>
        <w:tc>
          <w:tcPr>
            <w:tcW w:type="dxa" w:w="2154"/>
          </w:tcPr>
          <w:p>
            <w:pPr>
              <w:spacing w:after="0" w:line="252" w:lineRule="auto"/>
            </w:pPr>
            <w:r>
              <w:rPr>
                <w:rFonts w:ascii="Consolas" w:hAnsi="Consolas"/>
                <w:sz w:val="14"/>
              </w:rPr>
              <w:t>WLSINVDLEXTREFACK001</w:t>
            </w:r>
            <w:r>
              <w:rPr>
                <w:sz w:val="16"/>
              </w:rPr>
              <w:t>*</w:t>
            </w:r>
          </w:p>
        </w:tc>
        <w:tc>
          <w:tcPr>
            <w:tcW w:type="dxa" w:w="1134"/>
          </w:tcPr>
          <w:p>
            <w:pPr>
              <w:spacing w:after="0" w:line="252" w:lineRule="auto"/>
            </w:pPr>
            <w:r>
              <w:rPr>
                <w:sz w:val="16"/>
              </w:rPr>
              <w:t>8.2</w:t>
            </w:r>
          </w:p>
        </w:tc>
      </w:tr>
    </w:tbl>
    <w:p>
      <w:pPr>
        <w:pStyle w:val="BeschriftungSSI"/>
      </w:pPr>
      <w:r>
        <w:t>Tab. 8: Satzarten für externe Referenzen (IF-ERP 2.7)</w:t>
      </w:r>
    </w:p>
    <w:p>
      <w:r>
        <w:rPr>
          <w:sz w:val="17"/>
        </w:rPr>
        <w:t xml:space="preserve">* Im IF-ERP lautet die Kapitelüberschrift bzw. Satzartenliste </w:t>
      </w:r>
      <w:r>
        <w:rPr>
          <w:rFonts w:ascii="Consolas" w:hAnsi="Consolas"/>
          <w:sz w:val="15"/>
        </w:rPr>
        <w:t>WLSINDLEXTREFACK001</w:t>
      </w:r>
      <w:r>
        <w:rPr>
          <w:sz w:val="17"/>
        </w:rPr>
        <w:t xml:space="preserve">, die Tabellenbeschriftung und die Telegrammbeispiele verwenden </w:t>
      </w:r>
      <w:r>
        <w:rPr>
          <w:rFonts w:ascii="Consolas" w:hAnsi="Consolas"/>
          <w:sz w:val="15"/>
        </w:rPr>
        <w:t>WLSINVDLEXTREFACK001</w:t>
      </w:r>
      <w:r>
        <w:rPr>
          <w:sz w:val="17"/>
        </w:rPr>
        <w:t xml:space="preserve"> (siehe Kapitel 7).</w:t>
      </w:r>
    </w:p>
    <w:p>
      <w:r>
        <w:rPr>
          <w:b/>
        </w:rPr>
        <w:t>Hierarchie</w:t>
      </w:r>
      <w:r>
        <w:t xml:space="preserve"> (am Beispiel Einlagerbedarf, IF-ERP Abb. 18): </w:t>
      </w:r>
      <w:r>
        <w:rPr>
          <w:rFonts w:ascii="Consolas" w:hAnsi="Consolas"/>
          <w:sz w:val="18"/>
        </w:rPr>
        <w:t>WLSSD</w:t>
      </w:r>
      <w:r>
        <w:t xml:space="preserve"> → 1…n </w:t>
      </w:r>
      <w:r>
        <w:rPr>
          <w:rFonts w:ascii="Consolas" w:hAnsi="Consolas"/>
          <w:sz w:val="18"/>
        </w:rPr>
        <w:t>WLSSDL</w:t>
      </w:r>
      <w:r>
        <w:t xml:space="preserve">, 0…n </w:t>
      </w:r>
      <w:r>
        <w:rPr>
          <w:rFonts w:ascii="Consolas" w:hAnsi="Consolas"/>
          <w:sz w:val="18"/>
        </w:rPr>
        <w:t>WLSSDEXTREF</w:t>
      </w:r>
      <w:r>
        <w:t xml:space="preserve">, 0…n </w:t>
      </w:r>
      <w:r>
        <w:rPr>
          <w:rFonts w:ascii="Consolas" w:hAnsi="Consolas"/>
          <w:sz w:val="18"/>
        </w:rPr>
        <w:t>WLSSDPARTNER</w:t>
      </w:r>
      <w:r>
        <w:t xml:space="preserve">; unter jeder </w:t>
      </w:r>
      <w:r>
        <w:rPr>
          <w:rFonts w:ascii="Consolas" w:hAnsi="Consolas"/>
          <w:sz w:val="18"/>
        </w:rPr>
        <w:t>WLSSDL</w:t>
      </w:r>
      <w:r>
        <w:t xml:space="preserve"> 0…n </w:t>
      </w:r>
      <w:r>
        <w:rPr>
          <w:rFonts w:ascii="Consolas" w:hAnsi="Consolas"/>
          <w:sz w:val="18"/>
        </w:rPr>
        <w:t>WLSSDLEXTREF</w:t>
      </w:r>
      <w:r>
        <w:t xml:space="preserve">. In der Quittierung (Abb. 19): </w:t>
      </w:r>
      <w:r>
        <w:rPr>
          <w:rFonts w:ascii="Consolas" w:hAnsi="Consolas"/>
          <w:sz w:val="18"/>
        </w:rPr>
        <w:t>WLSSDACK</w:t>
      </w:r>
      <w:r>
        <w:t xml:space="preserve"> → 1…n </w:t>
      </w:r>
      <w:r>
        <w:rPr>
          <w:rFonts w:ascii="Consolas" w:hAnsi="Consolas"/>
          <w:sz w:val="18"/>
        </w:rPr>
        <w:t>WLSSDLACK</w:t>
      </w:r>
      <w:r>
        <w:t xml:space="preserve">, 0…n </w:t>
      </w:r>
      <w:r>
        <w:rPr>
          <w:rFonts w:ascii="Consolas" w:hAnsi="Consolas"/>
          <w:sz w:val="18"/>
        </w:rPr>
        <w:t>WLSSDEXTREFACK</w:t>
      </w:r>
      <w:r>
        <w:t xml:space="preserve">; unter </w:t>
      </w:r>
      <w:r>
        <w:rPr>
          <w:rFonts w:ascii="Consolas" w:hAnsi="Consolas"/>
          <w:sz w:val="18"/>
        </w:rPr>
        <w:t>WLSSDLACK</w:t>
      </w:r>
      <w:r>
        <w:t xml:space="preserve"> 0…n </w:t>
      </w:r>
      <w:r>
        <w:rPr>
          <w:rFonts w:ascii="Consolas" w:hAnsi="Consolas"/>
          <w:sz w:val="18"/>
        </w:rPr>
        <w:t>WLSSDLACTIVITY</w:t>
      </w:r>
      <w:r>
        <w:t xml:space="preserve"> und 0…n </w:t>
      </w:r>
      <w:r>
        <w:rPr>
          <w:rFonts w:ascii="Consolas" w:hAnsi="Consolas"/>
          <w:sz w:val="18"/>
        </w:rPr>
        <w:t>WLSSDLEXTREFACK</w:t>
      </w:r>
      <w:r>
        <w:t>. Kommissionier- und Inventurbedarf sind analog aufgebaut.</w:t>
      </w:r>
    </w:p>
    <w:p>
      <w:r>
        <w:rPr>
          <w:b/>
        </w:rPr>
        <w:t>WAMAS Lift &amp; Store als WCS unter WAMAS WMS/MFS</w:t>
      </w:r>
      <w:r>
        <w:t xml:space="preserve"> (IF-WCS, Kap. 9 „Picking“): Die Kommissionieranforderung kann Untersätze mit externen Referenzen enthalten: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175"/>
        <w:gridCol w:w="3742"/>
        <w:gridCol w:w="793"/>
        <w:gridCol w:w="1814"/>
      </w:tblGrid>
      <w:tr>
        <w:trPr>
          <w:tblHeader w:val="true"/>
        </w:trPr>
        <w:tc>
          <w:tcPr>
            <w:tcW w:type="dxa" w:w="3175"/>
            <w:shd w:val="clear" w:color="auto" w:fill="FEEE19"/>
          </w:tcPr>
          <w:p>
            <w:pPr>
              <w:spacing w:after="0"/>
            </w:pPr>
            <w:r>
              <w:rPr>
                <w:b/>
                <w:sz w:val="16"/>
              </w:rPr>
              <w:t>Satzart</w:t>
            </w:r>
          </w:p>
        </w:tc>
        <w:tc>
          <w:tcPr>
            <w:tcW w:type="dxa" w:w="3742"/>
            <w:shd w:val="clear" w:color="auto" w:fill="FEEE19"/>
          </w:tcPr>
          <w:p>
            <w:pPr>
              <w:spacing w:after="0"/>
            </w:pPr>
            <w:r>
              <w:rPr>
                <w:b/>
                <w:sz w:val="16"/>
              </w:rPr>
              <w:t>Beschreibung</w:t>
            </w:r>
          </w:p>
        </w:tc>
        <w:tc>
          <w:tcPr>
            <w:tcW w:type="dxa" w:w="794"/>
            <w:shd w:val="clear" w:color="auto" w:fill="FEEE19"/>
          </w:tcPr>
          <w:p>
            <w:pPr>
              <w:spacing w:after="0"/>
            </w:pPr>
            <w:r>
              <w:rPr>
                <w:b/>
                <w:sz w:val="16"/>
              </w:rPr>
              <w:t>Anzahl</w:t>
            </w:r>
          </w:p>
        </w:tc>
        <w:tc>
          <w:tcPr>
            <w:tcW w:type="dxa" w:w="1814"/>
            <w:shd w:val="clear" w:color="auto" w:fill="FEEE19"/>
          </w:tcPr>
          <w:p>
            <w:pPr>
              <w:spacing w:after="0"/>
            </w:pPr>
            <w:r>
              <w:rPr>
                <w:b/>
                <w:sz w:val="16"/>
              </w:rPr>
              <w:t>IF-WCS Kap.</w:t>
            </w:r>
          </w:p>
        </w:tc>
      </w:tr>
      <w:tr>
        <w:tc>
          <w:tcPr>
            <w:tcW w:type="dxa" w:w="3175"/>
          </w:tcPr>
          <w:p>
            <w:pPr>
              <w:spacing w:after="0" w:line="252" w:lineRule="auto"/>
            </w:pPr>
            <w:r>
              <w:rPr>
                <w:rFonts w:ascii="Consolas" w:hAnsi="Consolas"/>
                <w:sz w:val="14"/>
              </w:rPr>
              <w:t>WCS_PICKREQEXTREF00005</w:t>
            </w:r>
          </w:p>
        </w:tc>
        <w:tc>
          <w:tcPr>
            <w:tcW w:type="dxa" w:w="3742"/>
          </w:tcPr>
          <w:p>
            <w:pPr>
              <w:spacing w:after="0" w:line="252" w:lineRule="auto"/>
            </w:pPr>
            <w:r>
              <w:rPr>
                <w:sz w:val="16"/>
              </w:rPr>
              <w:t>Picking request external reference</w:t>
            </w:r>
          </w:p>
        </w:tc>
        <w:tc>
          <w:tcPr>
            <w:tcW w:type="dxa" w:w="794"/>
          </w:tcPr>
          <w:p>
            <w:pPr>
              <w:spacing w:after="0" w:line="252" w:lineRule="auto"/>
            </w:pPr>
            <w:r>
              <w:rPr>
                <w:sz w:val="16"/>
              </w:rPr>
              <w:t>0…n</w:t>
            </w:r>
          </w:p>
        </w:tc>
        <w:tc>
          <w:tcPr>
            <w:tcW w:type="dxa" w:w="1814"/>
          </w:tcPr>
          <w:p>
            <w:pPr>
              <w:spacing w:after="0" w:line="252" w:lineRule="auto"/>
            </w:pPr>
            <w:r>
              <w:rPr>
                <w:sz w:val="16"/>
              </w:rPr>
              <w:t>9.1.1.5 / 9.1.2.5</w:t>
            </w:r>
          </w:p>
        </w:tc>
      </w:tr>
      <w:tr>
        <w:tc>
          <w:tcPr>
            <w:tcW w:type="dxa" w:w="3175"/>
          </w:tcPr>
          <w:p>
            <w:pPr>
              <w:spacing w:after="0" w:line="252" w:lineRule="auto"/>
            </w:pPr>
            <w:r>
              <w:rPr>
                <w:rFonts w:ascii="Consolas" w:hAnsi="Consolas"/>
                <w:sz w:val="14"/>
              </w:rPr>
              <w:t>WCS_PICKREQLINEEXTREF00005</w:t>
            </w:r>
          </w:p>
        </w:tc>
        <w:tc>
          <w:tcPr>
            <w:tcW w:type="dxa" w:w="3742"/>
          </w:tcPr>
          <w:p>
            <w:pPr>
              <w:spacing w:after="0" w:line="252" w:lineRule="auto"/>
            </w:pPr>
            <w:r>
              <w:rPr>
                <w:sz w:val="16"/>
              </w:rPr>
              <w:t>Picking request line external reference</w:t>
            </w:r>
          </w:p>
        </w:tc>
        <w:tc>
          <w:tcPr>
            <w:tcW w:type="dxa" w:w="794"/>
          </w:tcPr>
          <w:p>
            <w:pPr>
              <w:spacing w:after="0" w:line="252" w:lineRule="auto"/>
            </w:pPr>
            <w:r>
              <w:rPr>
                <w:sz w:val="16"/>
              </w:rPr>
              <w:t>0…n</w:t>
            </w:r>
          </w:p>
        </w:tc>
        <w:tc>
          <w:tcPr>
            <w:tcW w:type="dxa" w:w="1814"/>
          </w:tcPr>
          <w:p>
            <w:pPr>
              <w:spacing w:after="0" w:line="252" w:lineRule="auto"/>
            </w:pPr>
            <w:r>
              <w:rPr>
                <w:sz w:val="16"/>
              </w:rPr>
              <w:t>9.1.1.6 / 9.1.2.6</w:t>
            </w:r>
          </w:p>
        </w:tc>
      </w:tr>
      <w:tr>
        <w:tc>
          <w:tcPr>
            <w:tcW w:type="dxa" w:w="3175"/>
          </w:tcPr>
          <w:p>
            <w:pPr>
              <w:spacing w:after="0" w:line="252" w:lineRule="auto"/>
            </w:pPr>
            <w:r>
              <w:rPr>
                <w:rFonts w:ascii="Consolas" w:hAnsi="Consolas"/>
                <w:sz w:val="14"/>
              </w:rPr>
              <w:t>WCS_PRINTMETADATA00007</w:t>
            </w:r>
            <w:r>
              <w:rPr>
                <w:sz w:val="16"/>
              </w:rPr>
              <w:t xml:space="preserve">, Feld 28 </w:t>
            </w:r>
            <w:r>
              <w:rPr>
                <w:rFonts w:ascii="Consolas" w:hAnsi="Consolas"/>
                <w:sz w:val="14"/>
              </w:rPr>
              <w:t>externalRef</w:t>
            </w:r>
            <w:r>
              <w:rPr>
                <w:sz w:val="16"/>
              </w:rPr>
              <w:t xml:space="preserve"> (S, 20)</w:t>
            </w:r>
          </w:p>
        </w:tc>
        <w:tc>
          <w:tcPr>
            <w:tcW w:type="dxa" w:w="3742"/>
          </w:tcPr>
          <w:p>
            <w:pPr>
              <w:spacing w:after="0" w:line="252" w:lineRule="auto"/>
            </w:pPr>
            <w:r>
              <w:rPr>
                <w:sz w:val="16"/>
              </w:rPr>
              <w:t>„External reference: It refers to an additional reference, which is not used in WAMAS.“</w:t>
            </w:r>
          </w:p>
        </w:tc>
        <w:tc>
          <w:tcPr>
            <w:tcW w:type="dxa" w:w="794"/>
          </w:tcPr>
          <w:p>
            <w:pPr>
              <w:spacing w:after="0" w:line="252" w:lineRule="auto"/>
            </w:pPr>
            <w:r>
              <w:rPr>
                <w:sz w:val="16"/>
              </w:rPr>
              <w:t>–</w:t>
            </w:r>
          </w:p>
        </w:tc>
        <w:tc>
          <w:tcPr>
            <w:tcW w:type="dxa" w:w="1814"/>
          </w:tcPr>
          <w:p>
            <w:pPr>
              <w:spacing w:after="0" w:line="252" w:lineRule="auto"/>
            </w:pPr>
            <w:r>
              <w:rPr>
                <w:sz w:val="16"/>
              </w:rPr>
              <w:t>9.1.1.4 / 9.1.2.4</w:t>
            </w:r>
          </w:p>
        </w:tc>
      </w:tr>
    </w:tbl>
    <w:p>
      <w:pPr>
        <w:pStyle w:val="BeschriftungSSI"/>
      </w:pPr>
      <w:r>
        <w:t>Tab. 9: Satzarten und Felder für externe Referenzen (IF-WCS 2.7)</w:t>
      </w:r>
    </w:p>
    <w:p>
      <w:pPr>
        <w:pStyle w:val="Quelle"/>
      </w:pPr>
      <w:r>
        <w:rPr>
          <w:b/>
        </w:rPr>
        <w:t xml:space="preserve">Quelle: </w:t>
      </w:r>
      <w:r>
        <w:rPr>
          <w:sz w:val="17"/>
        </w:rPr>
        <w:t>IF-ERP Kap. 6.1, 6.2, 7.1, 7.2, 8.1, 8.2 (S. 67, 79–80, 95, 107–108, 123–124, 135–136); IF-WCS Kap. 9, 9.1.1.4–9.1.2.6 (S. 128–139)</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Abgleich 2.8</w:t>
            </w:r>
          </w:p>
          <w:p>
            <w:pPr>
              <w:spacing w:after="40"/>
            </w:pPr>
            <w:r>
              <w:rPr>
                <w:sz w:val="19"/>
              </w:rPr>
              <w:t>Abgleich mit Release 2.8: Die Interface Manuals 2.8 (WLS – ERP und WLS – WAMAS WMS/MFS) enthalten dieselben Satzarten mit identischen Feldnamen, Typen und Längen (</w:t>
            </w:r>
            <w:r>
              <w:rPr>
                <w:rFonts w:ascii="Consolas" w:hAnsi="Consolas"/>
                <w:sz w:val="17"/>
              </w:rPr>
              <w:t>extRefKey</w:t>
            </w:r>
            <w:r>
              <w:rPr>
                <w:sz w:val="19"/>
              </w:rPr>
              <w:t xml:space="preserve"> S 64, </w:t>
            </w:r>
            <w:r>
              <w:rPr>
                <w:rFonts w:ascii="Consolas" w:hAnsi="Consolas"/>
                <w:sz w:val="17"/>
              </w:rPr>
              <w:t>extRefVal1</w:t>
            </w:r>
            <w:r>
              <w:rPr>
                <w:sz w:val="19"/>
              </w:rPr>
              <w:t>/</w:t>
            </w:r>
            <w:r>
              <w:rPr>
                <w:rFonts w:ascii="Consolas" w:hAnsi="Consolas"/>
                <w:sz w:val="17"/>
              </w:rPr>
              <w:t>extRefVal2</w:t>
            </w:r>
            <w:r>
              <w:rPr>
                <w:sz w:val="19"/>
              </w:rPr>
              <w:t xml:space="preserve"> S 512).</w:t>
            </w:r>
          </w:p>
        </w:tc>
      </w:tr>
    </w:tbl>
    <w:p>
      <w:pPr>
        <w:spacing w:after="40"/>
      </w:pPr>
    </w:p>
    <w:p>
      <w:pPr>
        <w:pStyle w:val="Heading2"/>
      </w:pPr>
      <w:r>
        <w:t>6.2 Felder der Satzarten</w:t>
      </w:r>
    </w:p>
    <w:p>
      <w:r>
        <w:t xml:space="preserve">Spaltenlegende laut IF-ERP Kap. 2.1.6: </w:t>
      </w:r>
      <w:r>
        <w:rPr>
          <w:b/>
        </w:rPr>
        <w:t>T</w:t>
      </w:r>
      <w:r>
        <w:t xml:space="preserve"> = Typ (S = String, N = Numerisch), </w:t>
      </w:r>
      <w:r>
        <w:rPr>
          <w:b/>
        </w:rPr>
        <w:t>L</w:t>
      </w:r>
      <w:r>
        <w:t xml:space="preserve"> = Gesamtlänge, </w:t>
      </w:r>
      <w:r>
        <w:rPr>
          <w:b/>
        </w:rPr>
        <w:t>M</w:t>
      </w:r>
      <w:r>
        <w:t xml:space="preserve"> = Pflichtfeld (X = Pflicht), </w:t>
      </w:r>
      <w:r>
        <w:rPr>
          <w:b/>
        </w:rPr>
        <w:t>F</w:t>
      </w:r>
      <w:r>
        <w:t xml:space="preserve"> = Fremdschlüssel.</w:t>
      </w:r>
    </w:p>
    <w:p>
      <w:pPr>
        <w:spacing w:after="40"/>
      </w:pPr>
      <w:r>
        <w:rPr>
          <w:b/>
        </w:rPr>
        <w:t>Kopf-Referenz eingehend</w:t>
      </w:r>
      <w:r>
        <w:t xml:space="preserve"> (</w:t>
      </w:r>
      <w:r>
        <w:rPr>
          <w:rFonts w:ascii="Consolas" w:hAnsi="Consolas"/>
          <w:sz w:val="18"/>
        </w:rPr>
        <w:t>WLSSDEXTREF001</w:t>
      </w:r>
      <w:r>
        <w:t xml:space="preserve">, </w:t>
      </w:r>
      <w:r>
        <w:rPr>
          <w:rFonts w:ascii="Consolas" w:hAnsi="Consolas"/>
          <w:sz w:val="18"/>
        </w:rPr>
        <w:t>WLSPDEXTREF001</w:t>
      </w:r>
      <w:r>
        <w:t xml:space="preserve">, </w:t>
      </w:r>
      <w:r>
        <w:rPr>
          <w:rFonts w:ascii="Consolas" w:hAnsi="Consolas"/>
          <w:sz w:val="18"/>
        </w:rPr>
        <w:t>WLSINVDEXTREF001</w:t>
      </w:r>
      <w:r>
        <w:t>):</w:t>
      </w:r>
    </w:p>
    <w:tbl>
      <w:tblPr>
        <w:tblStyle w:val="TableGrid"/>
        <w:jc w:val="left"/>
        <w:tblLook w:firstColumn="1" w:firstRow="1" w:lastColumn="0" w:lastRow="0" w:noHBand="0" w:noVBand="1" w:val="04A0"/>
        <w:tblW w:w="918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96"/>
        <w:gridCol w:w="2608"/>
        <w:gridCol w:w="1417"/>
        <w:gridCol w:w="2778"/>
        <w:gridCol w:w="453"/>
        <w:gridCol w:w="623"/>
        <w:gridCol w:w="453"/>
        <w:gridCol w:w="453"/>
      </w:tblGrid>
      <w:tr>
        <w:trPr>
          <w:tblHeader w:val="true"/>
        </w:trPr>
        <w:tc>
          <w:tcPr>
            <w:tcW w:type="dxa" w:w="397"/>
            <w:shd w:val="clear" w:color="auto" w:fill="FEEE19"/>
          </w:tcPr>
          <w:p>
            <w:pPr>
              <w:spacing w:after="0"/>
            </w:pPr>
            <w:r>
              <w:rPr>
                <w:b/>
                <w:sz w:val="16"/>
              </w:rPr>
              <w:t>#</w:t>
            </w:r>
          </w:p>
        </w:tc>
        <w:tc>
          <w:tcPr>
            <w:tcW w:type="dxa" w:w="2608"/>
            <w:shd w:val="clear" w:color="auto" w:fill="FEEE19"/>
          </w:tcPr>
          <w:p>
            <w:pPr>
              <w:spacing w:after="0"/>
            </w:pPr>
            <w:r>
              <w:rPr>
                <w:b/>
                <w:sz w:val="16"/>
              </w:rPr>
              <w:t>Beschreibung</w:t>
            </w:r>
          </w:p>
        </w:tc>
        <w:tc>
          <w:tcPr>
            <w:tcW w:type="dxa" w:w="1417"/>
            <w:shd w:val="clear" w:color="auto" w:fill="FEEE19"/>
          </w:tcPr>
          <w:p>
            <w:pPr>
              <w:spacing w:after="0"/>
            </w:pPr>
            <w:r>
              <w:rPr>
                <w:b/>
                <w:sz w:val="16"/>
              </w:rPr>
              <w:t>Kurzname</w:t>
            </w:r>
          </w:p>
        </w:tc>
        <w:tc>
          <w:tcPr>
            <w:tcW w:type="dxa" w:w="2778"/>
            <w:shd w:val="clear" w:color="auto" w:fill="FEEE19"/>
          </w:tcPr>
          <w:p>
            <w:pPr>
              <w:spacing w:after="0"/>
            </w:pPr>
            <w:r>
              <w:rPr>
                <w:b/>
                <w:sz w:val="16"/>
              </w:rPr>
              <w:t>Tabelle.Feld</w:t>
            </w:r>
          </w:p>
        </w:tc>
        <w:tc>
          <w:tcPr>
            <w:tcW w:type="dxa" w:w="454"/>
            <w:shd w:val="clear" w:color="auto" w:fill="FEEE19"/>
          </w:tcPr>
          <w:p>
            <w:pPr>
              <w:spacing w:after="0"/>
            </w:pPr>
            <w:r>
              <w:rPr>
                <w:b/>
                <w:sz w:val="16"/>
              </w:rPr>
              <w:t>T</w:t>
            </w:r>
          </w:p>
        </w:tc>
        <w:tc>
          <w:tcPr>
            <w:tcW w:type="dxa" w:w="624"/>
            <w:shd w:val="clear" w:color="auto" w:fill="FEEE19"/>
          </w:tcPr>
          <w:p>
            <w:pPr>
              <w:spacing w:after="0"/>
            </w:pPr>
            <w:r>
              <w:rPr>
                <w:b/>
                <w:sz w:val="16"/>
              </w:rPr>
              <w:t>L</w:t>
            </w:r>
          </w:p>
        </w:tc>
        <w:tc>
          <w:tcPr>
            <w:tcW w:type="dxa" w:w="454"/>
            <w:shd w:val="clear" w:color="auto" w:fill="FEEE19"/>
          </w:tcPr>
          <w:p>
            <w:pPr>
              <w:spacing w:after="0"/>
            </w:pPr>
            <w:r>
              <w:rPr>
                <w:b/>
                <w:sz w:val="16"/>
              </w:rPr>
              <w:t>M</w:t>
            </w:r>
          </w:p>
        </w:tc>
        <w:tc>
          <w:tcPr>
            <w:tcW w:type="dxa" w:w="454"/>
            <w:shd w:val="clear" w:color="auto" w:fill="FEEE19"/>
          </w:tcPr>
          <w:p>
            <w:pPr>
              <w:spacing w:after="0"/>
            </w:pPr>
            <w:r>
              <w:rPr>
                <w:b/>
                <w:sz w:val="16"/>
              </w:rPr>
              <w:t>F</w:t>
            </w:r>
          </w:p>
        </w:tc>
      </w:tr>
      <w:tr>
        <w:tc>
          <w:tcPr>
            <w:tcW w:type="dxa" w:w="397"/>
          </w:tcPr>
          <w:p>
            <w:pPr>
              <w:spacing w:after="0" w:line="252" w:lineRule="auto"/>
            </w:pPr>
            <w:r>
              <w:rPr>
                <w:sz w:val="16"/>
              </w:rPr>
              <w:t>1</w:t>
            </w:r>
          </w:p>
        </w:tc>
        <w:tc>
          <w:tcPr>
            <w:tcW w:type="dxa" w:w="2608"/>
          </w:tcPr>
          <w:p>
            <w:pPr>
              <w:spacing w:after="0" w:line="252" w:lineRule="auto"/>
            </w:pPr>
            <w:r>
              <w:rPr>
                <w:sz w:val="16"/>
              </w:rPr>
              <w:t>Client</w:t>
            </w:r>
          </w:p>
        </w:tc>
        <w:tc>
          <w:tcPr>
            <w:tcW w:type="dxa" w:w="1417"/>
          </w:tcPr>
          <w:p>
            <w:pPr>
              <w:spacing w:after="0" w:line="252" w:lineRule="auto"/>
            </w:pPr>
            <w:r>
              <w:rPr>
                <w:rFonts w:ascii="Consolas" w:hAnsi="Consolas"/>
                <w:sz w:val="14"/>
              </w:rPr>
              <w:t>clientId</w:t>
            </w:r>
          </w:p>
        </w:tc>
        <w:tc>
          <w:tcPr>
            <w:tcW w:type="dxa" w:w="2778"/>
          </w:tcPr>
          <w:p>
            <w:pPr>
              <w:spacing w:after="0" w:line="252" w:lineRule="auto"/>
            </w:pPr>
            <w:r>
              <w:rPr>
                <w:sz w:val="16"/>
              </w:rPr>
              <w:t>Client.clientId</w:t>
            </w:r>
          </w:p>
        </w:tc>
        <w:tc>
          <w:tcPr>
            <w:tcW w:type="dxa" w:w="454"/>
          </w:tcPr>
          <w:p>
            <w:pPr>
              <w:spacing w:after="0" w:line="252" w:lineRule="auto"/>
            </w:pPr>
            <w:r>
              <w:rPr>
                <w:sz w:val="16"/>
              </w:rPr>
              <w:t>S</w:t>
            </w:r>
          </w:p>
        </w:tc>
        <w:tc>
          <w:tcPr>
            <w:tcW w:type="dxa" w:w="624"/>
          </w:tcPr>
          <w:p>
            <w:pPr>
              <w:spacing w:after="0" w:line="252" w:lineRule="auto"/>
            </w:pPr>
            <w:r>
              <w:rPr>
                <w:sz w:val="16"/>
              </w:rPr>
              <w:t>10</w:t>
            </w:r>
          </w:p>
        </w:tc>
        <w:tc>
          <w:tcPr>
            <w:tcW w:type="dxa" w:w="454"/>
          </w:tcPr>
          <w:p>
            <w:pPr>
              <w:spacing w:after="0" w:line="252" w:lineRule="auto"/>
            </w:pPr>
            <w:r>
              <w:rPr>
                <w:sz w:val="16"/>
              </w:rPr>
              <w:t>X</w:t>
            </w:r>
          </w:p>
        </w:tc>
        <w:tc>
          <w:tcPr>
            <w:tcW w:type="dxa" w:w="454"/>
          </w:tcPr>
          <w:p>
            <w:pPr>
              <w:spacing w:after="0" w:line="252" w:lineRule="auto"/>
            </w:pPr>
            <w:r>
              <w:rPr>
                <w:sz w:val="16"/>
              </w:rPr>
              <w:t>X</w:t>
            </w:r>
          </w:p>
        </w:tc>
      </w:tr>
      <w:tr>
        <w:tc>
          <w:tcPr>
            <w:tcW w:type="dxa" w:w="397"/>
          </w:tcPr>
          <w:p>
            <w:pPr>
              <w:spacing w:after="0" w:line="252" w:lineRule="auto"/>
            </w:pPr>
            <w:r>
              <w:rPr>
                <w:sz w:val="16"/>
              </w:rPr>
              <w:t>2</w:t>
            </w:r>
          </w:p>
        </w:tc>
        <w:tc>
          <w:tcPr>
            <w:tcW w:type="dxa" w:w="2608"/>
          </w:tcPr>
          <w:p>
            <w:pPr>
              <w:spacing w:after="0" w:line="252" w:lineRule="auto"/>
            </w:pPr>
            <w:r>
              <w:rPr>
                <w:sz w:val="16"/>
              </w:rPr>
              <w:t>Storage / Picking / Inventory demand number</w:t>
            </w:r>
          </w:p>
        </w:tc>
        <w:tc>
          <w:tcPr>
            <w:tcW w:type="dxa" w:w="1417"/>
          </w:tcPr>
          <w:p>
            <w:pPr>
              <w:spacing w:after="0" w:line="252" w:lineRule="auto"/>
            </w:pPr>
            <w:r>
              <w:rPr>
                <w:rFonts w:ascii="Consolas" w:hAnsi="Consolas"/>
                <w:sz w:val="14"/>
              </w:rPr>
              <w:t>demandNo</w:t>
            </w:r>
          </w:p>
        </w:tc>
        <w:tc>
          <w:tcPr>
            <w:tcW w:type="dxa" w:w="2778"/>
          </w:tcPr>
          <w:p>
            <w:pPr>
              <w:spacing w:after="0" w:line="252" w:lineRule="auto"/>
            </w:pPr>
            <w:r>
              <w:rPr>
                <w:sz w:val="16"/>
              </w:rPr>
              <w:t>demandNo</w:t>
            </w:r>
          </w:p>
        </w:tc>
        <w:tc>
          <w:tcPr>
            <w:tcW w:type="dxa" w:w="454"/>
          </w:tcPr>
          <w:p>
            <w:pPr>
              <w:spacing w:after="0" w:line="252" w:lineRule="auto"/>
            </w:pPr>
            <w:r>
              <w:rPr>
                <w:sz w:val="16"/>
              </w:rPr>
              <w:t>S</w:t>
            </w:r>
          </w:p>
        </w:tc>
        <w:tc>
          <w:tcPr>
            <w:tcW w:type="dxa" w:w="624"/>
          </w:tcPr>
          <w:p>
            <w:pPr>
              <w:spacing w:after="0" w:line="252" w:lineRule="auto"/>
            </w:pPr>
            <w:r>
              <w:rPr>
                <w:sz w:val="16"/>
              </w:rPr>
              <w:t>20</w:t>
            </w:r>
          </w:p>
        </w:tc>
        <w:tc>
          <w:tcPr>
            <w:tcW w:type="dxa" w:w="454"/>
          </w:tcPr>
          <w:p>
            <w:pPr>
              <w:spacing w:after="0" w:line="252" w:lineRule="auto"/>
            </w:pPr>
            <w:r>
              <w:rPr>
                <w:sz w:val="16"/>
              </w:rPr>
              <w:t>X</w:t>
            </w:r>
          </w:p>
        </w:tc>
        <w:tc>
          <w:tcPr>
            <w:tcW w:type="dxa" w:w="454"/>
          </w:tcPr>
          <w:p>
            <w:pPr>
              <w:spacing w:after="0" w:line="252" w:lineRule="auto"/>
            </w:pPr>
          </w:p>
        </w:tc>
      </w:tr>
      <w:tr>
        <w:tc>
          <w:tcPr>
            <w:tcW w:type="dxa" w:w="397"/>
          </w:tcPr>
          <w:p>
            <w:pPr>
              <w:spacing w:after="0" w:line="252" w:lineRule="auto"/>
            </w:pPr>
            <w:r>
              <w:rPr>
                <w:sz w:val="16"/>
              </w:rPr>
              <w:t>3</w:t>
            </w:r>
          </w:p>
        </w:tc>
        <w:tc>
          <w:tcPr>
            <w:tcW w:type="dxa" w:w="2608"/>
          </w:tcPr>
          <w:p>
            <w:pPr>
              <w:spacing w:after="0" w:line="252" w:lineRule="auto"/>
            </w:pPr>
            <w:r>
              <w:rPr>
                <w:sz w:val="16"/>
              </w:rPr>
              <w:t>Key</w:t>
            </w:r>
          </w:p>
        </w:tc>
        <w:tc>
          <w:tcPr>
            <w:tcW w:type="dxa" w:w="1417"/>
          </w:tcPr>
          <w:p>
            <w:pPr>
              <w:spacing w:after="0" w:line="252" w:lineRule="auto"/>
            </w:pPr>
            <w:r>
              <w:rPr>
                <w:rFonts w:ascii="Consolas" w:hAnsi="Consolas"/>
                <w:sz w:val="14"/>
              </w:rPr>
              <w:t>extRefKey</w:t>
            </w:r>
          </w:p>
        </w:tc>
        <w:tc>
          <w:tcPr>
            <w:tcW w:type="dxa" w:w="2778"/>
          </w:tcPr>
          <w:p>
            <w:pPr>
              <w:spacing w:after="0" w:line="252" w:lineRule="auto"/>
            </w:pPr>
            <w:r>
              <w:rPr>
                <w:sz w:val="16"/>
              </w:rPr>
              <w:t>ExternalReference.extRefKey</w:t>
            </w:r>
          </w:p>
        </w:tc>
        <w:tc>
          <w:tcPr>
            <w:tcW w:type="dxa" w:w="454"/>
          </w:tcPr>
          <w:p>
            <w:pPr>
              <w:spacing w:after="0" w:line="252" w:lineRule="auto"/>
            </w:pPr>
            <w:r>
              <w:rPr>
                <w:sz w:val="16"/>
              </w:rPr>
              <w:t>S</w:t>
            </w:r>
          </w:p>
        </w:tc>
        <w:tc>
          <w:tcPr>
            <w:tcW w:type="dxa" w:w="624"/>
          </w:tcPr>
          <w:p>
            <w:pPr>
              <w:spacing w:after="0" w:line="252" w:lineRule="auto"/>
            </w:pPr>
            <w:r>
              <w:rPr>
                <w:sz w:val="16"/>
              </w:rPr>
              <w:t>64</w:t>
            </w:r>
          </w:p>
        </w:tc>
        <w:tc>
          <w:tcPr>
            <w:tcW w:type="dxa" w:w="454"/>
          </w:tcPr>
          <w:p>
            <w:pPr>
              <w:spacing w:after="0" w:line="252" w:lineRule="auto"/>
            </w:pPr>
          </w:p>
        </w:tc>
        <w:tc>
          <w:tcPr>
            <w:tcW w:type="dxa" w:w="454"/>
          </w:tcPr>
          <w:p>
            <w:pPr>
              <w:spacing w:after="0" w:line="252" w:lineRule="auto"/>
            </w:pPr>
          </w:p>
        </w:tc>
      </w:tr>
      <w:tr>
        <w:tc>
          <w:tcPr>
            <w:tcW w:type="dxa" w:w="397"/>
          </w:tcPr>
          <w:p>
            <w:pPr>
              <w:spacing w:after="0" w:line="252" w:lineRule="auto"/>
            </w:pPr>
            <w:r>
              <w:rPr>
                <w:sz w:val="16"/>
              </w:rPr>
              <w:t>4</w:t>
            </w:r>
          </w:p>
        </w:tc>
        <w:tc>
          <w:tcPr>
            <w:tcW w:type="dxa" w:w="2608"/>
          </w:tcPr>
          <w:p>
            <w:pPr>
              <w:spacing w:after="0" w:line="252" w:lineRule="auto"/>
            </w:pPr>
            <w:r>
              <w:rPr>
                <w:sz w:val="16"/>
              </w:rPr>
              <w:t>Value 1</w:t>
            </w:r>
          </w:p>
        </w:tc>
        <w:tc>
          <w:tcPr>
            <w:tcW w:type="dxa" w:w="1417"/>
          </w:tcPr>
          <w:p>
            <w:pPr>
              <w:spacing w:after="0" w:line="252" w:lineRule="auto"/>
            </w:pPr>
            <w:r>
              <w:rPr>
                <w:rFonts w:ascii="Consolas" w:hAnsi="Consolas"/>
                <w:sz w:val="14"/>
              </w:rPr>
              <w:t>extRefVal1</w:t>
            </w:r>
          </w:p>
        </w:tc>
        <w:tc>
          <w:tcPr>
            <w:tcW w:type="dxa" w:w="2778"/>
          </w:tcPr>
          <w:p>
            <w:pPr>
              <w:spacing w:after="0" w:line="252" w:lineRule="auto"/>
            </w:pPr>
            <w:r>
              <w:rPr>
                <w:sz w:val="16"/>
              </w:rPr>
              <w:t>ExternalReference.value1</w:t>
            </w:r>
          </w:p>
        </w:tc>
        <w:tc>
          <w:tcPr>
            <w:tcW w:type="dxa" w:w="454"/>
          </w:tcPr>
          <w:p>
            <w:pPr>
              <w:spacing w:after="0" w:line="252" w:lineRule="auto"/>
            </w:pPr>
            <w:r>
              <w:rPr>
                <w:sz w:val="16"/>
              </w:rPr>
              <w:t>S</w:t>
            </w:r>
          </w:p>
        </w:tc>
        <w:tc>
          <w:tcPr>
            <w:tcW w:type="dxa" w:w="624"/>
          </w:tcPr>
          <w:p>
            <w:pPr>
              <w:spacing w:after="0" w:line="252" w:lineRule="auto"/>
            </w:pPr>
            <w:r>
              <w:rPr>
                <w:sz w:val="16"/>
              </w:rPr>
              <w:t>512</w:t>
            </w:r>
          </w:p>
        </w:tc>
        <w:tc>
          <w:tcPr>
            <w:tcW w:type="dxa" w:w="454"/>
          </w:tcPr>
          <w:p>
            <w:pPr>
              <w:spacing w:after="0" w:line="252" w:lineRule="auto"/>
            </w:pPr>
          </w:p>
        </w:tc>
        <w:tc>
          <w:tcPr>
            <w:tcW w:type="dxa" w:w="454"/>
          </w:tcPr>
          <w:p>
            <w:pPr>
              <w:spacing w:after="0" w:line="252" w:lineRule="auto"/>
            </w:pPr>
          </w:p>
        </w:tc>
      </w:tr>
      <w:tr>
        <w:tc>
          <w:tcPr>
            <w:tcW w:type="dxa" w:w="397"/>
          </w:tcPr>
          <w:p>
            <w:pPr>
              <w:spacing w:after="0" w:line="252" w:lineRule="auto"/>
            </w:pPr>
            <w:r>
              <w:rPr>
                <w:sz w:val="16"/>
              </w:rPr>
              <w:t>5</w:t>
            </w:r>
          </w:p>
        </w:tc>
        <w:tc>
          <w:tcPr>
            <w:tcW w:type="dxa" w:w="2608"/>
          </w:tcPr>
          <w:p>
            <w:pPr>
              <w:spacing w:after="0" w:line="252" w:lineRule="auto"/>
            </w:pPr>
            <w:r>
              <w:rPr>
                <w:sz w:val="16"/>
              </w:rPr>
              <w:t>Value 2</w:t>
            </w:r>
          </w:p>
        </w:tc>
        <w:tc>
          <w:tcPr>
            <w:tcW w:type="dxa" w:w="1417"/>
          </w:tcPr>
          <w:p>
            <w:pPr>
              <w:spacing w:after="0" w:line="252" w:lineRule="auto"/>
            </w:pPr>
            <w:r>
              <w:rPr>
                <w:rFonts w:ascii="Consolas" w:hAnsi="Consolas"/>
                <w:sz w:val="14"/>
              </w:rPr>
              <w:t>extRefVal2</w:t>
            </w:r>
          </w:p>
        </w:tc>
        <w:tc>
          <w:tcPr>
            <w:tcW w:type="dxa" w:w="2778"/>
          </w:tcPr>
          <w:p>
            <w:pPr>
              <w:spacing w:after="0" w:line="252" w:lineRule="auto"/>
            </w:pPr>
            <w:r>
              <w:rPr>
                <w:sz w:val="16"/>
              </w:rPr>
              <w:t>ExternalReference.value2</w:t>
            </w:r>
          </w:p>
        </w:tc>
        <w:tc>
          <w:tcPr>
            <w:tcW w:type="dxa" w:w="454"/>
          </w:tcPr>
          <w:p>
            <w:pPr>
              <w:spacing w:after="0" w:line="252" w:lineRule="auto"/>
            </w:pPr>
            <w:r>
              <w:rPr>
                <w:sz w:val="16"/>
              </w:rPr>
              <w:t>S</w:t>
            </w:r>
          </w:p>
        </w:tc>
        <w:tc>
          <w:tcPr>
            <w:tcW w:type="dxa" w:w="624"/>
          </w:tcPr>
          <w:p>
            <w:pPr>
              <w:spacing w:after="0" w:line="252" w:lineRule="auto"/>
            </w:pPr>
            <w:r>
              <w:rPr>
                <w:sz w:val="16"/>
              </w:rPr>
              <w:t>512</w:t>
            </w:r>
          </w:p>
        </w:tc>
        <w:tc>
          <w:tcPr>
            <w:tcW w:type="dxa" w:w="454"/>
          </w:tcPr>
          <w:p>
            <w:pPr>
              <w:spacing w:after="0" w:line="252" w:lineRule="auto"/>
            </w:pPr>
          </w:p>
        </w:tc>
        <w:tc>
          <w:tcPr>
            <w:tcW w:type="dxa" w:w="454"/>
          </w:tcPr>
          <w:p>
            <w:pPr>
              <w:spacing w:after="0" w:line="252" w:lineRule="auto"/>
            </w:pPr>
          </w:p>
        </w:tc>
      </w:tr>
    </w:tbl>
    <w:p>
      <w:pPr>
        <w:pStyle w:val="BeschriftungSSI"/>
      </w:pPr>
      <w:r>
        <w:t>Tab. 10: Kopf-Referenz eingehend (IF-ERP Tab. 39, 56, 74)</w:t>
      </w:r>
    </w:p>
    <w:p>
      <w:pPr>
        <w:spacing w:after="40"/>
      </w:pPr>
      <w:r>
        <w:rPr>
          <w:b/>
        </w:rPr>
        <w:t>Zeilen-Referenz eingehend</w:t>
      </w:r>
      <w:r>
        <w:t xml:space="preserve"> (</w:t>
      </w:r>
      <w:r>
        <w:rPr>
          <w:rFonts w:ascii="Consolas" w:hAnsi="Consolas"/>
          <w:sz w:val="18"/>
        </w:rPr>
        <w:t>WLSSDLEXTREF001</w:t>
      </w:r>
      <w:r>
        <w:t xml:space="preserve">, </w:t>
      </w:r>
      <w:r>
        <w:rPr>
          <w:rFonts w:ascii="Consolas" w:hAnsi="Consolas"/>
          <w:sz w:val="18"/>
        </w:rPr>
        <w:t>WLSPDLEXTREF001</w:t>
      </w:r>
      <w:r>
        <w:t xml:space="preserve">, </w:t>
      </w:r>
      <w:r>
        <w:rPr>
          <w:rFonts w:ascii="Consolas" w:hAnsi="Consolas"/>
          <w:sz w:val="18"/>
        </w:rPr>
        <w:t>WLSINVDLEXTREF001</w:t>
      </w:r>
      <w:r>
        <w:t>): wie Tab. 10, zusätzlich an Position 3:</w:t>
      </w:r>
    </w:p>
    <w:tbl>
      <w:tblPr>
        <w:tblStyle w:val="TableGrid"/>
        <w:jc w:val="left"/>
        <w:tblLook w:firstColumn="1" w:firstRow="1" w:lastColumn="0" w:lastRow="0" w:noHBand="0" w:noVBand="1" w:val="04A0"/>
        <w:tblW w:w="9752"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10"/>
        <w:gridCol w:w="2041"/>
        <w:gridCol w:w="2494"/>
        <w:gridCol w:w="2381"/>
        <w:gridCol w:w="453"/>
        <w:gridCol w:w="963"/>
        <w:gridCol w:w="453"/>
        <w:gridCol w:w="453"/>
      </w:tblGrid>
      <w:tr>
        <w:trPr>
          <w:tblHeader w:val="true"/>
        </w:trPr>
        <w:tc>
          <w:tcPr>
            <w:tcW w:type="dxa" w:w="510"/>
            <w:shd w:val="clear" w:color="auto" w:fill="FEEE19"/>
          </w:tcPr>
          <w:p>
            <w:pPr>
              <w:spacing w:after="0"/>
            </w:pPr>
            <w:r>
              <w:rPr>
                <w:b/>
                <w:sz w:val="16"/>
              </w:rPr>
              <w:t>#</w:t>
            </w:r>
          </w:p>
        </w:tc>
        <w:tc>
          <w:tcPr>
            <w:tcW w:type="dxa" w:w="2041"/>
            <w:shd w:val="clear" w:color="auto" w:fill="FEEE19"/>
          </w:tcPr>
          <w:p>
            <w:pPr>
              <w:spacing w:after="0"/>
            </w:pPr>
            <w:r>
              <w:rPr>
                <w:b/>
                <w:sz w:val="16"/>
              </w:rPr>
              <w:t>Beschreibung</w:t>
            </w:r>
          </w:p>
        </w:tc>
        <w:tc>
          <w:tcPr>
            <w:tcW w:type="dxa" w:w="2494"/>
            <w:shd w:val="clear" w:color="auto" w:fill="FEEE19"/>
          </w:tcPr>
          <w:p>
            <w:pPr>
              <w:spacing w:after="0"/>
            </w:pPr>
            <w:r>
              <w:rPr>
                <w:b/>
                <w:sz w:val="16"/>
              </w:rPr>
              <w:t>Kurzname</w:t>
            </w:r>
          </w:p>
        </w:tc>
        <w:tc>
          <w:tcPr>
            <w:tcW w:type="dxa" w:w="2381"/>
            <w:shd w:val="clear" w:color="auto" w:fill="FEEE19"/>
          </w:tcPr>
          <w:p>
            <w:pPr>
              <w:spacing w:after="0"/>
            </w:pPr>
            <w:r>
              <w:rPr>
                <w:b/>
                <w:sz w:val="16"/>
              </w:rPr>
              <w:t>Tabelle.Feld</w:t>
            </w:r>
          </w:p>
        </w:tc>
        <w:tc>
          <w:tcPr>
            <w:tcW w:type="dxa" w:w="454"/>
            <w:shd w:val="clear" w:color="auto" w:fill="FEEE19"/>
          </w:tcPr>
          <w:p>
            <w:pPr>
              <w:spacing w:after="0"/>
            </w:pPr>
            <w:r>
              <w:rPr>
                <w:b/>
                <w:sz w:val="16"/>
              </w:rPr>
              <w:t>T</w:t>
            </w:r>
          </w:p>
        </w:tc>
        <w:tc>
          <w:tcPr>
            <w:tcW w:type="dxa" w:w="964"/>
            <w:shd w:val="clear" w:color="auto" w:fill="FEEE19"/>
          </w:tcPr>
          <w:p>
            <w:pPr>
              <w:spacing w:after="0"/>
            </w:pPr>
            <w:r>
              <w:rPr>
                <w:b/>
                <w:sz w:val="16"/>
              </w:rPr>
              <w:t>L</w:t>
            </w:r>
          </w:p>
        </w:tc>
        <w:tc>
          <w:tcPr>
            <w:tcW w:type="dxa" w:w="454"/>
            <w:shd w:val="clear" w:color="auto" w:fill="FEEE19"/>
          </w:tcPr>
          <w:p>
            <w:pPr>
              <w:spacing w:after="0"/>
            </w:pPr>
            <w:r>
              <w:rPr>
                <w:b/>
                <w:sz w:val="16"/>
              </w:rPr>
              <w:t>M</w:t>
            </w:r>
          </w:p>
        </w:tc>
        <w:tc>
          <w:tcPr>
            <w:tcW w:type="dxa" w:w="454"/>
            <w:shd w:val="clear" w:color="auto" w:fill="FEEE19"/>
          </w:tcPr>
          <w:p>
            <w:pPr>
              <w:spacing w:after="0"/>
            </w:pPr>
            <w:r>
              <w:rPr>
                <w:b/>
                <w:sz w:val="16"/>
              </w:rPr>
              <w:t>F</w:t>
            </w:r>
          </w:p>
        </w:tc>
      </w:tr>
      <w:tr>
        <w:tc>
          <w:tcPr>
            <w:tcW w:type="dxa" w:w="510"/>
          </w:tcPr>
          <w:p>
            <w:pPr>
              <w:spacing w:after="0" w:line="252" w:lineRule="auto"/>
            </w:pPr>
            <w:r>
              <w:rPr>
                <w:sz w:val="16"/>
              </w:rPr>
              <w:t>3</w:t>
            </w:r>
          </w:p>
        </w:tc>
        <w:tc>
          <w:tcPr>
            <w:tcW w:type="dxa" w:w="2041"/>
          </w:tcPr>
          <w:p>
            <w:pPr>
              <w:spacing w:after="0" w:line="252" w:lineRule="auto"/>
            </w:pPr>
            <w:r>
              <w:rPr>
                <w:sz w:val="16"/>
              </w:rPr>
              <w:t>System partner line</w:t>
            </w:r>
          </w:p>
        </w:tc>
        <w:tc>
          <w:tcPr>
            <w:tcW w:type="dxa" w:w="2494"/>
          </w:tcPr>
          <w:p>
            <w:pPr>
              <w:spacing w:after="0" w:line="252" w:lineRule="auto"/>
            </w:pPr>
            <w:r>
              <w:rPr>
                <w:rFonts w:ascii="Consolas" w:hAnsi="Consolas"/>
                <w:sz w:val="14"/>
              </w:rPr>
              <w:t>sysPartnerLine</w:t>
            </w:r>
          </w:p>
        </w:tc>
        <w:tc>
          <w:tcPr>
            <w:tcW w:type="dxa" w:w="2381"/>
          </w:tcPr>
          <w:p>
            <w:pPr>
              <w:spacing w:after="0" w:line="252" w:lineRule="auto"/>
            </w:pPr>
            <w:r>
              <w:rPr>
                <w:sz w:val="16"/>
              </w:rPr>
              <w:t>…DemandLine.sysPartnerLine</w:t>
            </w:r>
          </w:p>
        </w:tc>
        <w:tc>
          <w:tcPr>
            <w:tcW w:type="dxa" w:w="454"/>
          </w:tcPr>
          <w:p>
            <w:pPr>
              <w:spacing w:after="0" w:line="252" w:lineRule="auto"/>
            </w:pPr>
            <w:r>
              <w:rPr>
                <w:sz w:val="16"/>
              </w:rPr>
              <w:t>N</w:t>
            </w:r>
          </w:p>
        </w:tc>
        <w:tc>
          <w:tcPr>
            <w:tcW w:type="dxa" w:w="964"/>
          </w:tcPr>
          <w:p>
            <w:pPr>
              <w:spacing w:after="0" w:line="252" w:lineRule="auto"/>
            </w:pPr>
            <w:r>
              <w:rPr>
                <w:sz w:val="16"/>
              </w:rPr>
              <w:t>10</w:t>
            </w:r>
          </w:p>
        </w:tc>
        <w:tc>
          <w:tcPr>
            <w:tcW w:type="dxa" w:w="454"/>
          </w:tcPr>
          <w:p>
            <w:pPr>
              <w:spacing w:after="0" w:line="252" w:lineRule="auto"/>
            </w:pPr>
            <w:r>
              <w:rPr>
                <w:sz w:val="16"/>
              </w:rPr>
              <w:t>X</w:t>
            </w:r>
          </w:p>
        </w:tc>
        <w:tc>
          <w:tcPr>
            <w:tcW w:type="dxa" w:w="454"/>
          </w:tcPr>
          <w:p>
            <w:pPr>
              <w:spacing w:after="0" w:line="252" w:lineRule="auto"/>
            </w:pPr>
          </w:p>
        </w:tc>
      </w:tr>
      <w:tr>
        <w:tc>
          <w:tcPr>
            <w:tcW w:type="dxa" w:w="510"/>
          </w:tcPr>
          <w:p>
            <w:pPr>
              <w:spacing w:after="0" w:line="252" w:lineRule="auto"/>
            </w:pPr>
            <w:r>
              <w:rPr>
                <w:sz w:val="16"/>
              </w:rPr>
              <w:t>4–6</w:t>
            </w:r>
          </w:p>
        </w:tc>
        <w:tc>
          <w:tcPr>
            <w:tcW w:type="dxa" w:w="2041"/>
          </w:tcPr>
          <w:p>
            <w:pPr>
              <w:spacing w:after="0" w:line="252" w:lineRule="auto"/>
            </w:pPr>
            <w:r>
              <w:rPr>
                <w:sz w:val="16"/>
              </w:rPr>
              <w:t>Key, Value 1, Value 2</w:t>
            </w:r>
          </w:p>
        </w:tc>
        <w:tc>
          <w:tcPr>
            <w:tcW w:type="dxa" w:w="2494"/>
          </w:tcPr>
          <w:p>
            <w:pPr>
              <w:spacing w:after="0" w:line="252" w:lineRule="auto"/>
            </w:pPr>
            <w:r>
              <w:rPr>
                <w:rFonts w:ascii="Consolas" w:hAnsi="Consolas"/>
                <w:sz w:val="14"/>
              </w:rPr>
              <w:t>extRefKey</w:t>
            </w:r>
            <w:r>
              <w:rPr>
                <w:sz w:val="16"/>
              </w:rPr>
              <w:t xml:space="preserve">, </w:t>
            </w:r>
            <w:r>
              <w:rPr>
                <w:rFonts w:ascii="Consolas" w:hAnsi="Consolas"/>
                <w:sz w:val="14"/>
              </w:rPr>
              <w:t>extRefVal1</w:t>
            </w:r>
            <w:r>
              <w:rPr>
                <w:sz w:val="16"/>
              </w:rPr>
              <w:t xml:space="preserve">, </w:t>
            </w:r>
            <w:r>
              <w:rPr>
                <w:rFonts w:ascii="Consolas" w:hAnsi="Consolas"/>
                <w:sz w:val="14"/>
              </w:rPr>
              <w:t>extRefVal2</w:t>
            </w:r>
          </w:p>
        </w:tc>
        <w:tc>
          <w:tcPr>
            <w:tcW w:type="dxa" w:w="2381"/>
          </w:tcPr>
          <w:p>
            <w:pPr>
              <w:spacing w:after="0" w:line="252" w:lineRule="auto"/>
            </w:pPr>
            <w:r>
              <w:rPr>
                <w:sz w:val="16"/>
              </w:rPr>
              <w:t>ExternalReference</w:t>
            </w:r>
          </w:p>
        </w:tc>
        <w:tc>
          <w:tcPr>
            <w:tcW w:type="dxa" w:w="454"/>
          </w:tcPr>
          <w:p>
            <w:pPr>
              <w:spacing w:after="0" w:line="252" w:lineRule="auto"/>
            </w:pPr>
            <w:r>
              <w:rPr>
                <w:sz w:val="16"/>
              </w:rPr>
              <w:t>S</w:t>
            </w:r>
          </w:p>
        </w:tc>
        <w:tc>
          <w:tcPr>
            <w:tcW w:type="dxa" w:w="964"/>
          </w:tcPr>
          <w:p>
            <w:pPr>
              <w:spacing w:after="0" w:line="252" w:lineRule="auto"/>
            </w:pPr>
            <w:r>
              <w:rPr>
                <w:sz w:val="16"/>
              </w:rPr>
              <w:t>64 / 512 / 512</w:t>
            </w:r>
          </w:p>
        </w:tc>
        <w:tc>
          <w:tcPr>
            <w:tcW w:type="dxa" w:w="454"/>
          </w:tcPr>
          <w:p>
            <w:pPr>
              <w:spacing w:after="0" w:line="252" w:lineRule="auto"/>
            </w:pPr>
          </w:p>
        </w:tc>
        <w:tc>
          <w:tcPr>
            <w:tcW w:type="dxa" w:w="454"/>
          </w:tcPr>
          <w:p>
            <w:pPr>
              <w:spacing w:after="0" w:line="252" w:lineRule="auto"/>
            </w:pPr>
          </w:p>
        </w:tc>
      </w:tr>
    </w:tbl>
    <w:p>
      <w:pPr>
        <w:pStyle w:val="BeschriftungSSI"/>
      </w:pPr>
      <w:r>
        <w:t>Tab. 11: Zeilen-Referenz eingehend (IF-ERP Tab. 40, 57, 75)</w:t>
      </w:r>
    </w:p>
    <w:p>
      <w:r>
        <w:rPr>
          <w:b/>
        </w:rPr>
        <w:t>Kopf-Referenz Quittierung</w:t>
      </w:r>
      <w:r>
        <w:t xml:space="preserve"> (</w:t>
      </w:r>
      <w:r>
        <w:rPr>
          <w:rFonts w:ascii="Consolas" w:hAnsi="Consolas"/>
          <w:sz w:val="18"/>
        </w:rPr>
        <w:t>…EXTREFACK001</w:t>
      </w:r>
      <w:r>
        <w:t xml:space="preserve">): </w:t>
      </w:r>
      <w:r>
        <w:rPr>
          <w:rFonts w:ascii="Consolas" w:hAnsi="Consolas"/>
          <w:sz w:val="18"/>
        </w:rPr>
        <w:t>clientId</w:t>
      </w:r>
      <w:r>
        <w:t xml:space="preserve"> (S 10, M, F), </w:t>
      </w:r>
      <w:r>
        <w:rPr>
          <w:rFonts w:ascii="Consolas" w:hAnsi="Consolas"/>
          <w:sz w:val="18"/>
        </w:rPr>
        <w:t>demandNo</w:t>
      </w:r>
      <w:r>
        <w:t xml:space="preserve"> (S 20, M), </w:t>
      </w:r>
      <w:r>
        <w:rPr>
          <w:rFonts w:ascii="Consolas" w:hAnsi="Consolas"/>
          <w:sz w:val="18"/>
        </w:rPr>
        <w:t>systemPartner</w:t>
      </w:r>
      <w:r>
        <w:t xml:space="preserve"> (Feld </w:t>
      </w:r>
      <w:r>
        <w:rPr>
          <w:rFonts w:ascii="Consolas" w:hAnsi="Consolas"/>
          <w:sz w:val="18"/>
        </w:rPr>
        <w:t>sysPartner.id</w:t>
      </w:r>
      <w:r>
        <w:t xml:space="preserve">, S 10, M, F), </w:t>
      </w:r>
      <w:r>
        <w:rPr>
          <w:rFonts w:ascii="Consolas" w:hAnsi="Consolas"/>
          <w:sz w:val="18"/>
        </w:rPr>
        <w:t>extRefKey</w:t>
      </w:r>
      <w:r>
        <w:t xml:space="preserve"> (S 64), </w:t>
      </w:r>
      <w:r>
        <w:rPr>
          <w:rFonts w:ascii="Consolas" w:hAnsi="Consolas"/>
          <w:sz w:val="18"/>
        </w:rPr>
        <w:t>extRefVal1</w:t>
      </w:r>
      <w:r>
        <w:t xml:space="preserve"> (S 512), </w:t>
      </w:r>
      <w:r>
        <w:rPr>
          <w:rFonts w:ascii="Consolas" w:hAnsi="Consolas"/>
          <w:sz w:val="18"/>
        </w:rPr>
        <w:t>extRefVal2</w:t>
      </w:r>
      <w:r>
        <w:t xml:space="preserve"> (S 512).</w:t>
      </w:r>
    </w:p>
    <w:p>
      <w:r>
        <w:rPr>
          <w:b/>
        </w:rPr>
        <w:t>Zeilen-Referenz Quittierung</w:t>
      </w:r>
      <w:r>
        <w:t xml:space="preserve"> (</w:t>
      </w:r>
      <w:r>
        <w:rPr>
          <w:rFonts w:ascii="Consolas" w:hAnsi="Consolas"/>
          <w:sz w:val="18"/>
        </w:rPr>
        <w:t>…LEXTREFACK001</w:t>
      </w:r>
      <w:r>
        <w:t xml:space="preserve">): </w:t>
      </w:r>
      <w:r>
        <w:rPr>
          <w:rFonts w:ascii="Consolas" w:hAnsi="Consolas"/>
          <w:sz w:val="18"/>
        </w:rPr>
        <w:t>clientId</w:t>
      </w:r>
      <w:r>
        <w:t xml:space="preserve">, </w:t>
      </w:r>
      <w:r>
        <w:rPr>
          <w:rFonts w:ascii="Consolas" w:hAnsi="Consolas"/>
          <w:sz w:val="18"/>
        </w:rPr>
        <w:t>demandNo</w:t>
      </w:r>
      <w:r>
        <w:t xml:space="preserve">, </w:t>
      </w:r>
      <w:r>
        <w:rPr>
          <w:rFonts w:ascii="Consolas" w:hAnsi="Consolas"/>
          <w:sz w:val="18"/>
        </w:rPr>
        <w:t>systemPartner</w:t>
      </w:r>
      <w:r>
        <w:t xml:space="preserve">, </w:t>
      </w:r>
      <w:r>
        <w:rPr>
          <w:rFonts w:ascii="Consolas" w:hAnsi="Consolas"/>
          <w:sz w:val="18"/>
        </w:rPr>
        <w:t>sysPartnerLine</w:t>
      </w:r>
      <w:r>
        <w:t xml:space="preserve"> (N 10, M), </w:t>
      </w:r>
      <w:r>
        <w:rPr>
          <w:rFonts w:ascii="Consolas" w:hAnsi="Consolas"/>
          <w:sz w:val="18"/>
        </w:rPr>
        <w:t>demandLineNo</w:t>
      </w:r>
      <w:r>
        <w:t xml:space="preserve"> (N 10, M), </w:t>
      </w:r>
      <w:r>
        <w:rPr>
          <w:rFonts w:ascii="Consolas" w:hAnsi="Consolas"/>
          <w:sz w:val="18"/>
        </w:rPr>
        <w:t>extRefKey</w:t>
      </w:r>
      <w:r>
        <w:t xml:space="preserve">, </w:t>
      </w:r>
      <w:r>
        <w:rPr>
          <w:rFonts w:ascii="Consolas" w:hAnsi="Consolas"/>
          <w:sz w:val="18"/>
        </w:rPr>
        <w:t>extRefVal1</w:t>
      </w:r>
      <w:r>
        <w:t xml:space="preserve">, </w:t>
      </w:r>
      <w:r>
        <w:rPr>
          <w:rFonts w:ascii="Consolas" w:hAnsi="Consolas"/>
          <w:sz w:val="18"/>
        </w:rPr>
        <w:t>extRefVal2</w:t>
      </w:r>
      <w:r>
        <w:t>.</w:t>
      </w:r>
    </w:p>
    <w:p>
      <w:pPr>
        <w:spacing w:after="40"/>
      </w:pPr>
      <w:r>
        <w:rPr>
          <w:b/>
        </w:rPr>
        <w:t>Feldbedeutungen laut IF-ERP:</w:t>
      </w:r>
    </w:p>
    <w:p>
      <w:pPr>
        <w:pStyle w:val="ListBullet"/>
      </w:pPr>
      <w:r>
        <w:rPr>
          <w:rFonts w:ascii="Consolas" w:hAnsi="Consolas"/>
          <w:sz w:val="18"/>
        </w:rPr>
        <w:t>extRefKey</w:t>
      </w:r>
      <w:r>
        <w:t>: „It refers to the external reference key.“</w:t>
      </w:r>
    </w:p>
    <w:p>
      <w:pPr>
        <w:pStyle w:val="ListBullet"/>
      </w:pPr>
      <w:r>
        <w:rPr>
          <w:rFonts w:ascii="Consolas" w:hAnsi="Consolas"/>
          <w:sz w:val="18"/>
        </w:rPr>
        <w:t>extRefVal1</w:t>
      </w:r>
      <w:r>
        <w:t>: erster Wert zum Schlüssel, „The information is optional.“</w:t>
      </w:r>
    </w:p>
    <w:p>
      <w:pPr>
        <w:pStyle w:val="ListBullet"/>
      </w:pPr>
      <w:r>
        <w:rPr>
          <w:rFonts w:ascii="Consolas" w:hAnsi="Consolas"/>
          <w:sz w:val="18"/>
        </w:rPr>
        <w:t>extRefVal2</w:t>
      </w:r>
      <w:r>
        <w:t>: zweiter Wert zum Schlüssel, „The value can be empty.“</w:t>
      </w:r>
    </w:p>
    <w:p>
      <w:pPr>
        <w:pStyle w:val="ListBullet"/>
      </w:pPr>
      <w:r>
        <w:rPr>
          <w:rFonts w:ascii="Consolas" w:hAnsi="Consolas"/>
          <w:sz w:val="18"/>
        </w:rPr>
        <w:t>sysPartnerLine</w:t>
      </w:r>
      <w:r>
        <w:t>: zugehörige Zeile der ursprünglichen Systempartnernachricht; wird eine Zeile in WAMAS Lift &amp; Store angelegt, ist der Wert 0.</w:t>
      </w:r>
    </w:p>
    <w:p>
      <w:pPr>
        <w:pStyle w:val="ListBullet"/>
      </w:pPr>
      <w:r>
        <w:rPr>
          <w:rFonts w:ascii="Consolas" w:hAnsi="Consolas"/>
          <w:sz w:val="18"/>
        </w:rPr>
        <w:t>demandLineNo</w:t>
      </w:r>
      <w:r>
        <w:t>: Zeilennummer, Teil der eindeutigen Kennung.</w:t>
      </w:r>
    </w:p>
    <w:p>
      <w:pPr>
        <w:pStyle w:val="ListBullet"/>
      </w:pPr>
      <w:r>
        <w:rPr>
          <w:rFonts w:ascii="Consolas" w:hAnsi="Consolas"/>
          <w:sz w:val="18"/>
        </w:rPr>
        <w:t>clientId</w:t>
      </w:r>
      <w:r>
        <w:t>: eindeutige Kennung des Klienten, Initialwert DEFAULT.</w:t>
      </w:r>
    </w:p>
    <w:p>
      <w:r>
        <w:rPr>
          <w:b/>
        </w:rPr>
        <w:t>IF-WCS</w:t>
      </w:r>
      <w:r>
        <w:t xml:space="preserve"> (</w:t>
      </w:r>
      <w:r>
        <w:rPr>
          <w:rFonts w:ascii="Consolas" w:hAnsi="Consolas"/>
          <w:sz w:val="18"/>
        </w:rPr>
        <w:t>WCS_PICKREQEXTREF00005</w:t>
      </w:r>
      <w:r>
        <w:t xml:space="preserve">): </w:t>
      </w:r>
      <w:r>
        <w:rPr>
          <w:rFonts w:ascii="Consolas" w:hAnsi="Consolas"/>
          <w:sz w:val="18"/>
        </w:rPr>
        <w:t>orderId</w:t>
      </w:r>
      <w:r>
        <w:t xml:space="preserve"> (S 10, M), </w:t>
      </w:r>
      <w:r>
        <w:rPr>
          <w:rFonts w:ascii="Consolas" w:hAnsi="Consolas"/>
          <w:sz w:val="18"/>
        </w:rPr>
        <w:t>extRefKey</w:t>
      </w:r>
      <w:r>
        <w:t xml:space="preserve"> (S 64), </w:t>
      </w:r>
      <w:r>
        <w:rPr>
          <w:rFonts w:ascii="Consolas" w:hAnsi="Consolas"/>
          <w:sz w:val="18"/>
        </w:rPr>
        <w:t>extRefVal1</w:t>
      </w:r>
      <w:r>
        <w:t xml:space="preserve"> (S 512), </w:t>
      </w:r>
      <w:r>
        <w:rPr>
          <w:rFonts w:ascii="Consolas" w:hAnsi="Consolas"/>
          <w:sz w:val="18"/>
        </w:rPr>
        <w:t>extRefVal2</w:t>
      </w:r>
      <w:r>
        <w:t xml:space="preserve"> (S 512), </w:t>
      </w:r>
      <w:r>
        <w:rPr>
          <w:rFonts w:ascii="Consolas" w:hAnsi="Consolas"/>
          <w:sz w:val="18"/>
        </w:rPr>
        <w:t>recordState</w:t>
      </w:r>
      <w:r>
        <w:t xml:space="preserve"> (E 6). </w:t>
      </w:r>
      <w:r>
        <w:rPr>
          <w:rFonts w:ascii="Consolas" w:hAnsi="Consolas"/>
          <w:sz w:val="18"/>
        </w:rPr>
        <w:t>WCS_PICKREQLINEEXTREF00005</w:t>
      </w:r>
      <w:r>
        <w:t xml:space="preserve"> zusätzlich </w:t>
      </w:r>
      <w:r>
        <w:rPr>
          <w:rFonts w:ascii="Consolas" w:hAnsi="Consolas"/>
          <w:sz w:val="18"/>
        </w:rPr>
        <w:t>lineId</w:t>
      </w:r>
      <w:r>
        <w:t xml:space="preserve"> (N 5, M). </w:t>
      </w:r>
      <w:r>
        <w:rPr>
          <w:rFonts w:ascii="Consolas" w:hAnsi="Consolas"/>
          <w:sz w:val="18"/>
        </w:rPr>
        <w:t>recordState</w:t>
      </w:r>
      <w:r>
        <w:t xml:space="preserve"> ist optional; zulässig sind </w:t>
      </w:r>
      <w:r>
        <w:rPr>
          <w:rFonts w:ascii="Consolas" w:hAnsi="Consolas"/>
          <w:sz w:val="18"/>
        </w:rPr>
        <w:t>NORMAL</w:t>
      </w:r>
      <w:r>
        <w:t xml:space="preserve"> (Standard, Datensatz wird angelegt) und </w:t>
      </w:r>
      <w:r>
        <w:rPr>
          <w:rFonts w:ascii="Consolas" w:hAnsi="Consolas"/>
          <w:sz w:val="18"/>
        </w:rPr>
        <w:t>DELETE</w:t>
      </w:r>
      <w:r>
        <w:t xml:space="preserve"> (Datensatz wird gelöscht).</w:t>
      </w:r>
    </w:p>
    <w:p>
      <w:pPr>
        <w:pStyle w:val="Quelle"/>
      </w:pPr>
      <w:r>
        <w:rPr>
          <w:b/>
        </w:rPr>
        <w:t xml:space="preserve">Quelle: </w:t>
      </w:r>
      <w:r>
        <w:rPr>
          <w:sz w:val="17"/>
        </w:rPr>
        <w:t>IF-ERP Kap. 2.1.6 (S. 30–31), 6.1.1.4–6.1.2.5, 6.2.1.4–6.2.2.5, 7.1.1.4–7.1.2.5, 7.2.1.5–7.2.2.6, 8.1.1.4–8.1.2.5, 8.2.1.4–8.2.2.5; IF-WCS Kap. 9.1.1.5–9.1.2.6</w:t>
      </w:r>
    </w:p>
    <w:tbl>
      <w:tblPr>
        <w:jc w:val="left"/>
        <w:tblLook w:firstColumn="1" w:firstRow="1" w:lastColumn="0" w:lastRow="0" w:noHBand="0" w:noVBand="1" w:val="04A0"/>
        <w:tblW w:w="9525" w:type="dxa"/>
        <w:tblLayout w:type="fixed"/>
      </w:tblPr>
      <w:tblGrid>
        <w:gridCol w:w="9525"/>
      </w:tblGrid>
      <w:t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 xml:space="preserve">Die eingehenden ERP-Satzarten für externe Referenzen enthalten kein Feld </w:t>
            </w:r>
            <w:r>
              <w:rPr>
                <w:rFonts w:ascii="Consolas" w:hAnsi="Consolas"/>
                <w:sz w:val="17"/>
              </w:rPr>
              <w:t>recordState</w:t>
            </w:r>
            <w:r>
              <w:rPr>
                <w:sz w:val="19"/>
              </w:rPr>
              <w:t>. Wie externe Referenzen eines bestehenden Bedarfs über die ERP-Schnittstelle geändert oder gelöscht werden, ist nicht beschrieben.</w:t>
            </w:r>
          </w:p>
        </w:tc>
      </w:tr>
    </w:tbl>
    <w:p>
      <w:pPr>
        <w:spacing w:after="40"/>
      </w:pPr>
    </w:p>
    <w:p>
      <w:pPr>
        <w:pStyle w:val="Heading2"/>
      </w:pPr>
      <w:r>
        <w:t>6.3 Beispieltelegramme</w:t>
      </w:r>
    </w:p>
    <w:p>
      <w:r>
        <w:t xml:space="preserve">Die folgenden Beispiele stammen unverändert aus den Telegrammbeispielen 2.7.0 (Ordner </w:t>
      </w:r>
      <w:r>
        <w:rPr>
          <w:rFonts w:ascii="Consolas" w:hAnsi="Consolas"/>
          <w:sz w:val="18"/>
        </w:rPr>
        <w:t>04 Install\telegram_examples_2_7 1\examples</w:t>
      </w:r>
      <w:r>
        <w:t>). Die Interface Manuals selbst enthalten keine Beispieltelegramme mit externen Referenzen.</w:t>
      </w:r>
    </w:p>
    <w:p>
      <w:pPr>
        <w:spacing w:after="40"/>
      </w:pPr>
      <w:r>
        <w:rPr>
          <w:b/>
        </w:rPr>
        <w:t>Einlagerbedarf mit externen Referenzen, CSV</w:t>
      </w:r>
      <w:r>
        <w:t xml:space="preserve"> (Datei </w:t>
      </w:r>
      <w:r>
        <w:rPr>
          <w:rFonts w:ascii="Consolas" w:hAnsi="Consolas"/>
          <w:sz w:val="18"/>
        </w:rPr>
        <w:t>SD/with_ext_ref/sd2.csv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#SD with external ref</w:t>
            </w:r>
          </w:p>
          <w:p>
            <w:pPr>
              <w:pStyle w:val="Code"/>
            </w:pPr>
            <w:r>
              <w:t>HOST;WAMAS;1;20250311101234;WLSSD002;DEFAULT;121;;1;;RECV;ZONE1;;</w:t>
            </w:r>
          </w:p>
          <w:p>
            <w:pPr>
              <w:pStyle w:val="Code"/>
            </w:pPr>
            <w:r>
              <w:t>HOST;WAMAS;2;20250311101234;WLSSDL002;121;1;;1002-BOX_10x10;00000;1;A;20250101;20240101;23;;;;;;;;;;;;;;;;;;;;;pDEFAULT;100</w:t>
            </w:r>
          </w:p>
          <w:p>
            <w:pPr>
              <w:pStyle w:val="Code"/>
            </w:pPr>
            <w:r>
              <w:t>HOST;WAMAS;3;20250311101234;WLSSDLEXTREF001;DEFAULT;121;1;HL1;HL1_val1;HL1_val2</w:t>
            </w:r>
          </w:p>
          <w:p>
            <w:pPr>
              <w:pStyle w:val="Code"/>
            </w:pPr>
            <w:r>
              <w:t>HOST;WAMAS;4;20250311101234;WLSSDEXTREF001;DEFAULT;121;HK1;HK1_val1;HK1_val2</w:t>
            </w:r>
          </w:p>
        </w:tc>
      </w:tr>
    </w:tbl>
    <w:p>
      <w:pPr>
        <w:pStyle w:val="BeschriftungSSI"/>
      </w:pPr>
      <w:r>
        <w:t>Bsp. 1: Einlagerbedarf (CSV) – Kopf-Referenz HK1, Zeilen-Referenz HL1</w:t>
      </w:r>
    </w:p>
    <w:p>
      <w:pPr>
        <w:spacing w:after="40"/>
      </w:pPr>
      <w:r>
        <w:rPr>
          <w:b/>
        </w:rPr>
        <w:t>Kommissionierbedarf mit externen Referenzen, CSV</w:t>
      </w:r>
      <w:r>
        <w:t xml:space="preserve"> (Datei </w:t>
      </w:r>
      <w:r>
        <w:rPr>
          <w:rFonts w:ascii="Consolas" w:hAnsi="Consolas"/>
          <w:sz w:val="18"/>
        </w:rPr>
        <w:t>PD/with_ext_ref/pd2.csv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#with ext ref</w:t>
            </w:r>
          </w:p>
          <w:p>
            <w:pPr>
              <w:pStyle w:val="Code"/>
            </w:pPr>
            <w:r>
              <w:t>HOST;WAMAS;1;20250311113048;WLSPD002;DEFAULT;602;;1;;;SHPG;;;ZONE1</w:t>
            </w:r>
          </w:p>
          <w:p>
            <w:pPr>
              <w:pStyle w:val="Code"/>
            </w:pPr>
            <w:r>
              <w:t>HOST;WAMAS;2;20250311113048;WLSPDL002;602;1;;1002-BOX_10x10;00000;1;A;20250101;20240101;13;;;;;;;;;;;;;;;;;;;;;pDEFAULT;100</w:t>
            </w:r>
          </w:p>
          <w:p>
            <w:pPr>
              <w:pStyle w:val="Code"/>
            </w:pPr>
            <w:r>
              <w:t>HOST;WAMAS;3;20250311113048;WLSPDLEXTREF001;DEFAULT;602;1;L1;11;12</w:t>
            </w:r>
          </w:p>
          <w:p>
            <w:pPr>
              <w:pStyle w:val="Code"/>
            </w:pPr>
            <w:r>
              <w:t>HOST;WAMAS;4;20250311113048;WLSPDEXTREF001;DEFAULT;602;K1;1;2</w:t>
            </w:r>
          </w:p>
        </w:tc>
      </w:tr>
    </w:tbl>
    <w:p>
      <w:pPr>
        <w:pStyle w:val="BeschriftungSSI"/>
      </w:pPr>
      <w:r>
        <w:t>Bsp. 2: Kommissionierbedarf (CSV) – Kopf-Referenz K1, Zeilen-Referenz L1</w:t>
      </w:r>
    </w:p>
    <w:p>
      <w:pPr>
        <w:spacing w:after="40"/>
      </w:pPr>
      <w:r>
        <w:rPr>
          <w:b/>
        </w:rPr>
        <w:t>Inventurbedarf mit externen Referenzen, CSV</w:t>
      </w:r>
      <w:r>
        <w:t xml:space="preserve"> (Datei </w:t>
      </w:r>
      <w:r>
        <w:rPr>
          <w:rFonts w:ascii="Consolas" w:hAnsi="Consolas"/>
          <w:sz w:val="18"/>
        </w:rPr>
        <w:t>INVD/ext_ref/invd3.csv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#with ext ref</w:t>
            </w:r>
          </w:p>
          <w:p>
            <w:pPr>
              <w:pStyle w:val="Code"/>
            </w:pPr>
            <w:r>
              <w:t>HOST;WAMAS;1;20250311160138;WLSINVD002;203;;DEFAULT;WMS Default;5;;;</w:t>
            </w:r>
          </w:p>
          <w:p>
            <w:pPr>
              <w:pStyle w:val="Code"/>
            </w:pPr>
            <w:r>
              <w:t>HOST;WAMAS;2;20250311160138;WLSINVDL002;203;1;CREATE;1001-BOX_5x5;00000;;;;;;;;ZONE1;;;;;;;;;;;;;;;;;;;;;;;</w:t>
            </w:r>
          </w:p>
          <w:p>
            <w:pPr>
              <w:pStyle w:val="Code"/>
            </w:pPr>
            <w:r>
              <w:t>HOST;WAMAS;3;20250311160138;WLSINVDLEXTREF001;DEFAULT;203;1;L1;11;12</w:t>
            </w:r>
          </w:p>
          <w:p>
            <w:pPr>
              <w:pStyle w:val="Code"/>
            </w:pPr>
            <w:r>
              <w:t>HOST;WAMAS;4;20250311160138;WLSINVDEXTREF001;DEFAULT;203;H1;1;2</w:t>
            </w:r>
          </w:p>
        </w:tc>
      </w:tr>
    </w:tbl>
    <w:p>
      <w:pPr>
        <w:pStyle w:val="BeschriftungSSI"/>
      </w:pPr>
      <w:r>
        <w:t>Bsp. 3: Inventurbedarf (CSV) – Kopf-Referenz H1, Zeilen-Referenz L1</w:t>
      </w:r>
    </w:p>
    <w:p>
      <w:pPr>
        <w:spacing w:after="40"/>
      </w:pPr>
      <w:r>
        <w:rPr>
          <w:b/>
        </w:rPr>
        <w:t>Einlagerbedarf mit externen Referenzen, JSON</w:t>
      </w:r>
      <w:r>
        <w:t xml:space="preserve"> (Datei </w:t>
      </w:r>
      <w:r>
        <w:rPr>
          <w:rFonts w:ascii="Consolas" w:hAnsi="Consolas"/>
          <w:sz w:val="18"/>
        </w:rPr>
        <w:t>SD/with_ext_ref/sd1.json</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"DI_TELEGRAMS":{</w:t>
            </w:r>
          </w:p>
          <w:p>
            <w:pPr>
              <w:pStyle w:val="Code"/>
            </w:pPr>
            <w:r>
              <w:t xml:space="preserve">        "DI_TELEGRAM":[</w:t>
            </w:r>
          </w:p>
          <w:p>
            <w:pPr>
              <w:pStyle w:val="Code"/>
            </w:pPr>
            <w:r>
              <w:t xml:space="preserve">            {</w:t>
            </w:r>
          </w:p>
          <w:p>
            <w:pPr>
              <w:pStyle w:val="Code"/>
            </w:pPr>
            <w:r>
              <w:t xml:space="preserve">                "description":[</w:t>
            </w:r>
          </w:p>
          <w:p>
            <w:pPr>
              <w:pStyle w:val="Code"/>
            </w:pPr>
            <w:r>
              <w:t xml:space="preserve">                    "SD with external ref"</w:t>
            </w:r>
          </w:p>
          <w:p>
            <w:pPr>
              <w:pStyle w:val="Code"/>
            </w:pPr>
            <w:r>
              <w:t xml:space="preserve">                ],</w:t>
            </w:r>
          </w:p>
          <w:p>
            <w:pPr>
              <w:pStyle w:val="Code"/>
            </w:pPr>
            <w:r>
              <w:t xml:space="preserve">                "header":{</w:t>
            </w:r>
          </w:p>
          <w:p>
            <w:pPr>
              <w:pStyle w:val="Code"/>
            </w:pPr>
            <w:r>
              <w:t xml:space="preserve">                    "FULL":{</w:t>
            </w:r>
          </w:p>
          <w:p>
            <w:pPr>
              <w:pStyle w:val="Code"/>
            </w:pPr>
            <w:r>
              <w:t xml:space="preserve">                        "HEADER_SOURCE":"HOST",</w:t>
            </w:r>
          </w:p>
          <w:p>
            <w:pPr>
              <w:pStyle w:val="Code"/>
            </w:pPr>
            <w:r>
              <w:t xml:space="preserve">                        "HEADER_DESTINATION":"WAMAS",</w:t>
            </w:r>
          </w:p>
          <w:p>
            <w:pPr>
              <w:pStyle w:val="Code"/>
            </w:pPr>
            <w:r>
              <w:t xml:space="preserve">                        "HEADER_SEQUENCE":0,</w:t>
            </w:r>
          </w:p>
          <w:p>
            <w:pPr>
              <w:pStyle w:val="Code"/>
            </w:pPr>
            <w:r>
              <w:t xml:space="preserve">                        "HEADER_CREATIONTIME":"20250311101234",</w:t>
            </w:r>
          </w:p>
          <w:p>
            <w:pPr>
              <w:pStyle w:val="Code"/>
            </w:pPr>
            <w:r>
              <w:t xml:space="preserve">                        "HEADER_RECORDTYPENAME":"WLSSD002"</w:t>
            </w:r>
          </w:p>
          <w:p>
            <w:pPr>
              <w:pStyle w:val="Code"/>
            </w:pPr>
            <w:r>
              <w:t xml:space="preserve">                    }</w:t>
            </w:r>
          </w:p>
          <w:p>
            <w:pPr>
              <w:pStyle w:val="Code"/>
            </w:pPr>
            <w:r>
              <w:t xml:space="preserve">                },</w:t>
            </w:r>
          </w:p>
          <w:p>
            <w:pPr>
              <w:pStyle w:val="Code"/>
            </w:pPr>
            <w:r>
              <w:t xml:space="preserve">                "body":{</w:t>
            </w:r>
          </w:p>
          <w:p>
            <w:pPr>
              <w:pStyle w:val="Code"/>
            </w:pPr>
            <w:r>
              <w:t xml:space="preserve">                    "WLSSD002":{</w:t>
            </w:r>
          </w:p>
          <w:p>
            <w:pPr>
              <w:pStyle w:val="Code"/>
            </w:pPr>
            <w:r>
              <w:t xml:space="preserve">                        "clientId":"DEFAULT",</w:t>
            </w:r>
          </w:p>
          <w:p>
            <w:pPr>
              <w:pStyle w:val="Code"/>
            </w:pPr>
            <w:r>
              <w:t xml:space="preserve">                        "demandNo":"120",</w:t>
            </w:r>
          </w:p>
          <w:p>
            <w:pPr>
              <w:pStyle w:val="Code"/>
            </w:pPr>
            <w:r>
              <w:t xml:space="preserve">                        "priority":1,</w:t>
            </w:r>
          </w:p>
          <w:p>
            <w:pPr>
              <w:pStyle w:val="Code"/>
            </w:pPr>
            <w:r>
              <w:t xml:space="preserve">                        "noteNo":"",</w:t>
            </w:r>
          </w:p>
          <w:p>
            <w:pPr>
              <w:pStyle w:val="Code"/>
            </w:pPr>
            <w:r>
              <w:t xml:space="preserve">                        "typeId":"RECV",</w:t>
            </w:r>
          </w:p>
          <w:p>
            <w:pPr>
              <w:pStyle w:val="Code"/>
            </w:pPr>
            <w:r>
              <w:t xml:space="preserve">                        "zone":"ZONE1",</w:t>
            </w:r>
          </w:p>
          <w:p>
            <w:pPr>
              <w:pStyle w:val="Code"/>
            </w:pPr>
            <w:r>
              <w:t xml:space="preserve">                        "info":"",</w:t>
            </w:r>
          </w:p>
          <w:p>
            <w:pPr>
              <w:pStyle w:val="Code"/>
            </w:pPr>
            <w:r>
              <w:t xml:space="preserve">                        "info2":"",</w:t>
            </w:r>
          </w:p>
          <w:p>
            <w:pPr>
              <w:pStyle w:val="Code"/>
            </w:pPr>
            <w:r>
              <w:t xml:space="preserve">                        "WLSSDL002":[</w:t>
            </w:r>
          </w:p>
          <w:p>
            <w:pPr>
              <w:pStyle w:val="Code"/>
            </w:pPr>
            <w:r>
              <w:t xml:space="preserve">                            {</w:t>
            </w:r>
          </w:p>
          <w:p>
            <w:pPr>
              <w:pStyle w:val="Code"/>
            </w:pPr>
            <w:r>
              <w:t xml:space="preserve">                                "demandNo":"120",</w:t>
            </w:r>
          </w:p>
          <w:p>
            <w:pPr>
              <w:pStyle w:val="Code"/>
            </w:pPr>
            <w:r>
              <w:t xml:space="preserve">                                "sysPartnerLine":1,</w:t>
            </w:r>
          </w:p>
          <w:p>
            <w:pPr>
              <w:pStyle w:val="Code"/>
            </w:pPr>
            <w:r>
              <w:t xml:space="preserve">                                "recordState":"",</w:t>
            </w:r>
          </w:p>
          <w:p>
            <w:pPr>
              <w:pStyle w:val="Code"/>
            </w:pPr>
            <w:r>
              <w:t xml:space="preserve">                                "itemNo":"1002-BOX_10x10",</w:t>
            </w:r>
          </w:p>
          <w:p>
            <w:pPr>
              <w:pStyle w:val="Code"/>
            </w:pPr>
            <w:r>
              <w:t xml:space="preserve">                                "variant":"00000",</w:t>
            </w:r>
          </w:p>
          <w:p>
            <w:pPr>
              <w:pStyle w:val="Code"/>
            </w:pPr>
            <w:r>
              <w:t xml:space="preserve">                                "numBquWqu":1,</w:t>
            </w:r>
          </w:p>
          <w:p>
            <w:pPr>
              <w:pStyle w:val="Code"/>
            </w:pPr>
            <w:r>
              <w:t xml:space="preserve">                                "batch":"A",</w:t>
            </w:r>
          </w:p>
          <w:p>
            <w:pPr>
              <w:pStyle w:val="Code"/>
            </w:pPr>
            <w:r>
              <w:t xml:space="preserve">                                "bbDate":"20250101",</w:t>
            </w:r>
          </w:p>
          <w:p>
            <w:pPr>
              <w:pStyle w:val="Code"/>
            </w:pPr>
            <w:r>
              <w:t xml:space="preserve">                                "prodDate":"20240101",</w:t>
            </w:r>
          </w:p>
          <w:p>
            <w:pPr>
              <w:pStyle w:val="Code"/>
            </w:pPr>
            <w:r>
              <w:t xml:space="preserve">                                "baseQty":23.0,</w:t>
            </w:r>
          </w:p>
          <w:p>
            <w:pPr>
              <w:pStyle w:val="Code"/>
            </w:pPr>
            <w:r>
              <w:t xml:space="preserve">                                "csia1":"",</w:t>
            </w:r>
          </w:p>
          <w:p>
            <w:pPr>
              <w:pStyle w:val="Code"/>
            </w:pPr>
            <w:r>
              <w:t xml:space="preserve">                                "csia2":"",</w:t>
            </w:r>
          </w:p>
          <w:p>
            <w:pPr>
              <w:pStyle w:val="Code"/>
            </w:pPr>
            <w:r>
              <w:t xml:space="preserve">                                "csia3":"",</w:t>
            </w:r>
          </w:p>
          <w:p>
            <w:pPr>
              <w:pStyle w:val="Code"/>
            </w:pPr>
            <w:r>
              <w:t xml:space="preserve">                                "csia4":"",</w:t>
            </w:r>
          </w:p>
          <w:p>
            <w:pPr>
              <w:pStyle w:val="Code"/>
            </w:pPr>
            <w:r>
              <w:t xml:space="preserve">                                "csia5":"",</w:t>
            </w:r>
          </w:p>
          <w:p>
            <w:pPr>
              <w:pStyle w:val="Code"/>
            </w:pPr>
            <w:r>
              <w:t xml:space="preserve">                                "csia6":"",</w:t>
            </w:r>
          </w:p>
          <w:p>
            <w:pPr>
              <w:pStyle w:val="Code"/>
            </w:pPr>
            <w:r>
              <w:t xml:space="preserve">                                "csia7":"",</w:t>
            </w:r>
          </w:p>
          <w:p>
            <w:pPr>
              <w:pStyle w:val="Code"/>
            </w:pPr>
            <w:r>
              <w:t xml:space="preserve">                                "csia8":"",</w:t>
            </w:r>
          </w:p>
          <w:p>
            <w:pPr>
              <w:pStyle w:val="Code"/>
            </w:pPr>
            <w:r>
              <w:t xml:space="preserve">                                "csia9":"",</w:t>
            </w:r>
          </w:p>
          <w:p>
            <w:pPr>
              <w:pStyle w:val="Code"/>
            </w:pPr>
            <w:r>
              <w:t xml:space="preserve">                                "csia10":"",</w:t>
            </w:r>
          </w:p>
          <w:p>
            <w:pPr>
              <w:pStyle w:val="Code"/>
            </w:pPr>
            <w:r>
              <w:t xml:space="preserve">                                "csia11":"",</w:t>
            </w:r>
          </w:p>
          <w:p>
            <w:pPr>
              <w:pStyle w:val="Code"/>
            </w:pPr>
            <w:r>
              <w:t xml:space="preserve">                                "csia12":"",</w:t>
            </w:r>
          </w:p>
          <w:p>
            <w:pPr>
              <w:pStyle w:val="Code"/>
            </w:pPr>
            <w:r>
              <w:t xml:space="preserve">                                "csia13":"",</w:t>
            </w:r>
          </w:p>
          <w:p>
            <w:pPr>
              <w:pStyle w:val="Code"/>
            </w:pPr>
            <w:r>
              <w:t xml:space="preserve">                                "csia14":"",</w:t>
            </w:r>
          </w:p>
          <w:p>
            <w:pPr>
              <w:pStyle w:val="Code"/>
            </w:pPr>
            <w:r>
              <w:t xml:space="preserve">                                "csia15":"",</w:t>
            </w:r>
          </w:p>
          <w:p>
            <w:pPr>
              <w:pStyle w:val="Code"/>
            </w:pPr>
            <w:r>
              <w:t xml:space="preserve">                                "csia16":"",</w:t>
            </w:r>
          </w:p>
          <w:p>
            <w:pPr>
              <w:pStyle w:val="Code"/>
            </w:pPr>
            <w:r>
              <w:t xml:space="preserve">                                "csia17":"",</w:t>
            </w:r>
          </w:p>
          <w:p>
            <w:pPr>
              <w:pStyle w:val="Code"/>
            </w:pPr>
            <w:r>
              <w:t xml:space="preserve">                                "csia18":"",</w:t>
            </w:r>
          </w:p>
          <w:p>
            <w:pPr>
              <w:pStyle w:val="Code"/>
            </w:pPr>
            <w:r>
              <w:t xml:space="preserve">                                "csia19":"",</w:t>
            </w:r>
          </w:p>
          <w:p>
            <w:pPr>
              <w:pStyle w:val="Code"/>
            </w:pPr>
            <w:r>
              <w:t xml:space="preserve">                                "csia20":"",</w:t>
            </w:r>
          </w:p>
          <w:p>
            <w:pPr>
              <w:pStyle w:val="Code"/>
            </w:pPr>
            <w:r>
              <w:t xml:space="preserve">                                "gow":"pDEFAULT",</w:t>
            </w:r>
          </w:p>
          <w:p>
            <w:pPr>
              <w:pStyle w:val="Code"/>
            </w:pPr>
            <w:r>
              <w:t xml:space="preserve">                                "stockRating":"100",</w:t>
            </w:r>
          </w:p>
          <w:p>
            <w:pPr>
              <w:pStyle w:val="Code"/>
            </w:pPr>
            <w:r>
              <w:t xml:space="preserve">                                "WLSSDLEXTREF001":[</w:t>
            </w:r>
          </w:p>
          <w:p>
            <w:pPr>
              <w:pStyle w:val="Code"/>
            </w:pPr>
            <w:r>
              <w:t xml:space="preserve">                                    {</w:t>
            </w:r>
          </w:p>
          <w:p>
            <w:pPr>
              <w:pStyle w:val="Code"/>
            </w:pPr>
            <w:r>
              <w:t xml:space="preserve">                                        "clientId":"DEFAULT",</w:t>
            </w:r>
          </w:p>
          <w:p>
            <w:pPr>
              <w:pStyle w:val="Code"/>
            </w:pPr>
            <w:r>
              <w:t xml:space="preserve">                                        "demandNo":"120",</w:t>
            </w:r>
          </w:p>
          <w:p>
            <w:pPr>
              <w:pStyle w:val="Code"/>
            </w:pPr>
            <w:r>
              <w:t xml:space="preserve">                                        "sysPartnerLine":1,</w:t>
            </w:r>
          </w:p>
          <w:p>
            <w:pPr>
              <w:pStyle w:val="Code"/>
            </w:pPr>
            <w:r>
              <w:t xml:space="preserve">                                        "extRefKey":"HL1",</w:t>
            </w:r>
          </w:p>
          <w:p>
            <w:pPr>
              <w:pStyle w:val="Code"/>
            </w:pPr>
            <w:r>
              <w:t xml:space="preserve">                                        "extRefVal1":"HL1_val1",</w:t>
            </w:r>
          </w:p>
          <w:p>
            <w:pPr>
              <w:pStyle w:val="Code"/>
            </w:pPr>
            <w:r>
              <w:t xml:space="preserve">                                        "extRefVal2":"HL1_val2"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"WLSSDEXTREF001":[</w:t>
            </w:r>
          </w:p>
          <w:p>
            <w:pPr>
              <w:pStyle w:val="Code"/>
            </w:pPr>
            <w:r>
              <w:t xml:space="preserve">                            {</w:t>
            </w:r>
          </w:p>
          <w:p>
            <w:pPr>
              <w:pStyle w:val="Code"/>
            </w:pPr>
            <w:r>
              <w:t xml:space="preserve">                                "clientId":"DEFAULT",</w:t>
            </w:r>
          </w:p>
          <w:p>
            <w:pPr>
              <w:pStyle w:val="Code"/>
            </w:pPr>
            <w:r>
              <w:t xml:space="preserve">                                "demandNo":"120",</w:t>
            </w:r>
          </w:p>
          <w:p>
            <w:pPr>
              <w:pStyle w:val="Code"/>
            </w:pPr>
            <w:r>
              <w:t xml:space="preserve">                                "extRefKey":"HK1",</w:t>
            </w:r>
          </w:p>
          <w:p>
            <w:pPr>
              <w:pStyle w:val="Code"/>
            </w:pPr>
            <w:r>
              <w:t xml:space="preserve">                                "extRefVal1":"HK1_val1",</w:t>
            </w:r>
          </w:p>
          <w:p>
            <w:pPr>
              <w:pStyle w:val="Code"/>
            </w:pPr>
            <w:r>
              <w:t xml:space="preserve">                                "extRefVal2":"HK1_val2"</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 xml:space="preserve">    }</w:t>
            </w:r>
          </w:p>
          <w:p>
            <w:pPr>
              <w:pStyle w:val="Code"/>
            </w:pPr>
            <w:r>
              <w:t>}</w:t>
            </w:r>
          </w:p>
        </w:tc>
      </w:tr>
    </w:tbl>
    <w:p>
      <w:pPr>
        <w:pStyle w:val="BeschriftungSSI"/>
      </w:pPr>
      <w:r>
        <w:t>Bsp. 4: Einlagerbedarf (JSON)</w:t>
      </w:r>
    </w:p>
    <w:p>
      <w:pPr>
        <w:spacing w:after="40"/>
      </w:pPr>
      <w:r>
        <w:rPr>
          <w:b/>
        </w:rPr>
        <w:t>Quittierung Kommissionierbedarf, CSV</w:t>
      </w:r>
      <w:r>
        <w:t xml:space="preserve"> (Datei </w:t>
      </w:r>
      <w:r>
        <w:rPr>
          <w:rFonts w:ascii="Consolas" w:hAnsi="Consolas"/>
          <w:sz w:val="18"/>
        </w:rPr>
        <w:t>PD/ACK_when_dest_full/0103.csv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WAMAS;HOST;1;20250311141330;WLSPDACK002;604;SHPG;0;;FINISHED;ZONE1;0</w:t>
            </w:r>
          </w:p>
          <w:p>
            <w:pPr>
              <w:pStyle w:val="Code"/>
            </w:pPr>
            <w:r>
              <w:t>WAMAS;HOST;2;20250311141330;WLSPDEXTREFACK001;DEFAULT;604;HOST;K1;1;2</w:t>
            </w:r>
          </w:p>
          <w:p>
            <w:pPr>
              <w:pStyle w:val="Code"/>
            </w:pPr>
            <w:r>
              <w:t>WAMAS;HOST;3;20250311141330;WLSPDLACK001;604;1;1;DEFAULT;1002-BOX_10x10;00000;A;20250101;20240101;NONE;13.0;13.0;13.0;;;;;;;;;;;;;;;;;;;;</w:t>
            </w:r>
          </w:p>
          <w:p>
            <w:pPr>
              <w:pStyle w:val="Code"/>
            </w:pPr>
            <w:r>
              <w:t>WAMAS;HOST;4;20250311141330;WLSPDLACTIVITYACK001;A1;1;18888888101;101;18888888101-008;A1-OP1-1;TEMP000000043;LogiShpLoc;test;20250311141249;5.0;13.0;A;20250317;20250306;;;;;;;;;;;;;;;;;;;;</w:t>
            </w:r>
          </w:p>
          <w:p>
            <w:pPr>
              <w:pStyle w:val="Code"/>
            </w:pPr>
            <w:r>
              <w:t>WAMAS;HOST;5;20250311141330;WLSPDLACTIVITYACK001;A1;1;18888888101;101;18888888101-008;A1-OP1-1;TEMP000000048;LogiShpLoc;test;20250311141330;8.0;8.0;A;20250317;20250306;;;;;;;;;;;;;;;;;;;;</w:t>
            </w:r>
          </w:p>
          <w:p>
            <w:pPr>
              <w:pStyle w:val="Code"/>
            </w:pPr>
            <w:r>
              <w:t>WAMAS;HOST;6;20250311141330;WLSPDLEXTREFACK001;DEFAULT;604;HOST;1;1;L1;11;12</w:t>
            </w:r>
          </w:p>
        </w:tc>
      </w:tr>
    </w:tbl>
    <w:p>
      <w:pPr>
        <w:pStyle w:val="BeschriftungSSI"/>
      </w:pPr>
      <w:r>
        <w:t>Bsp. 5: Kommissionierbedarfsquittierung (CSV) mit WLSPDEXTREFACK001 und WLSPDLEXTREFACK001</w:t>
      </w:r>
    </w:p>
    <w:p>
      <w:pPr>
        <w:spacing w:after="40"/>
      </w:pPr>
      <w:r>
        <w:rPr>
          <w:b/>
        </w:rPr>
        <w:t>Quittierung Kommissionierbedarf, XML</w:t>
      </w:r>
      <w:r>
        <w:t xml:space="preserve"> (Datei </w:t>
      </w:r>
      <w:r>
        <w:rPr>
          <w:rFonts w:ascii="Consolas" w:hAnsi="Consolas"/>
          <w:sz w:val="18"/>
        </w:rPr>
        <w:t>PD/ACK_when_dest_full/0098.xml</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&lt;?xml version="1.0" encoding="UTF-8"?&gt;</w:t>
            </w:r>
          </w:p>
          <w:p>
            <w:pPr>
              <w:pStyle w:val="Code"/>
            </w:pPr>
            <w:r>
              <w:t>&lt;DI_TELEGRAM&gt;</w:t>
            </w:r>
          </w:p>
          <w:p>
            <w:pPr>
              <w:pStyle w:val="Code"/>
            </w:pPr>
            <w:r>
              <w:t xml:space="preserve">    &lt;header&gt;</w:t>
            </w:r>
          </w:p>
          <w:p>
            <w:pPr>
              <w:pStyle w:val="Code"/>
            </w:pPr>
            <w:r>
              <w:t xml:space="preserve">        &lt;FULL&gt;</w:t>
            </w:r>
          </w:p>
          <w:p>
            <w:pPr>
              <w:pStyle w:val="Code"/>
            </w:pPr>
            <w:r>
              <w:t xml:space="preserve">            &lt;HEADER_SOURCE&gt;WAMAS&lt;/HEADER_SOURCE&gt;</w:t>
            </w:r>
          </w:p>
          <w:p>
            <w:pPr>
              <w:pStyle w:val="Code"/>
            </w:pPr>
            <w:r>
              <w:t xml:space="preserve">            &lt;HEADER_DESTINATION&gt;HOST&lt;/HEADER_DESTINATION&gt;</w:t>
            </w:r>
          </w:p>
          <w:p>
            <w:pPr>
              <w:pStyle w:val="Code"/>
            </w:pPr>
            <w:r>
              <w:t xml:space="preserve">            &lt;HEADER_SEQUENCE&gt;0&lt;/HEADER_SEQUENCE&gt;</w:t>
            </w:r>
          </w:p>
          <w:p>
            <w:pPr>
              <w:pStyle w:val="Code"/>
            </w:pPr>
            <w:r>
              <w:t xml:space="preserve">            &lt;HEADER_CREATIONTIME&gt;20250311141254&lt;/HEADER_CREATIONTIME&gt;</w:t>
            </w:r>
          </w:p>
          <w:p>
            <w:pPr>
              <w:pStyle w:val="Code"/>
            </w:pPr>
            <w:r>
              <w:t xml:space="preserve">            &lt;HEADER_RECORDTYPENAME&gt;WLSP2LACK002&lt;/HEADER_RECORDTYPENAME&gt;</w:t>
            </w:r>
          </w:p>
          <w:p>
            <w:pPr>
              <w:pStyle w:val="Code"/>
            </w:pPr>
            <w:r>
              <w:t xml:space="preserve">        &lt;/FULL&gt;</w:t>
            </w:r>
          </w:p>
          <w:p>
            <w:pPr>
              <w:pStyle w:val="Code"/>
            </w:pPr>
            <w:r>
              <w:t xml:space="preserve">    &lt;/header&gt;</w:t>
            </w:r>
          </w:p>
          <w:p>
            <w:pPr>
              <w:pStyle w:val="Code"/>
            </w:pPr>
            <w:r>
              <w:t xml:space="preserve">    &lt;body&gt;</w:t>
            </w:r>
          </w:p>
          <w:p>
            <w:pPr>
              <w:pStyle w:val="Code"/>
            </w:pPr>
            <w:r>
              <w:t xml:space="preserve">        &lt;WLSP2LACK002&gt;</w:t>
            </w:r>
          </w:p>
          <w:p>
            <w:pPr>
              <w:pStyle w:val="Code"/>
            </w:pPr>
            <w:r>
              <w:t xml:space="preserve">            &lt;demandNo&gt;604&lt;/demandNo&gt;</w:t>
            </w:r>
          </w:p>
          <w:p>
            <w:pPr>
              <w:pStyle w:val="Code"/>
            </w:pPr>
            <w:r>
              <w:t xml:space="preserve">            &lt;destLuId&gt;TEMP000000043&lt;/destLuId&gt;</w:t>
            </w:r>
          </w:p>
          <w:p>
            <w:pPr>
              <w:pStyle w:val="Code"/>
            </w:pPr>
            <w:r>
              <w:t xml:space="preserve">            &lt;WLSPDEXTREFACK001&gt;</w:t>
            </w:r>
          </w:p>
          <w:p>
            <w:pPr>
              <w:pStyle w:val="Code"/>
            </w:pPr>
            <w:r>
              <w:t xml:space="preserve">                &lt;clientId&gt;DEFAULT&lt;/clientId&gt;</w:t>
            </w:r>
          </w:p>
          <w:p>
            <w:pPr>
              <w:pStyle w:val="Code"/>
            </w:pPr>
            <w:r>
              <w:t xml:space="preserve">                &lt;demandNo&gt;604&lt;/demandNo&gt;</w:t>
            </w:r>
          </w:p>
          <w:p>
            <w:pPr>
              <w:pStyle w:val="Code"/>
            </w:pPr>
            <w:r>
              <w:t xml:space="preserve">                &lt;systemPartner&gt;HOST&lt;/systemPartner&gt;</w:t>
            </w:r>
          </w:p>
          <w:p>
            <w:pPr>
              <w:pStyle w:val="Code"/>
            </w:pPr>
            <w:r>
              <w:t xml:space="preserve">                &lt;extRefKey&gt;K1&lt;/extRefKey&gt;</w:t>
            </w:r>
          </w:p>
          <w:p>
            <w:pPr>
              <w:pStyle w:val="Code"/>
            </w:pPr>
            <w:r>
              <w:t xml:space="preserve">                &lt;extRefVal1&gt;1&lt;/extRefVal1&gt;</w:t>
            </w:r>
          </w:p>
          <w:p>
            <w:pPr>
              <w:pStyle w:val="Code"/>
            </w:pPr>
            <w:r>
              <w:t xml:space="preserve">                &lt;extRefVal2&gt;2&lt;/extRefVal2&gt;</w:t>
            </w:r>
          </w:p>
          <w:p>
            <w:pPr>
              <w:pStyle w:val="Code"/>
            </w:pPr>
            <w:r>
              <w:t xml:space="preserve">            &lt;/WLSPDEXTREFACK001&gt;</w:t>
            </w:r>
          </w:p>
          <w:p>
            <w:pPr>
              <w:pStyle w:val="Code"/>
            </w:pPr>
            <w:r>
              <w:t xml:space="preserve">            &lt;WLSP2LLACK001&gt;</w:t>
            </w:r>
          </w:p>
          <w:p>
            <w:pPr>
              <w:pStyle w:val="Code"/>
            </w:pPr>
            <w:r>
              <w:t xml:space="preserve">                &lt;demandNo&gt;604&lt;/demandNo&gt;</w:t>
            </w:r>
          </w:p>
          <w:p>
            <w:pPr>
              <w:pStyle w:val="Code"/>
            </w:pPr>
            <w:r>
              <w:t xml:space="preserve">                &lt;sysPartnerLine&gt;1&lt;/sysPartnerLine&gt;</w:t>
            </w:r>
          </w:p>
          <w:p>
            <w:pPr>
              <w:pStyle w:val="Code"/>
            </w:pPr>
            <w:r>
              <w:t xml:space="preserve">                &lt;demandLineNo&gt;1&lt;/demandLineNo&gt;</w:t>
            </w:r>
          </w:p>
          <w:p>
            <w:pPr>
              <w:pStyle w:val="Code"/>
            </w:pPr>
            <w:r>
              <w:t xml:space="preserve">                &lt;clientId&gt;DEFAULT&lt;/clientId&gt;</w:t>
            </w:r>
          </w:p>
          <w:p>
            <w:pPr>
              <w:pStyle w:val="Code"/>
            </w:pPr>
            <w:r>
              <w:t xml:space="preserve">                &lt;itemNo&gt;1002-BOX_10x10&lt;/itemNo&gt;</w:t>
            </w:r>
          </w:p>
          <w:p>
            <w:pPr>
              <w:pStyle w:val="Code"/>
            </w:pPr>
            <w:r>
              <w:t xml:space="preserve">                &lt;variant&gt;00000&lt;/variant&gt;</w:t>
            </w:r>
          </w:p>
          <w:p>
            <w:pPr>
              <w:pStyle w:val="Code"/>
            </w:pPr>
            <w:r>
              <w:t xml:space="preserve">                &lt;batch&gt;A&lt;/batch&gt;</w:t>
            </w:r>
          </w:p>
          <w:p>
            <w:pPr>
              <w:pStyle w:val="Code"/>
            </w:pPr>
            <w:r>
              <w:t xml:space="preserve">                &lt;bbDate&gt;20250101&lt;/bbDate&gt;</w:t>
            </w:r>
          </w:p>
          <w:p>
            <w:pPr>
              <w:pStyle w:val="Code"/>
            </w:pPr>
            <w:r>
              <w:t xml:space="preserve">                &lt;prodDate&gt;20240101&lt;/prodDate&gt;</w:t>
            </w:r>
          </w:p>
          <w:p>
            <w:pPr>
              <w:pStyle w:val="Code"/>
            </w:pPr>
            <w:r>
              <w:t xml:space="preserve">                &lt;orderedAmount&gt;13.0&lt;/orderedAmount&gt;</w:t>
            </w:r>
          </w:p>
          <w:p>
            <w:pPr>
              <w:pStyle w:val="Code"/>
            </w:pPr>
            <w:r>
              <w:t xml:space="preserve">                &lt;releasedAmount&gt;13.0&lt;/releasedAmount&gt;</w:t>
            </w:r>
          </w:p>
          <w:p>
            <w:pPr>
              <w:pStyle w:val="Code"/>
            </w:pPr>
            <w:r>
              <w:t xml:space="preserve">                &lt;deliveredAmount&gt;5.0&lt;/deliveredAmount&gt;</w:t>
            </w:r>
          </w:p>
          <w:p>
            <w:pPr>
              <w:pStyle w:val="Code"/>
            </w:pPr>
            <w:r>
              <w:t xml:space="preserve">                &lt;WLSPDLEXTREFACK001&gt;</w:t>
            </w:r>
          </w:p>
          <w:p>
            <w:pPr>
              <w:pStyle w:val="Code"/>
            </w:pPr>
            <w:r>
              <w:t xml:space="preserve">                    &lt;clientId&gt;DEFAULT&lt;/clientId&gt;</w:t>
            </w:r>
          </w:p>
          <w:p>
            <w:pPr>
              <w:pStyle w:val="Code"/>
            </w:pPr>
            <w:r>
              <w:t xml:space="preserve">                    &lt;demandNo&gt;604&lt;/demandNo&gt;</w:t>
            </w:r>
          </w:p>
          <w:p>
            <w:pPr>
              <w:pStyle w:val="Code"/>
            </w:pPr>
            <w:r>
              <w:t xml:space="preserve">                    &lt;systemPartner&gt;HOST&lt;/systemPartner&gt;</w:t>
            </w:r>
          </w:p>
          <w:p>
            <w:pPr>
              <w:pStyle w:val="Code"/>
            </w:pPr>
            <w:r>
              <w:t xml:space="preserve">                    &lt;sysPartnerLine&gt;1&lt;/sysPartnerLine&gt;</w:t>
            </w:r>
          </w:p>
          <w:p>
            <w:pPr>
              <w:pStyle w:val="Code"/>
            </w:pPr>
            <w:r>
              <w:t xml:space="preserve">                    &lt;demandLineNo&gt;1&lt;/demandLineNo&gt;</w:t>
            </w:r>
          </w:p>
          <w:p>
            <w:pPr>
              <w:pStyle w:val="Code"/>
            </w:pPr>
            <w:r>
              <w:t xml:space="preserve">                    &lt;extRefKey&gt;L1&lt;/extRefKey&gt;</w:t>
            </w:r>
          </w:p>
          <w:p>
            <w:pPr>
              <w:pStyle w:val="Code"/>
            </w:pPr>
            <w:r>
              <w:t xml:space="preserve">                    &lt;extRefVal1&gt;11&lt;/extRefVal1&gt;</w:t>
            </w:r>
          </w:p>
          <w:p>
            <w:pPr>
              <w:pStyle w:val="Code"/>
            </w:pPr>
            <w:r>
              <w:t xml:space="preserve">                    &lt;extRefVal2&gt;12&lt;/extRefVal2&gt;</w:t>
            </w:r>
          </w:p>
          <w:p>
            <w:pPr>
              <w:pStyle w:val="Code"/>
            </w:pPr>
            <w:r>
              <w:t xml:space="preserve">                &lt;/WLSPDLEXTREFACK001&gt;</w:t>
            </w:r>
          </w:p>
          <w:p>
            <w:pPr>
              <w:pStyle w:val="Code"/>
            </w:pPr>
            <w:r>
              <w:t xml:space="preserve">            &lt;/WLSP2LLACK001&gt;</w:t>
            </w:r>
          </w:p>
          <w:p>
            <w:pPr>
              <w:pStyle w:val="Code"/>
            </w:pPr>
            <w:r>
              <w:t xml:space="preserve">        &lt;/WLSP2LACK002&gt;</w:t>
            </w:r>
          </w:p>
          <w:p>
            <w:pPr>
              <w:pStyle w:val="Code"/>
            </w:pPr>
            <w:r>
              <w:t xml:space="preserve">    &lt;/body&gt;</w:t>
            </w:r>
          </w:p>
          <w:p>
            <w:pPr>
              <w:pStyle w:val="Code"/>
            </w:pPr>
            <w:r>
              <w:t>&lt;/DI_TELEGRAM&gt;</w:t>
            </w:r>
          </w:p>
        </w:tc>
      </w:tr>
    </w:tbl>
    <w:p>
      <w:pPr>
        <w:pStyle w:val="BeschriftungSSI"/>
      </w:pPr>
      <w:r>
        <w:t>Bsp. 6: Quittierung (XML) – Mastersatz WLSP2LACK002 mit externen Referenzen</w:t>
      </w:r>
    </w:p>
    <w:p>
      <w:pPr>
        <w:spacing w:after="40"/>
      </w:pPr>
      <w:r>
        <w:rPr>
          <w:b/>
        </w:rPr>
        <w:t>Quittierung Inventurbedarf, CSV</w:t>
      </w:r>
      <w:r>
        <w:t xml:space="preserve"> (Datei </w:t>
      </w:r>
      <w:r>
        <w:rPr>
          <w:rFonts w:ascii="Consolas" w:hAnsi="Consolas"/>
          <w:sz w:val="18"/>
        </w:rPr>
        <w:t>INVD/ack_invd/0164.csv</w:t>
      </w:r>
      <w:r>
        <w:t>):</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WAMAS;HOST;1;20250311162056;WLSINVDACK002;201;WMS Default;;0</w:t>
            </w:r>
          </w:p>
          <w:p>
            <w:pPr>
              <w:pStyle w:val="Code"/>
            </w:pPr>
            <w:r>
              <w:t>WAMAS;HOST;2;20250311162056;WLSINVDEXTREFACK001;DEFAULT;201;HOST;H1;1;2</w:t>
            </w:r>
          </w:p>
          <w:p>
            <w:pPr>
              <w:pStyle w:val="Code"/>
            </w:pPr>
            <w:r>
              <w:t>WAMAS;HOST;3;20250311162056;WLSINVDLACK002;201;1;1;DEFAULT;1001-BOX_5x5;00000;ZONE1;;;;;;;;;;;;;;;;;;;;;;;;;</w:t>
            </w:r>
          </w:p>
          <w:p>
            <w:pPr>
              <w:pStyle w:val="Code"/>
            </w:pPr>
            <w:r>
              <w:t>WAMAS;HOST;4;20250311162056;WLSSTOCKACK001;0;18888888101-001;DEFAULT;1001-BOX_5x5;00000;;;;;;;;;;;;;;;;;;;;;;;;5.0;0.0;</w:t>
            </w:r>
          </w:p>
          <w:p>
            <w:pPr>
              <w:pStyle w:val="Code"/>
            </w:pPr>
            <w:r>
              <w:t>WAMAS;HOST;5;20250311162056;WLSSTOCKACK001;0;18888888101-020;DEFAULT;1001-BOX_5x5;00000;;;;2;;;;;;;;;;;;;;;;;;;;5.0;-1.0;</w:t>
            </w:r>
          </w:p>
          <w:p>
            <w:pPr>
              <w:pStyle w:val="Code"/>
            </w:pPr>
            <w:r>
              <w:t>WAMAS;HOST;6;20250311162056;WLSINVDLEXTREFACK001;DEFAULT;201;HOST;1;1;L1;11;12</w:t>
            </w:r>
          </w:p>
        </w:tc>
      </w:tr>
    </w:tbl>
    <w:p>
      <w:pPr>
        <w:pStyle w:val="BeschriftungSSI"/>
      </w:pPr>
      <w:r>
        <w:t>Bsp. 7: Inventurbedarfsquittierung (CSV)</w:t>
      </w:r>
    </w:p>
    <w:p>
      <w:r>
        <w:t xml:space="preserve">Weitere Varianten (Fixed-Length </w:t>
      </w:r>
      <w:r>
        <w:rPr>
          <w:rFonts w:ascii="Consolas" w:hAnsi="Consolas"/>
          <w:sz w:val="18"/>
        </w:rPr>
        <w:t>.txt</w:t>
      </w:r>
      <w:r>
        <w:t xml:space="preserve">, XML, JSON) liegen im selben Ordner: </w:t>
      </w:r>
      <w:r>
        <w:rPr>
          <w:rFonts w:ascii="Consolas" w:hAnsi="Consolas"/>
          <w:sz w:val="18"/>
        </w:rPr>
        <w:t>SD/with_ext_ref</w:t>
      </w:r>
      <w:r>
        <w:t xml:space="preserve">, </w:t>
      </w:r>
      <w:r>
        <w:rPr>
          <w:rFonts w:ascii="Consolas" w:hAnsi="Consolas"/>
          <w:sz w:val="18"/>
        </w:rPr>
        <w:t>PD/with_ext_ref</w:t>
      </w:r>
      <w:r>
        <w:t xml:space="preserve">, </w:t>
      </w:r>
      <w:r>
        <w:rPr>
          <w:rFonts w:ascii="Consolas" w:hAnsi="Consolas"/>
          <w:sz w:val="18"/>
        </w:rPr>
        <w:t>INVD/ext_ref</w:t>
      </w:r>
      <w:r>
        <w:t xml:space="preserve">, </w:t>
      </w:r>
      <w:r>
        <w:rPr>
          <w:rFonts w:ascii="Consolas" w:hAnsi="Consolas"/>
          <w:sz w:val="18"/>
        </w:rPr>
        <w:t>PD/ACK_when_dest_full</w:t>
      </w:r>
      <w:r>
        <w:t xml:space="preserve">, </w:t>
      </w:r>
      <w:r>
        <w:rPr>
          <w:rFonts w:ascii="Consolas" w:hAnsi="Consolas"/>
          <w:sz w:val="18"/>
        </w:rPr>
        <w:t>INVD/ack_invd</w:t>
      </w:r>
      <w:r>
        <w:t>. Zum Vergleich gibt es Beispiele ohne externe Referenzen (</w:t>
      </w:r>
      <w:r>
        <w:rPr>
          <w:rFonts w:ascii="Consolas" w:hAnsi="Consolas"/>
          <w:sz w:val="18"/>
        </w:rPr>
        <w:t>SD/NO_EXT_REF</w:t>
      </w:r>
      <w:r>
        <w:t xml:space="preserve">, </w:t>
      </w:r>
      <w:r>
        <w:rPr>
          <w:rFonts w:ascii="Consolas" w:hAnsi="Consolas"/>
          <w:sz w:val="18"/>
        </w:rPr>
        <w:t>PD/NO_EXT_REF</w:t>
      </w:r>
      <w:r>
        <w:t xml:space="preserve">, </w:t>
      </w:r>
      <w:r>
        <w:rPr>
          <w:rFonts w:ascii="Consolas" w:hAnsi="Consolas"/>
          <w:sz w:val="18"/>
        </w:rPr>
        <w:t>INVD/no_ext_ref</w:t>
      </w:r>
      <w:r>
        <w:t>).</w:t>
      </w:r>
    </w:p>
    <w:p>
      <w:pPr>
        <w:pStyle w:val="Quelle"/>
      </w:pPr>
      <w:r>
        <w:rPr>
          <w:b/>
        </w:rPr>
        <w:t xml:space="preserve">Quelle: </w:t>
      </w:r>
      <w:r>
        <w:rPr>
          <w:sz w:val="17"/>
        </w:rPr>
        <w:t>TB 2.7.0 (2.7.0_IN_OUT_CSV_TXT_XML_JSON.ZIP)</w:t>
      </w:r>
    </w:p>
    <w:tbl>
      <w:tblPr>
        <w:jc w:val="left"/>
        <w:tblLook w:firstColumn="1" w:firstRow="1" w:lastColumn="0" w:lastRow="0" w:noHBand="0" w:noVBand="1" w:val="04A0"/>
        <w:tblW w:w="9525" w:type="dxa"/>
        <w:tblLayout w:type="fixed"/>
      </w:tblPr>
      <w:tblGrid>
        <w:gridCol w:w="9525"/>
      </w:tblGrid>
      <w:t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Hinweis zu Bsp. 6</w:t>
            </w:r>
          </w:p>
          <w:p>
            <w:pPr>
              <w:spacing w:after="40"/>
            </w:pPr>
            <w:r>
              <w:rPr>
                <w:sz w:val="19"/>
              </w:rPr>
              <w:t>Bsp. 6 zeigt eine Put-to-Light-Quittierung (</w:t>
            </w:r>
            <w:r>
              <w:rPr>
                <w:rFonts w:ascii="Consolas" w:hAnsi="Consolas"/>
                <w:sz w:val="17"/>
              </w:rPr>
              <w:t>WLSP2LACK002</w:t>
            </w:r>
            <w:r>
              <w:rPr>
                <w:sz w:val="19"/>
              </w:rPr>
              <w:t xml:space="preserve">), die ebenfalls </w:t>
            </w:r>
            <w:r>
              <w:rPr>
                <w:rFonts w:ascii="Consolas" w:hAnsi="Consolas"/>
                <w:sz w:val="17"/>
              </w:rPr>
              <w:t>WLSPDEXTREFACK001</w:t>
            </w:r>
            <w:r>
              <w:rPr>
                <w:sz w:val="19"/>
              </w:rPr>
              <w:t>/</w:t>
            </w:r>
            <w:r>
              <w:rPr>
                <w:rFonts w:ascii="Consolas" w:hAnsi="Consolas"/>
                <w:sz w:val="17"/>
              </w:rPr>
              <w:t>WLSPDLEXTREFACK001</w:t>
            </w:r>
            <w:r>
              <w:rPr>
                <w:sz w:val="19"/>
              </w:rPr>
              <w:t xml:space="preserve"> enthält. Das IF-ERP 2.7 führt im Inhaltsverzeichnis </w:t>
            </w:r>
            <w:r>
              <w:rPr>
                <w:rFonts w:ascii="Consolas" w:hAnsi="Consolas"/>
                <w:sz w:val="17"/>
              </w:rPr>
              <w:t>WLSP2LACK001</w:t>
            </w:r>
            <w:r>
              <w:rPr>
                <w:sz w:val="19"/>
              </w:rPr>
              <w:t>. Prüfen Sie die im Projekt verwendete Version der Satzart.</w:t>
            </w:r>
          </w:p>
        </w:tc>
      </w:tr>
    </w:tbl>
    <w:p>
      <w:pPr>
        <w:spacing w:after="40"/>
      </w:pPr>
    </w:p>
    <w:p>
      <w:pPr>
        <w:pStyle w:val="Heading1"/>
      </w:pPr>
      <w:r>
        <w:t>7 Typische Stolperfallen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5443"/>
        <w:gridCol w:w="1814"/>
      </w:tblGrid>
      <w:tr>
        <w:trPr>
          <w:tblHeader w:val="true"/>
        </w:trPr>
        <w:tc>
          <w:tcPr>
            <w:tcW w:type="dxa" w:w="2268"/>
            <w:shd w:val="clear" w:color="auto" w:fill="FEEE19"/>
          </w:tcPr>
          <w:p>
            <w:pPr>
              <w:spacing w:after="0"/>
            </w:pPr>
            <w:r>
              <w:rPr>
                <w:b/>
                <w:sz w:val="16"/>
              </w:rPr>
              <w:t>Stolperfalle</w:t>
            </w:r>
          </w:p>
        </w:tc>
        <w:tc>
          <w:tcPr>
            <w:tcW w:type="dxa" w:w="5443"/>
            <w:shd w:val="clear" w:color="auto" w:fill="FEEE19"/>
          </w:tcPr>
          <w:p>
            <w:pPr>
              <w:spacing w:after="0"/>
            </w:pPr>
            <w:r>
              <w:rPr>
                <w:b/>
                <w:sz w:val="16"/>
              </w:rPr>
              <w:t>Erläuterung / Empfehlung</w:t>
            </w:r>
          </w:p>
        </w:tc>
        <w:tc>
          <w:tcPr>
            <w:tcW w:type="dxa" w:w="1814"/>
            <w:shd w:val="clear" w:color="auto" w:fill="FEEE19"/>
          </w:tcPr>
          <w:p>
            <w:pPr>
              <w:spacing w:after="0"/>
            </w:pPr>
            <w:r>
              <w:rPr>
                <w:b/>
                <w:sz w:val="16"/>
              </w:rPr>
              <w:t>Quelle</w:t>
            </w:r>
          </w:p>
        </w:tc>
      </w:tr>
      <w:tr>
        <w:tc>
          <w:tcPr>
            <w:tcW w:type="dxa" w:w="2268"/>
          </w:tcPr>
          <w:p>
            <w:pPr>
              <w:spacing w:after="0" w:line="252" w:lineRule="auto"/>
            </w:pPr>
            <w:r>
              <w:rPr>
                <w:sz w:val="16"/>
              </w:rPr>
              <w:t>Verwechslung mit anderen „externen“ Funktionen</w:t>
            </w:r>
          </w:p>
        </w:tc>
        <w:tc>
          <w:tcPr>
            <w:tcW w:type="dxa" w:w="5443"/>
          </w:tcPr>
          <w:p>
            <w:pPr>
              <w:spacing w:after="0" w:line="252" w:lineRule="auto"/>
            </w:pPr>
            <w:r>
              <w:rPr>
                <w:sz w:val="16"/>
              </w:rPr>
              <w:t xml:space="preserve">Externe Ladeeinheiten, externe Lagerplätze, </w:t>
            </w:r>
            <w:r>
              <w:rPr>
                <w:b/>
                <w:sz w:val="16"/>
              </w:rPr>
              <w:t>Externer Artikel</w:t>
            </w:r>
            <w:r>
              <w:rPr>
                <w:sz w:val="16"/>
              </w:rPr>
              <w:t xml:space="preserve"> und Lagerreservierungsstrategien </w:t>
            </w:r>
            <w:r>
              <w:rPr>
                <w:rFonts w:ascii="Consolas" w:hAnsi="Consolas"/>
                <w:sz w:val="14"/>
              </w:rPr>
              <w:t>…EXTERN…</w:t>
            </w:r>
            <w:r>
              <w:rPr>
                <w:sz w:val="16"/>
              </w:rPr>
              <w:t xml:space="preserve"> sind keine externen Referenzen (Tab. 2).</w:t>
            </w:r>
          </w:p>
        </w:tc>
        <w:tc>
          <w:tcPr>
            <w:tcW w:type="dxa" w:w="1814"/>
          </w:tcPr>
          <w:p>
            <w:pPr>
              <w:spacing w:after="0" w:line="252" w:lineRule="auto"/>
            </w:pPr>
            <w:r>
              <w:rPr>
                <w:sz w:val="16"/>
              </w:rPr>
              <w:t>BH 6.7.1; AH</w:t>
            </w:r>
          </w:p>
        </w:tc>
      </w:tr>
      <w:tr>
        <w:tc>
          <w:tcPr>
            <w:tcW w:type="dxa" w:w="2268"/>
          </w:tcPr>
          <w:p>
            <w:pPr>
              <w:spacing w:after="0" w:line="252" w:lineRule="auto"/>
            </w:pPr>
            <w:r>
              <w:rPr>
                <w:b/>
                <w:sz w:val="16"/>
              </w:rPr>
              <w:t>Scheinnummer</w:t>
            </w:r>
            <w:r>
              <w:rPr>
                <w:sz w:val="16"/>
              </w:rPr>
              <w:t xml:space="preserve"> ≠ Registerkarte </w:t>
            </w:r>
            <w:r>
              <w:rPr>
                <w:b/>
                <w:sz w:val="16"/>
              </w:rPr>
              <w:t>Externe Referenz</w:t>
            </w:r>
          </w:p>
        </w:tc>
        <w:tc>
          <w:tcPr>
            <w:tcW w:type="dxa" w:w="5443"/>
          </w:tcPr>
          <w:p>
            <w:pPr>
              <w:spacing w:after="0" w:line="252" w:lineRule="auto"/>
            </w:pPr>
            <w:r>
              <w:rPr>
                <w:sz w:val="16"/>
              </w:rPr>
              <w:t xml:space="preserve">Die Scheinnummer ist ein einzelnes Anzeigefeld im Kopf. Externe Referenzen sind eine Liste aus Schlüssel/Wert 1/Wert 2. In Release 2.4 hieß das Kopffeld noch </w:t>
            </w:r>
            <w:r>
              <w:rPr>
                <w:b/>
                <w:sz w:val="16"/>
              </w:rPr>
              <w:t>Externe Referenz</w:t>
            </w:r>
            <w:r>
              <w:rPr>
                <w:sz w:val="16"/>
              </w:rPr>
              <w:t>.</w:t>
            </w:r>
          </w:p>
        </w:tc>
        <w:tc>
          <w:tcPr>
            <w:tcW w:type="dxa" w:w="1814"/>
          </w:tcPr>
          <w:p>
            <w:pPr>
              <w:spacing w:after="0" w:line="252" w:lineRule="auto"/>
            </w:pPr>
            <w:r>
              <w:rPr>
                <w:sz w:val="16"/>
              </w:rPr>
              <w:t>BH 5.3.1; BH 2.4 4.5.1.1</w:t>
            </w:r>
          </w:p>
        </w:tc>
      </w:tr>
      <w:tr>
        <w:tc>
          <w:tcPr>
            <w:tcW w:type="dxa" w:w="2268"/>
          </w:tcPr>
          <w:p>
            <w:pPr>
              <w:spacing w:after="0" w:line="252" w:lineRule="auto"/>
            </w:pPr>
            <w:r>
              <w:rPr>
                <w:sz w:val="16"/>
              </w:rPr>
              <w:t>Schlüssel nicht eindeutig</w:t>
            </w:r>
          </w:p>
        </w:tc>
        <w:tc>
          <w:tcPr>
            <w:tcW w:type="dxa" w:w="5443"/>
          </w:tcPr>
          <w:p>
            <w:pPr>
              <w:spacing w:after="0" w:line="252" w:lineRule="auto"/>
            </w:pPr>
            <w:r>
              <w:rPr>
                <w:sz w:val="16"/>
              </w:rPr>
              <w:t xml:space="preserve">Das BH verlangt einen „eindeutigen Namen“ im Feld </w:t>
            </w:r>
            <w:r>
              <w:rPr>
                <w:b/>
                <w:sz w:val="16"/>
              </w:rPr>
              <w:t>Schlüssel</w:t>
            </w:r>
            <w:r>
              <w:rPr>
                <w:sz w:val="16"/>
              </w:rPr>
              <w:t>. Vergeben Sie je Bedarf jeden Schlüssel nur einmal.</w:t>
            </w:r>
          </w:p>
        </w:tc>
        <w:tc>
          <w:tcPr>
            <w:tcW w:type="dxa" w:w="1814"/>
          </w:tcPr>
          <w:p>
            <w:pPr>
              <w:spacing w:after="0" w:line="252" w:lineRule="auto"/>
            </w:pPr>
            <w:r>
              <w:rPr>
                <w:sz w:val="16"/>
              </w:rPr>
              <w:t>BH 5.3.1.2</w:t>
            </w:r>
          </w:p>
        </w:tc>
      </w:tr>
      <w:tr>
        <w:tc>
          <w:tcPr>
            <w:tcW w:type="dxa" w:w="2268"/>
          </w:tcPr>
          <w:p>
            <w:pPr>
              <w:spacing w:after="0" w:line="252" w:lineRule="auto"/>
            </w:pPr>
            <w:r>
              <w:rPr>
                <w:sz w:val="16"/>
              </w:rPr>
              <w:t>Feldlängen überschritten</w:t>
            </w:r>
          </w:p>
        </w:tc>
        <w:tc>
          <w:tcPr>
            <w:tcW w:type="dxa" w:w="5443"/>
          </w:tcPr>
          <w:p>
            <w:pPr>
              <w:spacing w:after="0" w:line="252" w:lineRule="auto"/>
            </w:pPr>
            <w:r>
              <w:rPr>
                <w:rFonts w:ascii="Consolas" w:hAnsi="Consolas"/>
                <w:sz w:val="14"/>
              </w:rPr>
              <w:t>extRefKey</w:t>
            </w:r>
            <w:r>
              <w:rPr>
                <w:sz w:val="16"/>
              </w:rPr>
              <w:t xml:space="preserve"> max. 64, </w:t>
            </w:r>
            <w:r>
              <w:rPr>
                <w:rFonts w:ascii="Consolas" w:hAnsi="Consolas"/>
                <w:sz w:val="14"/>
              </w:rPr>
              <w:t>extRefVal1</w:t>
            </w:r>
            <w:r>
              <w:rPr>
                <w:sz w:val="16"/>
              </w:rPr>
              <w:t>/</w:t>
            </w:r>
            <w:r>
              <w:rPr>
                <w:rFonts w:ascii="Consolas" w:hAnsi="Consolas"/>
                <w:sz w:val="14"/>
              </w:rPr>
              <w:t>extRefVal2</w:t>
            </w:r>
            <w:r>
              <w:rPr>
                <w:sz w:val="16"/>
              </w:rPr>
              <w:t xml:space="preserve"> max. 512 Zeichen. Laut IF-ERP wird ein Telegramm bei Überschreitung der Maximallänge auf </w:t>
            </w:r>
            <w:r>
              <w:rPr>
                <w:b/>
                <w:sz w:val="16"/>
              </w:rPr>
              <w:t>Error</w:t>
            </w:r>
            <w:r>
              <w:rPr>
                <w:sz w:val="16"/>
              </w:rPr>
              <w:t xml:space="preserve"> gesetzt.</w:t>
            </w:r>
          </w:p>
        </w:tc>
        <w:tc>
          <w:tcPr>
            <w:tcW w:type="dxa" w:w="1814"/>
          </w:tcPr>
          <w:p>
            <w:pPr>
              <w:spacing w:after="0" w:line="252" w:lineRule="auto"/>
            </w:pPr>
            <w:r>
              <w:rPr>
                <w:sz w:val="16"/>
              </w:rPr>
              <w:t>IF-ERP 2.1.6</w:t>
            </w:r>
          </w:p>
        </w:tc>
      </w:tr>
      <w:tr>
        <w:tc>
          <w:tcPr>
            <w:tcW w:type="dxa" w:w="2268"/>
          </w:tcPr>
          <w:p>
            <w:pPr>
              <w:spacing w:after="0" w:line="252" w:lineRule="auto"/>
            </w:pPr>
            <w:r>
              <w:rPr>
                <w:sz w:val="16"/>
              </w:rPr>
              <w:t>Pflichtfelder in Untersätzen fehlen</w:t>
            </w:r>
          </w:p>
        </w:tc>
        <w:tc>
          <w:tcPr>
            <w:tcW w:type="dxa" w:w="5443"/>
          </w:tcPr>
          <w:p>
            <w:pPr>
              <w:spacing w:after="0" w:line="252" w:lineRule="auto"/>
            </w:pPr>
            <w:r>
              <w:rPr>
                <w:rFonts w:ascii="Consolas" w:hAnsi="Consolas"/>
                <w:sz w:val="14"/>
              </w:rPr>
              <w:t>clientId</w:t>
            </w:r>
            <w:r>
              <w:rPr>
                <w:sz w:val="16"/>
              </w:rPr>
              <w:t xml:space="preserve"> und </w:t>
            </w:r>
            <w:r>
              <w:rPr>
                <w:rFonts w:ascii="Consolas" w:hAnsi="Consolas"/>
                <w:sz w:val="14"/>
              </w:rPr>
              <w:t>demandNo</w:t>
            </w:r>
            <w:r>
              <w:rPr>
                <w:sz w:val="16"/>
              </w:rPr>
              <w:t xml:space="preserve"> sind Pflicht; bei Zeilen-Referenzen zusätzlich </w:t>
            </w:r>
            <w:r>
              <w:rPr>
                <w:rFonts w:ascii="Consolas" w:hAnsi="Consolas"/>
                <w:sz w:val="14"/>
              </w:rPr>
              <w:t>sysPartnerLine</w:t>
            </w:r>
            <w:r>
              <w:rPr>
                <w:sz w:val="16"/>
              </w:rPr>
              <w:t xml:space="preserve">. </w:t>
            </w:r>
            <w:r>
              <w:rPr>
                <w:rFonts w:ascii="Consolas" w:hAnsi="Consolas"/>
                <w:sz w:val="14"/>
              </w:rPr>
              <w:t>clientId</w:t>
            </w:r>
            <w:r>
              <w:rPr>
                <w:sz w:val="16"/>
              </w:rPr>
              <w:t xml:space="preserve"> ist Fremdschlüssel; der Klient muss bekannt sein.</w:t>
            </w:r>
          </w:p>
        </w:tc>
        <w:tc>
          <w:tcPr>
            <w:tcW w:type="dxa" w:w="1814"/>
          </w:tcPr>
          <w:p>
            <w:pPr>
              <w:spacing w:after="0" w:line="252" w:lineRule="auto"/>
            </w:pPr>
            <w:r>
              <w:rPr>
                <w:sz w:val="16"/>
              </w:rPr>
              <w:t>IF-ERP 6.1.1.4 ff.</w:t>
            </w:r>
          </w:p>
        </w:tc>
      </w:tr>
      <w:tr>
        <w:tc>
          <w:tcPr>
            <w:tcW w:type="dxa" w:w="2268"/>
          </w:tcPr>
          <w:p>
            <w:pPr>
              <w:spacing w:after="0" w:line="252" w:lineRule="auto"/>
            </w:pPr>
            <w:r>
              <w:rPr>
                <w:sz w:val="16"/>
              </w:rPr>
              <w:t>Zeilen-Referenz ohne passende Zeile</w:t>
            </w:r>
          </w:p>
        </w:tc>
        <w:tc>
          <w:tcPr>
            <w:tcW w:type="dxa" w:w="5443"/>
          </w:tcPr>
          <w:p>
            <w:pPr>
              <w:spacing w:after="0" w:line="252" w:lineRule="auto"/>
            </w:pPr>
            <w:r>
              <w:rPr>
                <w:rFonts w:ascii="Consolas" w:hAnsi="Consolas"/>
                <w:sz w:val="14"/>
              </w:rPr>
              <w:t>sysPartnerLine</w:t>
            </w:r>
            <w:r>
              <w:rPr>
                <w:sz w:val="16"/>
              </w:rPr>
              <w:t xml:space="preserve"> bezieht sich auf die Zeile der ursprünglichen Systempartnernachricht. Verwenden Sie denselben Wert wie in der Bedarfszeile (in Bsp. 1: </w:t>
            </w:r>
            <w:r>
              <w:rPr>
                <w:rFonts w:ascii="Consolas" w:hAnsi="Consolas"/>
                <w:sz w:val="14"/>
              </w:rPr>
              <w:t>1</w:t>
            </w:r>
            <w:r>
              <w:rPr>
                <w:sz w:val="16"/>
              </w:rPr>
              <w:t>).</w:t>
            </w:r>
          </w:p>
        </w:tc>
        <w:tc>
          <w:tcPr>
            <w:tcW w:type="dxa" w:w="1814"/>
          </w:tcPr>
          <w:p>
            <w:pPr>
              <w:spacing w:after="0" w:line="252" w:lineRule="auto"/>
            </w:pPr>
            <w:r>
              <w:rPr>
                <w:sz w:val="16"/>
              </w:rPr>
              <w:t>IF-ERP 6.1.2.5; TB</w:t>
            </w:r>
          </w:p>
        </w:tc>
      </w:tr>
      <w:tr>
        <w:tc>
          <w:tcPr>
            <w:tcW w:type="dxa" w:w="2268"/>
          </w:tcPr>
          <w:p>
            <w:pPr>
              <w:spacing w:after="0" w:line="252" w:lineRule="auto"/>
            </w:pPr>
            <w:r>
              <w:rPr>
                <w:sz w:val="16"/>
              </w:rPr>
              <w:t>Erster Satz muss der Mastersatz sein</w:t>
            </w:r>
          </w:p>
        </w:tc>
        <w:tc>
          <w:tcPr>
            <w:tcW w:type="dxa" w:w="5443"/>
          </w:tcPr>
          <w:p>
            <w:pPr>
              <w:spacing w:after="0" w:line="252" w:lineRule="auto"/>
            </w:pPr>
            <w:r>
              <w:rPr>
                <w:sz w:val="16"/>
              </w:rPr>
              <w:t xml:space="preserve">In Fixed-Length/CSV muss der erste Satz eines Abschnitts der Mastersatz sein (z. B. </w:t>
            </w:r>
            <w:r>
              <w:rPr>
                <w:rFonts w:ascii="Consolas" w:hAnsi="Consolas"/>
                <w:sz w:val="14"/>
              </w:rPr>
              <w:t>WLSSD002</w:t>
            </w:r>
            <w:r>
              <w:rPr>
                <w:sz w:val="16"/>
              </w:rPr>
              <w:t>); die Referenz-Untersätze folgen.</w:t>
            </w:r>
          </w:p>
        </w:tc>
        <w:tc>
          <w:tcPr>
            <w:tcW w:type="dxa" w:w="1814"/>
          </w:tcPr>
          <w:p>
            <w:pPr>
              <w:spacing w:after="0" w:line="252" w:lineRule="auto"/>
            </w:pPr>
            <w:r>
              <w:rPr>
                <w:sz w:val="16"/>
              </w:rPr>
              <w:t>IF-ERP 3.1.3</w:t>
            </w:r>
          </w:p>
        </w:tc>
      </w:tr>
      <w:tr>
        <w:tc>
          <w:tcPr>
            <w:tcW w:type="dxa" w:w="2268"/>
          </w:tcPr>
          <w:p>
            <w:pPr>
              <w:spacing w:after="0" w:line="252" w:lineRule="auto"/>
            </w:pPr>
            <w:r>
              <w:rPr>
                <w:sz w:val="16"/>
              </w:rPr>
              <w:t>Externe Referenzen fehlen in WMS-Quittierungen an das ERP</w:t>
            </w:r>
          </w:p>
        </w:tc>
        <w:tc>
          <w:tcPr>
            <w:tcW w:type="dxa" w:w="5443"/>
          </w:tcPr>
          <w:p>
            <w:pPr>
              <w:spacing w:after="0" w:line="252" w:lineRule="auto"/>
            </w:pPr>
            <w:r>
              <w:rPr>
                <w:sz w:val="16"/>
              </w:rPr>
              <w:t xml:space="preserve">In </w:t>
            </w:r>
            <w:r>
              <w:rPr>
                <w:b/>
                <w:sz w:val="16"/>
              </w:rPr>
              <w:t>MD096</w:t>
            </w:r>
            <w:r>
              <w:rPr>
                <w:sz w:val="16"/>
              </w:rPr>
              <w:t xml:space="preserve"> muss je Registerkarte die Checkbox </w:t>
            </w:r>
            <w:r>
              <w:rPr>
                <w:b/>
                <w:sz w:val="16"/>
              </w:rPr>
              <w:t>Externe Referenzen inkludieren</w:t>
            </w:r>
            <w:r>
              <w:rPr>
                <w:sz w:val="16"/>
              </w:rPr>
              <w:t xml:space="preserve"> aktiviert sein.</w:t>
            </w:r>
          </w:p>
        </w:tc>
        <w:tc>
          <w:tcPr>
            <w:tcW w:type="dxa" w:w="1814"/>
          </w:tcPr>
          <w:p>
            <w:pPr>
              <w:spacing w:after="0" w:line="252" w:lineRule="auto"/>
            </w:pPr>
            <w:r>
              <w:rPr>
                <w:sz w:val="16"/>
              </w:rPr>
              <w:t>AH 3.5.2.x</w:t>
            </w:r>
          </w:p>
        </w:tc>
      </w:tr>
      <w:tr>
        <w:tc>
          <w:tcPr>
            <w:tcW w:type="dxa" w:w="2268"/>
          </w:tcPr>
          <w:p>
            <w:pPr>
              <w:spacing w:after="0" w:line="252" w:lineRule="auto"/>
            </w:pPr>
            <w:r>
              <w:rPr>
                <w:sz w:val="16"/>
              </w:rPr>
              <w:t>Zusätzliche Referenz nach dem Splitten</w:t>
            </w:r>
          </w:p>
        </w:tc>
        <w:tc>
          <w:tcPr>
            <w:tcW w:type="dxa" w:w="5443"/>
          </w:tcPr>
          <w:p>
            <w:pPr>
              <w:spacing w:after="0" w:line="252" w:lineRule="auto"/>
            </w:pPr>
            <w:r>
              <w:rPr>
                <w:sz w:val="16"/>
              </w:rPr>
              <w:t>Der durch Splitten entstandene Bedarf hat automatisch eine externe Referenz mit der ursprünglichen Bedarfsnummer. Das ERP sollte darauf vorbereitet sein, eine Referenz zu sehen, die es nicht selbst gesendet hat.</w:t>
            </w:r>
          </w:p>
        </w:tc>
        <w:tc>
          <w:tcPr>
            <w:tcW w:type="dxa" w:w="1814"/>
          </w:tcPr>
          <w:p>
            <w:pPr>
              <w:spacing w:after="0" w:line="252" w:lineRule="auto"/>
            </w:pPr>
            <w:r>
              <w:rPr>
                <w:sz w:val="16"/>
              </w:rPr>
              <w:t>BH 6.4.7–6.4.9</w:t>
            </w:r>
          </w:p>
        </w:tc>
      </w:tr>
      <w:tr>
        <w:tc>
          <w:tcPr>
            <w:tcW w:type="dxa" w:w="2268"/>
          </w:tcPr>
          <w:p>
            <w:pPr>
              <w:spacing w:after="0" w:line="252" w:lineRule="auto"/>
            </w:pPr>
            <w:r>
              <w:rPr>
                <w:sz w:val="16"/>
              </w:rPr>
              <w:t xml:space="preserve">Systemparameter </w:t>
            </w:r>
            <w:r>
              <w:rPr>
                <w:rFonts w:ascii="Consolas" w:hAnsi="Consolas"/>
                <w:sz w:val="14"/>
              </w:rPr>
              <w:t>logimat.picking.wcs.extRefKey</w:t>
            </w:r>
            <w:r>
              <w:rPr>
                <w:sz w:val="16"/>
              </w:rPr>
              <w:t xml:space="preserve"> ohne Wirkung</w:t>
            </w:r>
          </w:p>
        </w:tc>
        <w:tc>
          <w:tcPr>
            <w:tcW w:type="dxa" w:w="5443"/>
          </w:tcPr>
          <w:p>
            <w:pPr>
              <w:spacing w:after="0" w:line="252" w:lineRule="auto"/>
            </w:pPr>
            <w:r>
              <w:rPr>
                <w:sz w:val="16"/>
              </w:rPr>
              <w:t>Der Parameter betrifft nur WCS-Kommissionieranforderungen (WLS als WCS unter WAMAS WMS), nicht die ERP-Schnittstelle.</w:t>
            </w:r>
          </w:p>
        </w:tc>
        <w:tc>
          <w:tcPr>
            <w:tcW w:type="dxa" w:w="1814"/>
          </w:tcPr>
          <w:p>
            <w:pPr>
              <w:spacing w:after="0" w:line="252" w:lineRule="auto"/>
            </w:pPr>
            <w:r>
              <w:rPr>
                <w:sz w:val="16"/>
              </w:rPr>
              <w:t>AH 3.11.2</w:t>
            </w:r>
          </w:p>
        </w:tc>
      </w:tr>
      <w:tr>
        <w:tc>
          <w:tcPr>
            <w:tcW w:type="dxa" w:w="2268"/>
          </w:tcPr>
          <w:p>
            <w:pPr>
              <w:spacing w:after="0" w:line="252" w:lineRule="auto"/>
            </w:pPr>
            <w:r>
              <w:rPr>
                <w:sz w:val="16"/>
              </w:rPr>
              <w:t>Abweichende Satzartnamen in der Doku</w:t>
            </w:r>
          </w:p>
        </w:tc>
        <w:tc>
          <w:tcPr>
            <w:tcW w:type="dxa" w:w="5443"/>
          </w:tcPr>
          <w:p>
            <w:pPr>
              <w:spacing w:after="0" w:line="252" w:lineRule="auto"/>
            </w:pPr>
            <w:r>
              <w:rPr>
                <w:sz w:val="16"/>
              </w:rPr>
              <w:t xml:space="preserve">IF-ERP: Überschrift </w:t>
            </w:r>
            <w:r>
              <w:rPr>
                <w:rFonts w:ascii="Consolas" w:hAnsi="Consolas"/>
                <w:sz w:val="14"/>
              </w:rPr>
              <w:t>WLSINDLEXTREFACK001</w:t>
            </w:r>
            <w:r>
              <w:rPr>
                <w:sz w:val="16"/>
              </w:rPr>
              <w:t xml:space="preserve"> vs. Tabelle </w:t>
            </w:r>
            <w:r>
              <w:rPr>
                <w:rFonts w:ascii="Consolas" w:hAnsi="Consolas"/>
                <w:sz w:val="14"/>
              </w:rPr>
              <w:t>WLSINVDLEXTREFACK001</w:t>
            </w:r>
            <w:r>
              <w:rPr>
                <w:sz w:val="16"/>
              </w:rPr>
              <w:t xml:space="preserve">; Tab. 50 im Einlagerbedarfskapitel ist mit </w:t>
            </w:r>
            <w:r>
              <w:rPr>
                <w:rFonts w:ascii="Consolas" w:hAnsi="Consolas"/>
                <w:sz w:val="14"/>
              </w:rPr>
              <w:t>WLSPDLEXTREFACK001</w:t>
            </w:r>
            <w:r>
              <w:rPr>
                <w:sz w:val="16"/>
              </w:rPr>
              <w:t xml:space="preserve"> beschriftet; in 6.1.2.4/6.1.2.5 ist von „picking demand number“ die Rede. Maßgeblich für die Beispiele sind die Namen in TB (</w:t>
            </w:r>
            <w:r>
              <w:rPr>
                <w:rFonts w:ascii="Consolas" w:hAnsi="Consolas"/>
                <w:sz w:val="14"/>
              </w:rPr>
              <w:t>WLSINVDLEXTREFACK001</w:t>
            </w:r>
            <w:r>
              <w:rPr>
                <w:sz w:val="16"/>
              </w:rPr>
              <w:t xml:space="preserve">, </w:t>
            </w:r>
            <w:r>
              <w:rPr>
                <w:rFonts w:ascii="Consolas" w:hAnsi="Consolas"/>
                <w:sz w:val="14"/>
              </w:rPr>
              <w:t>WLSSDLEXTREFACK001</w:t>
            </w:r>
            <w:r>
              <w:rPr>
                <w:sz w:val="16"/>
              </w:rPr>
              <w:t>).</w:t>
            </w:r>
          </w:p>
        </w:tc>
        <w:tc>
          <w:tcPr>
            <w:tcW w:type="dxa" w:w="1814"/>
          </w:tcPr>
          <w:p>
            <w:pPr>
              <w:spacing w:after="0" w:line="252" w:lineRule="auto"/>
            </w:pPr>
            <w:r>
              <w:rPr>
                <w:sz w:val="16"/>
              </w:rPr>
              <w:t>IF-ERP 6.2.1.5, 8.2.1.5; TB</w:t>
            </w:r>
          </w:p>
        </w:tc>
      </w:tr>
      <w:tr>
        <w:tc>
          <w:tcPr>
            <w:tcW w:type="dxa" w:w="2268"/>
          </w:tcPr>
          <w:p>
            <w:pPr>
              <w:spacing w:after="0" w:line="252" w:lineRule="auto"/>
            </w:pPr>
            <w:r>
              <w:rPr>
                <w:sz w:val="16"/>
              </w:rPr>
              <w:t>Veraltete REST-Spezifikation</w:t>
            </w:r>
          </w:p>
        </w:tc>
        <w:tc>
          <w:tcPr>
            <w:tcW w:type="dxa" w:w="5443"/>
          </w:tcPr>
          <w:p>
            <w:pPr>
              <w:spacing w:after="0" w:line="252" w:lineRule="auto"/>
            </w:pPr>
            <w:r>
              <w:rPr>
                <w:sz w:val="16"/>
              </w:rPr>
              <w:t>„WLM-REST_Specification_V2“ (2021) zeigt alte Satzarten (</w:t>
            </w:r>
            <w:r>
              <w:rPr>
                <w:rFonts w:ascii="Consolas" w:hAnsi="Consolas"/>
                <w:sz w:val="14"/>
              </w:rPr>
              <w:t>LOGIMATITEM00006</w:t>
            </w:r>
            <w:r>
              <w:rPr>
                <w:sz w:val="16"/>
              </w:rPr>
              <w:t xml:space="preserve">, </w:t>
            </w:r>
            <w:r>
              <w:rPr>
                <w:rFonts w:ascii="Consolas" w:hAnsi="Consolas"/>
                <w:sz w:val="14"/>
              </w:rPr>
              <w:t>LOGIMATPDACK00005</w:t>
            </w:r>
            <w:r>
              <w:rPr>
                <w:sz w:val="16"/>
              </w:rPr>
              <w:t xml:space="preserve">) und enthält keine externen Referenzen. Für 2.7 gelten die </w:t>
            </w:r>
            <w:r>
              <w:rPr>
                <w:rFonts w:ascii="Consolas" w:hAnsi="Consolas"/>
                <w:sz w:val="14"/>
              </w:rPr>
              <w:t>WLS…</w:t>
            </w:r>
            <w:r>
              <w:rPr>
                <w:sz w:val="16"/>
              </w:rPr>
              <w:t>-Satzarten des IF-ERP.</w:t>
            </w:r>
          </w:p>
        </w:tc>
        <w:tc>
          <w:tcPr>
            <w:tcW w:type="dxa" w:w="1814"/>
          </w:tcPr>
          <w:p>
            <w:pPr>
              <w:spacing w:after="0" w:line="252" w:lineRule="auto"/>
            </w:pPr>
            <w:r>
              <w:rPr>
                <w:sz w:val="16"/>
              </w:rPr>
              <w:t>WLM-REST V2; IF-ERP</w:t>
            </w:r>
          </w:p>
        </w:tc>
      </w:tr>
    </w:tbl>
    <w:p>
      <w:pPr>
        <w:pStyle w:val="BeschriftungSSI"/>
      </w:pPr>
      <w:r>
        <w:t>Tab. 12: Typische Stolperfallen</w:t>
      </w:r>
    </w:p>
    <w:p>
      <w:pPr>
        <w:pStyle w:val="Heading1"/>
      </w:pPr>
      <w:r>
        <w:t>8 Lücken in den Unterlagen</w:t>
      </w:r>
    </w:p>
    <w:p>
      <w:r>
        <w:t xml:space="preserve">Folgende Punkte sind in den ausgewerteten Unterlagen </w:t>
      </w:r>
      <w:r>
        <w:rPr>
          <w:b/>
        </w:rPr>
        <w:t>nicht beschrieben</w:t>
      </w:r>
      <w:r>
        <w:t>. Klären Sie sie bei Bedarf mit dem Produktmanagement bzw. im Projekt:</w:t>
      </w:r>
    </w:p>
    <w:p>
      <w:pPr>
        <w:pStyle w:val="ListBullet"/>
      </w:pPr>
      <w:r>
        <w:t>Suche/Filter nach externen Referenzen in Übersichtsdialogen (</w:t>
      </w:r>
      <w:r>
        <w:rPr>
          <w:b/>
        </w:rPr>
        <w:t>LM040</w:t>
      </w:r>
      <w:r>
        <w:t xml:space="preserve">, </w:t>
      </w:r>
      <w:r>
        <w:rPr>
          <w:b/>
        </w:rPr>
        <w:t>LM071</w:t>
      </w:r>
      <w:r>
        <w:t xml:space="preserve">, </w:t>
      </w:r>
      <w:r>
        <w:rPr>
          <w:b/>
        </w:rPr>
        <w:t>LM080</w:t>
      </w:r>
      <w:r>
        <w:t xml:space="preserve">, </w:t>
      </w:r>
      <w:r>
        <w:rPr>
          <w:b/>
        </w:rPr>
        <w:t>LM090</w:t>
      </w:r>
      <w:r>
        <w:t>).</w:t>
      </w:r>
    </w:p>
    <w:p>
      <w:pPr>
        <w:pStyle w:val="ListBullet"/>
      </w:pPr>
      <w:r>
        <w:t>Anzeige der externen Referenzen in Detaildialogen (</w:t>
      </w:r>
      <w:r>
        <w:rPr>
          <w:b/>
        </w:rPr>
        <w:t>LM023</w:t>
      </w:r>
      <w:r>
        <w:t xml:space="preserve">, </w:t>
      </w:r>
      <w:r>
        <w:rPr>
          <w:b/>
        </w:rPr>
        <w:t>LM026</w:t>
      </w:r>
      <w:r>
        <w:t xml:space="preserve">, </w:t>
      </w:r>
      <w:r>
        <w:rPr>
          <w:b/>
        </w:rPr>
        <w:t>LM028</w:t>
      </w:r>
      <w:r>
        <w:t>) und das Ändern/Löschen bestehender Referenzen.</w:t>
      </w:r>
    </w:p>
    <w:p>
      <w:pPr>
        <w:pStyle w:val="ListBullet"/>
      </w:pPr>
      <w:r>
        <w:t>Pflege externer Referenzen auf Bedarfs</w:t>
      </w:r>
      <w:r>
        <w:rPr>
          <w:b/>
        </w:rPr>
        <w:t>zeilen</w:t>
      </w:r>
      <w:r>
        <w:t>ebene in der Oberfläche (nur über die Schnittstelle dokumentiert).</w:t>
      </w:r>
    </w:p>
    <w:p>
      <w:pPr>
        <w:pStyle w:val="ListBullet"/>
      </w:pPr>
      <w:r>
        <w:t xml:space="preserve">Mögliche Werte des Felds </w:t>
      </w:r>
      <w:r>
        <w:rPr>
          <w:b/>
        </w:rPr>
        <w:t>Ursprung</w:t>
      </w:r>
      <w:r>
        <w:t xml:space="preserve"> außer </w:t>
      </w:r>
      <w:r>
        <w:rPr>
          <w:b/>
        </w:rPr>
        <w:t>HAND</w:t>
      </w:r>
      <w:r>
        <w:t>.</w:t>
      </w:r>
    </w:p>
    <w:p>
      <w:pPr>
        <w:pStyle w:val="ListBullet"/>
      </w:pPr>
      <w:r>
        <w:t xml:space="preserve">Bedeutung von „Wertebereichen“ bei </w:t>
      </w:r>
      <w:r>
        <w:rPr>
          <w:b/>
        </w:rPr>
        <w:t>Wert 2</w:t>
      </w:r>
      <w:r>
        <w:t>.</w:t>
      </w:r>
    </w:p>
    <w:p>
      <w:pPr>
        <w:pStyle w:val="ListBullet"/>
      </w:pPr>
      <w:r>
        <w:t>Bedienablauf zum Erzeugen eines Bedarfs aus einer Bedarfsvorlage.</w:t>
      </w:r>
    </w:p>
    <w:p>
      <w:pPr>
        <w:pStyle w:val="ListBullet"/>
      </w:pPr>
      <w:r>
        <w:t>Anlegen eines Inventurbedarfs (mit externer Referenz) am Touch-Client.</w:t>
      </w:r>
    </w:p>
    <w:p>
      <w:pPr>
        <w:pStyle w:val="ListBullet"/>
      </w:pPr>
      <w:r>
        <w:t>Schlüssel und Wertfeld der beim Splitten automatisch erzeugten externen Referenz; ob diese an das ERP quittiert wird.</w:t>
      </w:r>
    </w:p>
    <w:p>
      <w:pPr>
        <w:pStyle w:val="ListBullet"/>
      </w:pPr>
      <w:r>
        <w:t xml:space="preserve">Ob die </w:t>
      </w:r>
      <w:r>
        <w:rPr>
          <w:rFonts w:ascii="Consolas" w:hAnsi="Consolas"/>
          <w:sz w:val="18"/>
        </w:rPr>
        <w:t>…EXTREFACK…</w:t>
      </w:r>
      <w:r>
        <w:t xml:space="preserve">-Satzarten in den Bedarfsquittierungen konfigurierbar sind (in </w:t>
      </w:r>
      <w:r>
        <w:rPr>
          <w:b/>
        </w:rPr>
        <w:t>MD021</w:t>
      </w:r>
      <w:r>
        <w:t xml:space="preserve"> keine Checkbox beschrieben).</w:t>
      </w:r>
    </w:p>
    <w:p>
      <w:pPr>
        <w:pStyle w:val="ListBullet"/>
      </w:pPr>
      <w:r>
        <w:t xml:space="preserve">Ändern/Löschen externer Referenzen über die ERP-Schnittstelle (kein </w:t>
      </w:r>
      <w:r>
        <w:rPr>
          <w:rFonts w:ascii="Consolas" w:hAnsi="Consolas"/>
          <w:sz w:val="18"/>
        </w:rPr>
        <w:t>recordState</w:t>
      </w:r>
      <w:r>
        <w:t xml:space="preserve"> in den ERP-Satzarten).</w:t>
      </w:r>
    </w:p>
    <w:p>
      <w:pPr>
        <w:pStyle w:val="ListBullet"/>
      </w:pPr>
      <w:r>
        <w:t xml:space="preserve">Standardwert und Format des Systemparameters </w:t>
      </w:r>
      <w:r>
        <w:rPr>
          <w:rFonts w:ascii="Consolas" w:hAnsi="Consolas"/>
          <w:sz w:val="18"/>
        </w:rPr>
        <w:t>logimat.picking.wcs.extRefKey</w:t>
      </w:r>
      <w:r>
        <w:t>.</w:t>
      </w:r>
    </w:p>
    <w:p>
      <w:pPr>
        <w:pStyle w:val="ListBullet"/>
      </w:pPr>
      <w:r>
        <w:t xml:space="preserve">Ausdrückliche Zuordnung des Felds </w:t>
      </w:r>
      <w:r>
        <w:rPr>
          <w:b/>
        </w:rPr>
        <w:t>Scheinnummer</w:t>
      </w:r>
      <w:r>
        <w:t xml:space="preserve"> zum Schnittstellenfeld </w:t>
      </w:r>
      <w:r>
        <w:rPr>
          <w:rFonts w:ascii="Consolas" w:hAnsi="Consolas"/>
          <w:sz w:val="18"/>
        </w:rPr>
        <w:t>noteNo</w:t>
      </w:r>
      <w:r>
        <w:t>.</w:t>
      </w:r>
    </w:p>
    <w:p>
      <w:pPr>
        <w:pStyle w:val="ListBullet"/>
      </w:pPr>
      <w:r>
        <w:t>Externe Referenzen an Artikeln oder anderen Stammdaten.</w:t>
      </w:r>
    </w:p>
    <w:p>
      <w:pPr>
        <w:pStyle w:val="ListBullet"/>
      </w:pPr>
      <w:r>
        <w:t>Berechtigungen/Rollen für das Pflegen externer Referenzen.</w:t>
      </w:r>
    </w:p>
    <w:p>
      <w:pPr>
        <w:pStyle w:val="Heading1"/>
      </w:pPr>
      <w:r>
        <w:t>9 Quellenverzeichnis</w:t>
      </w:r>
    </w:p>
    <w:p>
      <w:r>
        <w:rPr>
          <w:sz w:val="18"/>
        </w:rPr>
        <w:t xml:space="preserve">Basisordner: </w:t>
      </w:r>
      <w:r>
        <w:rPr>
          <w:rFonts w:ascii="Consolas" w:hAnsi="Consolas"/>
          <w:sz w:val="16"/>
        </w:rPr>
        <w:t>C:\Users\marek\OneDrive - SSI-SCHAEFER\WAMAS LogiMat\01 WORKSPLACE MSO\03 Logimat\01 WAMAS Lift &amp; Store\02 Manuals</w:t>
      </w:r>
      <w:r>
        <w:rPr>
          <w:sz w:val="18"/>
        </w:rPr>
        <w:t xml:space="preserve"> (im Folgenden </w:t>
      </w:r>
      <w:r>
        <w:rPr>
          <w:b/>
          <w:sz w:val="18"/>
        </w:rPr>
        <w:t>MAN</w:t>
      </w:r>
      <w:r>
        <w:rPr>
          <w:sz w:val="18"/>
        </w:rPr>
        <w: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7"/>
        <w:gridCol w:w="5103"/>
        <w:gridCol w:w="3175"/>
      </w:tblGrid>
      <w:tr>
        <w:trPr>
          <w:tblHeader w:val="true"/>
        </w:trPr>
        <w:tc>
          <w:tcPr>
            <w:tcW w:type="dxa" w:w="1247"/>
            <w:shd w:val="clear" w:color="auto" w:fill="FEEE19"/>
          </w:tcPr>
          <w:p>
            <w:pPr>
              <w:spacing w:after="0"/>
            </w:pPr>
            <w:r>
              <w:rPr>
                <w:b/>
                <w:sz w:val="16"/>
              </w:rPr>
              <w:t>Kürzel</w:t>
            </w:r>
          </w:p>
        </w:tc>
        <w:tc>
          <w:tcPr>
            <w:tcW w:type="dxa" w:w="5102"/>
            <w:shd w:val="clear" w:color="auto" w:fill="FEEE19"/>
          </w:tcPr>
          <w:p>
            <w:pPr>
              <w:spacing w:after="0"/>
            </w:pPr>
            <w:r>
              <w:rPr>
                <w:b/>
                <w:sz w:val="16"/>
              </w:rPr>
              <w:t>Dokument / Datei</w:t>
            </w:r>
          </w:p>
        </w:tc>
        <w:tc>
          <w:tcPr>
            <w:tcW w:type="dxa" w:w="3175"/>
            <w:shd w:val="clear" w:color="auto" w:fill="FEEE19"/>
          </w:tcPr>
          <w:p>
            <w:pPr>
              <w:spacing w:after="0"/>
            </w:pPr>
            <w:r>
              <w:rPr>
                <w:b/>
                <w:sz w:val="16"/>
              </w:rPr>
              <w:t>Verwendete Kapitel</w:t>
            </w:r>
          </w:p>
        </w:tc>
      </w:tr>
      <w:tr>
        <w:tc>
          <w:tcPr>
            <w:tcW w:type="dxa" w:w="1247"/>
          </w:tcPr>
          <w:p>
            <w:pPr>
              <w:spacing w:after="0" w:line="252" w:lineRule="auto"/>
            </w:pPr>
            <w:r>
              <w:rPr>
                <w:sz w:val="16"/>
              </w:rPr>
              <w:t>BH</w:t>
            </w:r>
          </w:p>
        </w:tc>
        <w:tc>
          <w:tcPr>
            <w:tcW w:type="dxa" w:w="5102"/>
          </w:tcPr>
          <w:p>
            <w:pPr>
              <w:spacing w:after="0" w:line="252" w:lineRule="auto"/>
            </w:pPr>
            <w:r>
              <w:rPr>
                <w:sz w:val="16"/>
              </w:rPr>
              <w:t>Benutzerhandbuch WAMAS Lift &amp; Store 2.7, V 1.0, deDE</w:t>
            </w:r>
          </w:p>
          <w:p>
            <w:pPr>
              <w:spacing w:after="0"/>
            </w:pPr>
            <w:r>
              <w:rPr>
                <w:sz w:val="16"/>
              </w:rPr>
              <w:t>MAN\01 Admin &amp; User\2.7\WAMAS.LS_2.7_man.user_V01.0_deDE.pdf (.docx inhaltsgleich)</w:t>
            </w:r>
          </w:p>
        </w:tc>
        <w:tc>
          <w:tcPr>
            <w:tcW w:type="dxa" w:w="3175"/>
          </w:tcPr>
          <w:p>
            <w:pPr>
              <w:spacing w:after="0" w:line="252" w:lineRule="auto"/>
            </w:pPr>
            <w:r>
              <w:rPr>
                <w:sz w:val="16"/>
              </w:rPr>
              <w:t>5.3.1, 5.3.1.1, 5.3.1.2, 5.3.2; 6.2.1.1.1–6.2.1.1.3; 6.2.2.1.1–6.2.2.1.3; 6.2.3.1.1–6.2.3.1.2; 6.4.7–6.4.9; 6.7.1</w:t>
            </w:r>
          </w:p>
        </w:tc>
      </w:tr>
      <w:tr>
        <w:tc>
          <w:tcPr>
            <w:tcW w:type="dxa" w:w="1247"/>
          </w:tcPr>
          <w:p>
            <w:pPr>
              <w:spacing w:after="0" w:line="252" w:lineRule="auto"/>
            </w:pPr>
            <w:r>
              <w:rPr>
                <w:sz w:val="16"/>
              </w:rPr>
              <w:t>AH</w:t>
            </w:r>
          </w:p>
        </w:tc>
        <w:tc>
          <w:tcPr>
            <w:tcW w:type="dxa" w:w="5102"/>
          </w:tcPr>
          <w:p>
            <w:pPr>
              <w:spacing w:after="0" w:line="252" w:lineRule="auto"/>
            </w:pPr>
            <w:r>
              <w:rPr>
                <w:sz w:val="16"/>
              </w:rPr>
              <w:t>Administratorhandbuch WAMAS Lift &amp; Store 2.7, V 1.0, deDE</w:t>
            </w:r>
          </w:p>
          <w:p>
            <w:pPr>
              <w:spacing w:after="0"/>
            </w:pPr>
            <w:r>
              <w:rPr>
                <w:sz w:val="16"/>
              </w:rPr>
              <w:t>MAN\01 Admin &amp; User\2.7\WAMAS.LS_2.7_man.administrator_V01.0_deDE.pdf (.docx inhaltsgleich)</w:t>
            </w:r>
          </w:p>
        </w:tc>
        <w:tc>
          <w:tcPr>
            <w:tcW w:type="dxa" w:w="3175"/>
          </w:tcPr>
          <w:p>
            <w:pPr>
              <w:spacing w:after="0" w:line="252" w:lineRule="auto"/>
            </w:pPr>
            <w:r>
              <w:rPr>
                <w:sz w:val="16"/>
              </w:rPr>
              <w:t xml:space="preserve">3.5.1, 3.5.1.2.3, 3.5.1.3.3, 3.5.1.6.x; 3.5.2, 3.5.2.2, 3.5.2.3, 3.5.2.4, 3.5.2.6, 3.5.2.7; 3.11.2 (Parameter </w:t>
            </w:r>
            <w:r>
              <w:rPr>
                <w:rFonts w:ascii="Consolas" w:hAnsi="Consolas"/>
                <w:sz w:val="14"/>
              </w:rPr>
              <w:t>logimat.picking.wcs.extRefKey</w:t>
            </w:r>
            <w:r>
              <w:rPr>
                <w:sz w:val="16"/>
              </w:rPr>
              <w:t>)</w:t>
            </w:r>
          </w:p>
        </w:tc>
      </w:tr>
      <w:tr>
        <w:tc>
          <w:tcPr>
            <w:tcW w:type="dxa" w:w="1247"/>
          </w:tcPr>
          <w:p>
            <w:pPr>
              <w:spacing w:after="0" w:line="252" w:lineRule="auto"/>
            </w:pPr>
            <w:r>
              <w:rPr>
                <w:sz w:val="16"/>
              </w:rPr>
              <w:t>IF-ERP</w:t>
            </w:r>
          </w:p>
        </w:tc>
        <w:tc>
          <w:tcPr>
            <w:tcW w:type="dxa" w:w="5102"/>
          </w:tcPr>
          <w:p>
            <w:pPr>
              <w:spacing w:after="0" w:line="252" w:lineRule="auto"/>
            </w:pPr>
            <w:r>
              <w:rPr>
                <w:sz w:val="16"/>
              </w:rPr>
              <w:t>Interface Manual WLS – ERP, WAMAS Lift &amp; Store 2.7, V 1.0, enUS</w:t>
            </w:r>
          </w:p>
          <w:p>
            <w:pPr>
              <w:spacing w:after="0"/>
            </w:pPr>
            <w:r>
              <w:rPr>
                <w:sz w:val="16"/>
              </w:rPr>
              <w:t>MAN\01 Admin &amp; User\2.7\WAMAS.LS_2.7_man.interface.wls.erp_V01.0_enUS.pdf</w:t>
            </w:r>
          </w:p>
        </w:tc>
        <w:tc>
          <w:tcPr>
            <w:tcW w:type="dxa" w:w="3175"/>
          </w:tcPr>
          <w:p>
            <w:pPr>
              <w:spacing w:after="0" w:line="252" w:lineRule="auto"/>
            </w:pPr>
            <w:r>
              <w:rPr>
                <w:sz w:val="16"/>
              </w:rPr>
              <w:t>2.1.1.5, 2.1.6, 3.1.3, 3.2; 6.1–6.2.2.5; 7.1–7.2.2.6; 8.1–8.2.2.5</w:t>
            </w:r>
          </w:p>
        </w:tc>
      </w:tr>
      <w:tr>
        <w:tc>
          <w:tcPr>
            <w:tcW w:type="dxa" w:w="1247"/>
          </w:tcPr>
          <w:p>
            <w:pPr>
              <w:spacing w:after="0" w:line="252" w:lineRule="auto"/>
            </w:pPr>
            <w:r>
              <w:rPr>
                <w:sz w:val="16"/>
              </w:rPr>
              <w:t>IF-WCS</w:t>
            </w:r>
          </w:p>
        </w:tc>
        <w:tc>
          <w:tcPr>
            <w:tcW w:type="dxa" w:w="5102"/>
          </w:tcPr>
          <w:p>
            <w:pPr>
              <w:spacing w:after="0" w:line="252" w:lineRule="auto"/>
            </w:pPr>
            <w:r>
              <w:rPr>
                <w:sz w:val="16"/>
              </w:rPr>
              <w:t>Interface Manual WLS – WAMAS WMS/MFS, 2.7, V 1.0, enUS</w:t>
            </w:r>
          </w:p>
          <w:p>
            <w:pPr>
              <w:spacing w:after="0"/>
            </w:pPr>
            <w:r>
              <w:rPr>
                <w:sz w:val="16"/>
              </w:rPr>
              <w:t>MAN\01 Admin &amp; User\2.7\WAMAS.LS_2.7_man.interface.wcs.wms_V01.0_enUS.pdf</w:t>
            </w:r>
          </w:p>
        </w:tc>
        <w:tc>
          <w:tcPr>
            <w:tcW w:type="dxa" w:w="3175"/>
          </w:tcPr>
          <w:p>
            <w:pPr>
              <w:spacing w:after="0" w:line="252" w:lineRule="auto"/>
            </w:pPr>
            <w:r>
              <w:rPr>
                <w:sz w:val="16"/>
              </w:rPr>
              <w:t>9, 9.1.1.4–9.1.1.6, 9.1.2.4–9.1.2.6</w:t>
            </w:r>
          </w:p>
        </w:tc>
      </w:tr>
      <w:tr>
        <w:tc>
          <w:tcPr>
            <w:tcW w:type="dxa" w:w="1247"/>
          </w:tcPr>
          <w:p>
            <w:pPr>
              <w:spacing w:after="0" w:line="252" w:lineRule="auto"/>
            </w:pPr>
            <w:r>
              <w:rPr>
                <w:sz w:val="16"/>
              </w:rPr>
              <w:t>IF-ERP 2.8 / IF-WCS 2.8</w:t>
            </w:r>
          </w:p>
        </w:tc>
        <w:tc>
          <w:tcPr>
            <w:tcW w:type="dxa" w:w="5102"/>
          </w:tcPr>
          <w:p>
            <w:pPr>
              <w:spacing w:after="0" w:line="252" w:lineRule="auto"/>
            </w:pPr>
            <w:r>
              <w:rPr>
                <w:sz w:val="16"/>
              </w:rPr>
              <w:t>MAN\01 Admin &amp; User\2.8\WAMAS.LS_2.8_man.interface.wls.erp_V01.0_enUS.pdf und …interface.wcs.wms_V01.0_enUS.pdf</w:t>
            </w:r>
          </w:p>
        </w:tc>
        <w:tc>
          <w:tcPr>
            <w:tcW w:type="dxa" w:w="3175"/>
          </w:tcPr>
          <w:p>
            <w:pPr>
              <w:spacing w:after="0" w:line="252" w:lineRule="auto"/>
            </w:pPr>
            <w:r>
              <w:rPr>
                <w:sz w:val="16"/>
              </w:rPr>
              <w:t>Abgleich: Satzarten und Felder unverändert</w:t>
            </w:r>
          </w:p>
        </w:tc>
      </w:tr>
      <w:tr>
        <w:tc>
          <w:tcPr>
            <w:tcW w:type="dxa" w:w="1247"/>
          </w:tcPr>
          <w:p>
            <w:pPr>
              <w:spacing w:after="0" w:line="252" w:lineRule="auto"/>
            </w:pPr>
            <w:r>
              <w:rPr>
                <w:sz w:val="16"/>
              </w:rPr>
              <w:t>REST-AH</w:t>
            </w:r>
          </w:p>
        </w:tc>
        <w:tc>
          <w:tcPr>
            <w:tcW w:type="dxa" w:w="5102"/>
          </w:tcPr>
          <w:p>
            <w:pPr>
              <w:spacing w:after="0" w:line="252" w:lineRule="auto"/>
            </w:pPr>
            <w:r>
              <w:rPr>
                <w:sz w:val="16"/>
              </w:rPr>
              <w:t>MAN\01 Admin &amp; User\2.7\REST WAMAS.LS_2.7.pdf (Auszug AH S. 69–73)</w:t>
            </w:r>
          </w:p>
        </w:tc>
        <w:tc>
          <w:tcPr>
            <w:tcW w:type="dxa" w:w="3175"/>
          </w:tcPr>
          <w:p>
            <w:pPr>
              <w:spacing w:after="0" w:line="252" w:lineRule="auto"/>
            </w:pPr>
            <w:r>
              <w:rPr>
                <w:sz w:val="16"/>
              </w:rPr>
              <w:t>REST-Empfänger/-Sender; kein Bezug zu externen Referenzen</w:t>
            </w:r>
          </w:p>
        </w:tc>
      </w:tr>
      <w:tr>
        <w:tc>
          <w:tcPr>
            <w:tcW w:type="dxa" w:w="1247"/>
          </w:tcPr>
          <w:p>
            <w:pPr>
              <w:spacing w:after="0" w:line="252" w:lineRule="auto"/>
            </w:pPr>
            <w:r>
              <w:rPr>
                <w:sz w:val="16"/>
              </w:rPr>
              <w:t>WLM-REST V2</w:t>
            </w:r>
          </w:p>
        </w:tc>
        <w:tc>
          <w:tcPr>
            <w:tcW w:type="dxa" w:w="5102"/>
          </w:tcPr>
          <w:p>
            <w:pPr>
              <w:spacing w:after="0" w:line="252" w:lineRule="auto"/>
            </w:pPr>
            <w:r>
              <w:rPr>
                <w:sz w:val="16"/>
              </w:rPr>
              <w:t>MAN\04 Install\WLM-REST_Specification_V2.pdf (2021)</w:t>
            </w:r>
          </w:p>
        </w:tc>
        <w:tc>
          <w:tcPr>
            <w:tcW w:type="dxa" w:w="3175"/>
          </w:tcPr>
          <w:p>
            <w:pPr>
              <w:spacing w:after="0" w:line="252" w:lineRule="auto"/>
            </w:pPr>
            <w:r>
              <w:rPr>
                <w:sz w:val="16"/>
              </w:rPr>
              <w:t>Endpunkte; kein Bezug zu externen Referenzen</w:t>
            </w:r>
          </w:p>
        </w:tc>
      </w:tr>
      <w:tr>
        <w:tc>
          <w:tcPr>
            <w:tcW w:type="dxa" w:w="1247"/>
          </w:tcPr>
          <w:p>
            <w:pPr>
              <w:spacing w:after="0" w:line="252" w:lineRule="auto"/>
            </w:pPr>
            <w:r>
              <w:rPr>
                <w:sz w:val="16"/>
              </w:rPr>
              <w:t>TB</w:t>
            </w:r>
          </w:p>
        </w:tc>
        <w:tc>
          <w:tcPr>
            <w:tcW w:type="dxa" w:w="5102"/>
          </w:tcPr>
          <w:p>
            <w:pPr>
              <w:spacing w:after="0" w:line="252" w:lineRule="auto"/>
            </w:pPr>
            <w:r>
              <w:rPr>
                <w:sz w:val="16"/>
              </w:rPr>
              <w:t>Telegrammbeispiele 2.7.0</w:t>
            </w:r>
          </w:p>
          <w:p>
            <w:pPr>
              <w:spacing w:after="0"/>
            </w:pPr>
            <w:r>
              <w:rPr>
                <w:sz w:val="16"/>
              </w:rPr>
              <w:t>MAN\04 Install\telegram_examples_2_7 1\examples\2.7.0_IN_OUT_CSV_TXT_XML_JSON.ZIP</w:t>
            </w:r>
          </w:p>
        </w:tc>
        <w:tc>
          <w:tcPr>
            <w:tcW w:type="dxa" w:w="3175"/>
          </w:tcPr>
          <w:p>
            <w:pPr>
              <w:spacing w:after="0" w:line="252" w:lineRule="auto"/>
            </w:pPr>
            <w:r>
              <w:rPr>
                <w:sz w:val="16"/>
              </w:rPr>
              <w:t>SD/with_ext_ref, PD/with_ext_ref, INVD/ext_ref, PD/ACK_when_dest_full, INVD/ack_invd</w:t>
            </w:r>
          </w:p>
        </w:tc>
      </w:tr>
      <w:tr>
        <w:tc>
          <w:tcPr>
            <w:tcW w:type="dxa" w:w="1247"/>
          </w:tcPr>
          <w:p>
            <w:pPr>
              <w:spacing w:after="0" w:line="252" w:lineRule="auto"/>
            </w:pPr>
            <w:r>
              <w:rPr>
                <w:sz w:val="16"/>
              </w:rPr>
              <w:t>BH 2.4</w:t>
            </w:r>
          </w:p>
        </w:tc>
        <w:tc>
          <w:tcPr>
            <w:tcW w:type="dxa" w:w="5102"/>
          </w:tcPr>
          <w:p>
            <w:pPr>
              <w:spacing w:after="0" w:line="252" w:lineRule="auto"/>
            </w:pPr>
            <w:r>
              <w:rPr>
                <w:sz w:val="16"/>
              </w:rPr>
              <w:t>Benutzerhandbuch WAMAS LogiMat 2.4, V 5.0 (ger)</w:t>
            </w:r>
          </w:p>
          <w:p>
            <w:pPr>
              <w:spacing w:after="0"/>
            </w:pPr>
            <w:r>
              <w:rPr>
                <w:sz w:val="16"/>
              </w:rPr>
              <w:t>…\Anlagen\PE_Sales_CH\man_user_WAMAS_LogiMat_R2.4_V5.0_ger-1_Externe Lagerung.pdf</w:t>
            </w:r>
          </w:p>
        </w:tc>
        <w:tc>
          <w:tcPr>
            <w:tcW w:type="dxa" w:w="3175"/>
          </w:tcPr>
          <w:p>
            <w:pPr>
              <w:spacing w:after="0" w:line="252" w:lineRule="auto"/>
            </w:pPr>
            <w:r>
              <w:rPr>
                <w:sz w:val="16"/>
              </w:rPr>
              <w:t>4.5.1.1 (historischer Feldname „Externe Referenz“)</w:t>
            </w:r>
          </w:p>
        </w:tc>
      </w:tr>
    </w:tbl>
    <w:p>
      <w:pPr>
        <w:pStyle w:val="BeschriftungSSI"/>
      </w:pPr>
      <w:r>
        <w:t>Tab. 13: Ausgewertete Quellen</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yellow.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2.7</w:t>
          </w:r>
        </w:p>
        <w:p>
          <w:pPr>
            <w:spacing w:after="0" w:line="240" w:lineRule="auto"/>
          </w:pPr>
          <w:r>
            <w:rPr>
              <w:sz w:val="13"/>
            </w:rPr>
            <w:t>How-to V 1.0</w:t>
          </w:r>
        </w:p>
        <w:p>
          <w:pPr>
            <w:spacing w:after="0" w:line="240" w:lineRule="auto"/>
          </w:pPr>
          <w:r>
            <w:rPr>
              <w:sz w:val="13"/>
            </w:rPr>
            <w:t>Standard</w:t>
          </w:r>
        </w:p>
      </w:tc>
      <w:tc>
        <w:tcPr>
          <w:tcW w:type="dxa" w:w="4422"/>
        </w:tcPr>
        <w:p>
          <w:pPr>
            <w:spacing w:before="200"/>
            <w:jc w:val="right"/>
          </w:pPr>
          <w:r>
            <w:rPr>
              <w:sz w:val="18"/>
            </w:rPr>
            <w:t xml:space="preserve">SSI SCHÄFER |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How-to-Handbuch</w:t>
    </w:r>
  </w:p>
  <w:p>
    <w:pPr>
      <w:jc w:val="right"/>
      <w:pBdr>
        <w:bottom w:val="single" w:sz="4" w:space="4" w:color="000000"/>
      </w:pBdr>
    </w:pPr>
    <w:r>
      <w:rPr>
        <w:b/>
        <w:sz w:val="22"/>
      </w:rPr>
      <w:t>Externe Referenzen verwenden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Externe Referenzen verwenden – How-to-Handbuch WAMAS Lift &amp; Store 2.7</dc:title>
  <dc:subject>WAMAS Lift &amp; Store 2.7 – Externe Referenzen</dc:subject>
  <dc:creator>SSI SCHÄFER</dc:creator>
  <cp:keywords>WAMAS Lift &amp; Store, LogiMat, externe Referenz, extRefKey</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