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Externe Lagerprozesse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Externe Lagerplätze, Zielplätze und externe Ladeeinheiten einrichten und bedienen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1.1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Begriffe und Überblick</w:t>
        <w:tab/>
        <w:t>5</w:t>
      </w:r>
    </w:p>
    <w:p>
      <w:pPr>
        <w:pStyle w:val="TOC2"/>
        <w:tabs>
          <w:tab w:pos="9524" w:val="right" w:leader="dot"/>
        </w:tabs>
      </w:pPr>
      <w:r>
        <w:t>2.1 Begriffe</w:t>
        <w:tab/>
        <w:t>5</w:t>
      </w:r>
    </w:p>
    <w:p>
      <w:pPr>
        <w:pStyle w:val="TOC2"/>
        <w:tabs>
          <w:tab w:pos="9524" w:val="right" w:leader="dot"/>
        </w:tabs>
      </w:pPr>
      <w:r>
        <w:t>2.2 Dialogübersicht</w:t>
        <w:tab/>
        <w:t>5</w:t>
      </w:r>
    </w:p>
    <w:p>
      <w:pPr>
        <w:pStyle w:val="TOC2"/>
        <w:tabs>
          <w:tab w:pos="9524" w:val="right" w:leader="dot"/>
        </w:tabs>
      </w:pPr>
      <w:r>
        <w:t>2.3 Abgleich mit Version 2.8 und R2.4</w:t>
        <w:tab/>
        <w:t>6</w:t>
      </w:r>
    </w:p>
    <w:p>
      <w:pPr>
        <w:pStyle w:val="TOC1"/>
        <w:tabs>
          <w:tab w:pos="9524" w:val="right" w:leader="dot"/>
        </w:tabs>
      </w:pPr>
      <w:r>
        <w:t>3 Voraussetzungen und Stammdaten</w:t>
        <w:tab/>
        <w:t>7</w:t>
      </w:r>
    </w:p>
    <w:p>
      <w:pPr>
        <w:pStyle w:val="TOC2"/>
        <w:tabs>
          <w:tab w:pos="9524" w:val="right" w:leader="dot"/>
        </w:tabs>
      </w:pPr>
      <w:r>
        <w:t>3.1 Zone</w:t>
        <w:tab/>
        <w:t>7</w:t>
      </w:r>
    </w:p>
    <w:p>
      <w:pPr>
        <w:pStyle w:val="TOC2"/>
        <w:tabs>
          <w:tab w:pos="9524" w:val="right" w:leader="dot"/>
        </w:tabs>
      </w:pPr>
      <w:r>
        <w:t>3.2 Lagerfachträgertyp</w:t>
        <w:tab/>
        <w:t>7</w:t>
      </w:r>
    </w:p>
    <w:p>
      <w:pPr>
        <w:pStyle w:val="TOC2"/>
        <w:tabs>
          <w:tab w:pos="9524" w:val="right" w:leader="dot"/>
        </w:tabs>
      </w:pPr>
      <w:r>
        <w:t>3.3 Artikel als „Externer Artikel“ kennzeichnen</w:t>
        <w:tab/>
        <w:t>7</w:t>
      </w:r>
    </w:p>
    <w:p>
      <w:pPr>
        <w:pStyle w:val="TOC2"/>
        <w:tabs>
          <w:tab w:pos="9524" w:val="right" w:leader="dot"/>
        </w:tabs>
      </w:pPr>
      <w:r>
        <w:t>3.4 Benutzer und Mobilterminal</w:t>
        <w:tab/>
        <w:t>7</w:t>
      </w:r>
    </w:p>
    <w:p>
      <w:pPr>
        <w:pStyle w:val="TOC1"/>
        <w:tabs>
          <w:tab w:pos="9524" w:val="right" w:leader="dot"/>
        </w:tabs>
      </w:pPr>
      <w:r>
        <w:t>4 Externe Lagerplätze einrichten</w:t>
        <w:tab/>
        <w:t>8</w:t>
      </w:r>
    </w:p>
    <w:p>
      <w:pPr>
        <w:pStyle w:val="TOC2"/>
        <w:tabs>
          <w:tab w:pos="9524" w:val="right" w:leader="dot"/>
        </w:tabs>
      </w:pPr>
      <w:r>
        <w:t>4.1 Externe Lagerplatzgruppe generieren (LM125/LM126)</w:t>
        <w:tab/>
        <w:t>8</w:t>
      </w:r>
    </w:p>
    <w:p>
      <w:pPr>
        <w:pStyle w:val="TOC2"/>
        <w:tabs>
          <w:tab w:pos="9524" w:val="right" w:leader="dot"/>
        </w:tabs>
      </w:pPr>
      <w:r>
        <w:t>4.2 Plätze ergänzen, Gruppe löschen, Gruppe importieren</w:t>
        <w:tab/>
        <w:t>8</w:t>
      </w:r>
    </w:p>
    <w:p>
      <w:pPr>
        <w:pStyle w:val="TOC2"/>
        <w:tabs>
          <w:tab w:pos="9524" w:val="right" w:leader="dot"/>
        </w:tabs>
      </w:pPr>
      <w:r>
        <w:t>4.3 Einzelnen externen Lagerplatz pflegen (LM124)</w:t>
        <w:tab/>
        <w:t>9</w:t>
      </w:r>
    </w:p>
    <w:p>
      <w:pPr>
        <w:pStyle w:val="TOC2"/>
        <w:tabs>
          <w:tab w:pos="9524" w:val="right" w:leader="dot"/>
        </w:tabs>
      </w:pPr>
      <w:r>
        <w:t>4.4 Lagerplatztypzuordnung: Was darf wohin? (LM132)</w:t>
        <w:tab/>
        <w:t>9</w:t>
      </w:r>
    </w:p>
    <w:p>
      <w:pPr>
        <w:pStyle w:val="TOC2"/>
        <w:tabs>
          <w:tab w:pos="9524" w:val="right" w:leader="dot"/>
        </w:tabs>
      </w:pPr>
      <w:r>
        <w:t>4.5 Bestand aus einem externen WMS übernehmen</w:t>
        <w:tab/>
        <w:t>9</w:t>
      </w:r>
    </w:p>
    <w:p>
      <w:pPr>
        <w:pStyle w:val="TOC2"/>
        <w:tabs>
          <w:tab w:pos="9524" w:val="right" w:leader="dot"/>
        </w:tabs>
      </w:pPr>
      <w:r>
        <w:t>4.6 Lagerplatzetiketten für externe Plätze</w:t>
        <w:tab/>
        <w:t>10</w:t>
      </w:r>
    </w:p>
    <w:p>
      <w:pPr>
        <w:pStyle w:val="TOC1"/>
        <w:tabs>
          <w:tab w:pos="9524" w:val="right" w:leader="dot"/>
        </w:tabs>
      </w:pPr>
      <w:r>
        <w:t>5 Einlagerstrategie für externe Lagerplätze</w:t>
        <w:tab/>
        <w:t>11</w:t>
      </w:r>
    </w:p>
    <w:p>
      <w:pPr>
        <w:pStyle w:val="TOC2"/>
        <w:tabs>
          <w:tab w:pos="9524" w:val="right" w:leader="dot"/>
        </w:tabs>
      </w:pPr>
      <w:r>
        <w:t>5.1 Welche Strategie gilt?</w:t>
        <w:tab/>
        <w:t>11</w:t>
      </w:r>
    </w:p>
    <w:p>
      <w:pPr>
        <w:pStyle w:val="TOC2"/>
        <w:tabs>
          <w:tab w:pos="9524" w:val="right" w:leader="dot"/>
        </w:tabs>
      </w:pPr>
      <w:r>
        <w:t>5.2 Reihenfolgen</w:t>
        <w:tab/>
        <w:t>11</w:t>
      </w:r>
    </w:p>
    <w:p>
      <w:pPr>
        <w:pStyle w:val="TOC1"/>
        <w:tabs>
          <w:tab w:pos="9524" w:val="right" w:leader="dot"/>
        </w:tabs>
      </w:pPr>
      <w:r>
        <w:t>6 Prozesse am Mobilterminal</w:t>
        <w:tab/>
        <w:t>12</w:t>
      </w:r>
    </w:p>
    <w:p>
      <w:pPr>
        <w:pStyle w:val="TOC2"/>
        <w:tabs>
          <w:tab w:pos="9524" w:val="right" w:leader="dot"/>
        </w:tabs>
      </w:pPr>
      <w:r>
        <w:t>6.1 Tätigkeiten im Überblick</w:t>
        <w:tab/>
        <w:t>12</w:t>
      </w:r>
    </w:p>
    <w:p>
      <w:pPr>
        <w:pStyle w:val="TOC2"/>
        <w:tabs>
          <w:tab w:pos="9524" w:val="right" w:leader="dot"/>
        </w:tabs>
      </w:pPr>
      <w:r>
        <w:t>6.2 Ware einlagern – Schritt für Schritt</w:t>
        <w:tab/>
        <w:t>12</w:t>
      </w:r>
    </w:p>
    <w:p>
      <w:pPr>
        <w:pStyle w:val="TOC2"/>
        <w:tabs>
          <w:tab w:pos="9524" w:val="right" w:leader="dot"/>
        </w:tabs>
      </w:pPr>
      <w:r>
        <w:t>6.3 Ware kommissionieren – Schritt für Schritt</w:t>
        <w:tab/>
        <w:t>12</w:t>
      </w:r>
    </w:p>
    <w:p>
      <w:pPr>
        <w:pStyle w:val="TOC1"/>
        <w:tabs>
          <w:tab w:pos="9524" w:val="right" w:leader="dot"/>
        </w:tabs>
      </w:pPr>
      <w:r>
        <w:t>7 Zielplätze und Zielplatzgruppen</w:t>
        <w:tab/>
        <w:t>14</w:t>
      </w:r>
    </w:p>
    <w:p>
      <w:pPr>
        <w:pStyle w:val="TOC2"/>
        <w:tabs>
          <w:tab w:pos="9524" w:val="right" w:leader="dot"/>
        </w:tabs>
      </w:pPr>
      <w:r>
        <w:t>7.1 Am Desktop einrichten</w:t>
        <w:tab/>
        <w:t>14</w:t>
      </w:r>
    </w:p>
    <w:p>
      <w:pPr>
        <w:pStyle w:val="TOC2"/>
        <w:tabs>
          <w:tab w:pos="9524" w:val="right" w:leader="dot"/>
        </w:tabs>
      </w:pPr>
      <w:r>
        <w:t>7.2 Am Touch-Client einrichten und bedienen</w:t>
        <w:tab/>
        <w:t>14</w:t>
      </w:r>
    </w:p>
    <w:p>
      <w:pPr>
        <w:pStyle w:val="TOC2"/>
        <w:tabs>
          <w:tab w:pos="9524" w:val="right" w:leader="dot"/>
        </w:tabs>
      </w:pPr>
      <w:r>
        <w:t>7.3 Einstellungen mit Bezug zu Zielplätzen und externen Plätzen</w:t>
        <w:tab/>
        <w:t>14</w:t>
      </w:r>
    </w:p>
    <w:p>
      <w:pPr>
        <w:pStyle w:val="TOC1"/>
        <w:tabs>
          <w:tab w:pos="9524" w:val="right" w:leader="dot"/>
        </w:tabs>
      </w:pPr>
      <w:r>
        <w:t>8 Kommissionierwägen</w:t>
        <w:tab/>
        <w:t>16</w:t>
      </w:r>
    </w:p>
    <w:p>
      <w:pPr>
        <w:pStyle w:val="TOC1"/>
        <w:tabs>
          <w:tab w:pos="9524" w:val="right" w:leader="dot"/>
        </w:tabs>
      </w:pPr>
      <w:r>
        <w:t>9 Externe Ladeeinheiten</w:t>
        <w:tab/>
        <w:t>17</w:t>
      </w:r>
    </w:p>
    <w:p>
      <w:pPr>
        <w:pStyle w:val="TOC2"/>
        <w:tabs>
          <w:tab w:pos="9524" w:val="right" w:leader="dot"/>
        </w:tabs>
      </w:pPr>
      <w:r>
        <w:t>9.1 Was ist eine externe LE?</w:t>
        <w:tab/>
        <w:t>17</w:t>
      </w:r>
    </w:p>
    <w:p>
      <w:pPr>
        <w:pStyle w:val="TOC2"/>
        <w:tabs>
          <w:tab w:pos="9524" w:val="right" w:leader="dot"/>
        </w:tabs>
      </w:pPr>
      <w:r>
        <w:t>9.2 Funktionen in LM045</w:t>
        <w:tab/>
        <w:t>17</w:t>
      </w:r>
    </w:p>
    <w:p>
      <w:pPr>
        <w:pStyle w:val="TOC2"/>
        <w:tabs>
          <w:tab w:pos="9524" w:val="right" w:leader="dot"/>
        </w:tabs>
      </w:pPr>
      <w:r>
        <w:t>9.3 Parameter für externe LE</w:t>
        <w:tab/>
        <w:t>17</w:t>
      </w:r>
    </w:p>
    <w:p>
      <w:pPr>
        <w:pStyle w:val="TOC1"/>
        <w:tabs>
          <w:tab w:pos="9524" w:val="right" w:leader="dot"/>
        </w:tabs>
      </w:pPr>
      <w:r>
        <w:t>10 Ausblick 2.8: Nachschub zwischen externem Lager und SSI LOGIMAT</w:t>
        <w:tab/>
      </w:r>
    </w:p>
    <w:p>
      <w:pPr>
        <w:pStyle w:val="TOC1"/>
        <w:tabs>
          <w:tab w:pos="9524" w:val="right" w:leader="dot"/>
        </w:tabs>
      </w:pPr>
      <w:r>
        <w:t>11 Stolperfallen</w:t>
        <w:tab/>
        <w:t>19</w:t>
      </w:r>
    </w:p>
    <w:p>
      <w:pPr>
        <w:pStyle w:val="TOC1"/>
        <w:tabs>
          <w:tab w:pos="9524" w:val="right" w:leader="dot"/>
        </w:tabs>
      </w:pPr>
      <w:r>
        <w:t>12 Praxisbeispiele</w:t>
        <w:tab/>
        <w:t>20</w:t>
      </w:r>
    </w:p>
    <w:p>
      <w:pPr>
        <w:pStyle w:val="TOC2"/>
        <w:tabs>
          <w:tab w:pos="9524" w:val="right" w:leader="dot"/>
        </w:tabs>
      </w:pPr>
      <w:r>
        <w:t>12.1 Fachbodenregal neben dem LOGIMAT anlegen und mobil einlagern</w:t>
        <w:tab/>
        <w:t>20</w:t>
      </w:r>
    </w:p>
    <w:p>
      <w:pPr>
        <w:pStyle w:val="TOC2"/>
        <w:tabs>
          <w:tab w:pos="9524" w:val="right" w:leader="dot"/>
        </w:tabs>
      </w:pPr>
      <w:r>
        <w:t>12.2 Versand-LE zwischenlagern, bis der Bestand reicht</w:t>
        <w:tab/>
        <w:t>20</w:t>
      </w:r>
    </w:p>
    <w:p>
      <w:pPr>
        <w:pStyle w:val="TOC1"/>
        <w:tabs>
          <w:tab w:pos="9524" w:val="right" w:leader="dot"/>
        </w:tabs>
      </w:pPr>
      <w:r>
        <w:t>13 Dokumentationslücken und offene Fragen</w:t>
        <w:tab/>
        <w:t>21</w:t>
      </w:r>
    </w:p>
    <w:p>
      <w:pPr>
        <w:pStyle w:val="TOC1"/>
        <w:tabs>
          <w:tab w:pos="9524" w:val="right" w:leader="dot"/>
        </w:tabs>
      </w:pPr>
      <w:r>
        <w:t>14 Quellenverzeichnis</w:t>
        <w:tab/>
        <w:t>22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How-to beschreibt, wie in </w:t>
      </w:r>
      <w:r>
        <w:rPr>
          <w:b/>
        </w:rPr>
        <w:t>WAMAS Lift &amp; Store 2.7</w:t>
      </w:r>
      <w:r>
        <w:t xml:space="preserve"> Lager außerhalb der Vertikallagerlifte </w:t>
      </w:r>
      <w:r>
        <w:rPr>
          <w:b/>
        </w:rPr>
        <w:t>SSI LOGIMAT</w:t>
      </w:r>
      <w:r>
        <w:t xml:space="preserve"> abgebildet und bewirtschaftet werden: externe Lagerplätze (z. B. Fachbodenregale), Zielplätze für Put to Light und Kommissionierung, Kommissionierwägen sowie externe Ladeeinheiten (Versand- und avisierte LE). Es behandelt die Einrichtung im Desktop, die Prozesse am Mobilterminal und am Touch-Client sowie die zugehörigen Parameter.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Kapitel 2 klärt die Begriffe. Sie werden in den Handbüchern teils unscharf verwendet.</w:t>
      </w:r>
    </w:p>
    <w:p>
      <w:pPr>
        <w:pStyle w:val="ListBullet"/>
      </w:pPr>
      <w:r>
        <w:t>Kapitel 3 und 4 beschreiben die Einrichtung, Kapitel 5 die Einlagerstrategien für externe Plätze.</w:t>
      </w:r>
    </w:p>
    <w:p>
      <w:pPr>
        <w:pStyle w:val="ListBullet"/>
      </w:pPr>
      <w:r>
        <w:t>Kapitel 6 bis 9 beschreiben die Prozesse am Mobilterminal und Touch-Client.</w:t>
      </w:r>
    </w:p>
    <w:p>
      <w:pPr>
        <w:pStyle w:val="ListBullet"/>
      </w:pPr>
      <w:r>
        <w:t>Kapitel 10 zeigt die in 2.8 neue Nachschubkonfiguration zwischen externem Lager und SSI LOGIMAT.</w:t>
      </w:r>
    </w:p>
    <w:p>
      <w:pPr>
        <w:pStyle w:val="ListBullet"/>
      </w:pPr>
      <w:r>
        <w:t xml:space="preserve">Dialognamen und Buttons sind </w:t>
      </w:r>
      <w:r>
        <w:rPr>
          <w:b/>
        </w:rPr>
        <w:t>fett</w:t>
      </w:r>
      <w:r>
        <w:t xml:space="preserve">, Felder und Parameter in </w:t>
      </w:r>
      <w:r>
        <w:rPr>
          <w:rFonts w:ascii="Consolas" w:hAnsi="Consolas" w:cs="Consolas" w:eastAsia="Consolas"/>
          <w:sz w:val="18"/>
        </w:rPr>
        <w:t>Code</w:t>
      </w:r>
      <w:r>
        <w:t>-Schrift gesetzt. Lücken der Herstellerdokumentation sind als graue Kästen markiert.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Lagerprozesse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Projektingenieure, Key-User, 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Administratorhandbuch 2.7 (deDE), Benutzerhandbuch 2.7 (deDE), Benutzerhandbuch WAMAS LogiMat R2.4 „Externe Lagerung“, Importbeispiel CSV, Abgleich mit Handbüchern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14.10.2026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der Handbücher 2.7, abgeglichen mit 2.8 und R2.4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LM069 korrigiert (Etikettendruck nur WH004/LM044)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Begriffe und Überblick</w:t>
      </w:r>
    </w:p>
    <w:p>
      <w:pPr>
        <w:pStyle w:val="Heading2"/>
      </w:pPr>
      <w:r>
        <w:t>2.1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32"/>
        <w:gridCol w:w="4082"/>
        <w:gridCol w:w="3810"/>
      </w:tblGrid>
      <w:tr>
        <w:trPr>
          <w:tblHeader w:val="true"/>
        </w:trPr>
        <w:tc>
          <w:tcPr>
            <w:tcW w:type="dxa" w:w="16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40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 laut Handbuch</w:t>
            </w:r>
          </w:p>
        </w:tc>
        <w:tc>
          <w:tcPr>
            <w:tcW w:type="dxa" w:w="38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Typische Verwendung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Externer Lagerplatz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Lagerplatz außerhalb eines SSI LOGIMAT, z. B. auf einem Fachboden oder eine größere Gruppierung von Lagerplätzen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Einlagerung, Kommissionierung, Inventur am Mobilterminal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Lagerplatzgruppe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Gruppe externer Lagerplätze mit Lagerfachträgertyp, Lager- und Kommissionierreihenfolge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Regal oder Regalzeile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Zielplatz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Lagerplatz außerhalb des SSI LOGIMAT, LE-orientiert, zur Einlagerung kommissionierter LE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Light, Kommissionierung in Ziel-LE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Gruppe von Zielplätzen, einer oder mehreren Zugriffsöffnungen zugeordnet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Ablagefläche an einer Zugriffsöffnung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Fahrzeug mit fixer Anzahl Ladehilfsmittel für parallele Kommissionierung; als Zielplatzgruppe gepflegt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Mehrauftragskommissionierung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 Ladeeinheit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Versand-LE oder avisierte LE, die automatisch angelegt wird, sobald ein Kommissionierbedarf geplant wird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Ziel-LE der Kommissionierung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Externer Artikel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Kennzeichen </w:t>
            </w:r>
            <w:r>
              <w:rPr>
                <w:b/>
                <w:sz w:val="17"/>
              </w:rPr>
              <w:t>Externer Artikel</w:t>
            </w:r>
            <w:r>
              <w:rPr>
                <w:sz w:val="17"/>
              </w:rPr>
              <w:t>; am Mobilterminal, nicht am Touch-Client verarbeitbar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Ware im externen Lager</w:t>
            </w:r>
          </w:p>
        </w:tc>
      </w:tr>
    </w:tbl>
    <w:p>
      <w:pPr>
        <w:pStyle w:val="BeschriftungSSI"/>
      </w:pPr>
      <w:r>
        <w:t>Tab. 2: Begriffe der externen Lagerung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3.1.11–3.1.17 (S. 27–35) und 3.6.3.7 (S. 124); Benutzerhandbuch 2.7, Kap. 5.4, 5.5 und 6.7.1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Zielplatz und externer Lagerplatz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Beide Begriffe beschreiben Plätze außerhalb des SSI LOGIMAT. Zielplätze (LM088/LM044) dienen vor allem als Ablage für Ziel-LE an der Zugriffsöffnung, externe Lagerplätze (LM124/LM125) als Bestandsplätze für externe Artikel. Das Benutzerhandbuch verwendet im Touch-Dialog </w:t>
            </w:r>
            <w:r>
              <w:rPr>
                <w:b/>
                <w:sz w:val="19"/>
              </w:rPr>
              <w:t>LM044 Zielplätze</w:t>
            </w:r>
            <w:r>
              <w:rPr>
                <w:sz w:val="19"/>
              </w:rPr>
              <w:t xml:space="preserve"> jedoch auch den Begriff „externe Lagerplatzgruppe“, und der Buchungsdialog heißt </w:t>
            </w:r>
            <w:r>
              <w:rPr>
                <w:b/>
                <w:sz w:val="19"/>
              </w:rPr>
              <w:t>LM107 LE auf externem Lagerplatz verwalten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Heading2"/>
      </w:pPr>
      <w:r>
        <w:t>2.2 Dialogübersicht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456"/>
        <w:gridCol w:w="4609"/>
        <w:gridCol w:w="1459"/>
      </w:tblGrid>
      <w:tr>
        <w:trPr>
          <w:tblHeader w:val="true"/>
        </w:trPr>
        <w:tc>
          <w:tcPr>
            <w:tcW w:type="dxa" w:w="3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46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Bezeichnung</w:t>
            </w:r>
          </w:p>
        </w:tc>
        <w:tc>
          <w:tcPr>
            <w:tcW w:type="dxa" w:w="14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Oberfläche (Client)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LM069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Lift &amp; Store-Zone pflegen (Registerkarten </w:t>
            </w:r>
            <w:r>
              <w:rPr>
                <w:b/>
                <w:sz w:val="17"/>
              </w:rPr>
              <w:t>Konfiguration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Übergabeposition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ABC-Wertberechnung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ABC-Berechnung für externen Artikel</w:t>
            </w:r>
            <w:r>
              <w:rPr>
                <w:sz w:val="17"/>
              </w:rPr>
              <w:t>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WH025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LM129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Lagerfachträgertyp pflegen / anlegen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LM125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LM126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Übersicht Externe Lagerplatzgruppen / Generator für externe Lagerplätze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LM127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LM124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Übersicht Externe Lagerplätze / Externen Lagerplatz pflegen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LM132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Übersicht Lagerplatztypzuordnung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LM145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Lagerreservierungsstrategie pflegen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LM088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LM065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LM064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Zielplatz pflegen / Übersicht Zielplatzgruppen / Zielplatz-Generator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LM044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LM106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LM046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LM107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/ generieren / Platzgruppe zuordnen / LE auf externem Lagerplatz verwalten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LM040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LM151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LM153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LM154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Kommissionierwägen (Registerkarte, anzeigen, anlegen, Plätze verwalten)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LM045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LM109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Ziel-Ladeeinheiten / Boxtypen für LE-Wiedereinlagerung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WLM001</w:t>
            </w:r>
            <w:r>
              <w:rPr>
                <w:sz w:val="17"/>
              </w:rPr>
              <w:t xml:space="preserve"> ff.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Tätigkeiten am Mobilterminal (MLS, MLP, MLI, MLD, MLSI, MFW)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LM175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LM170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Replenishment Configuration / Replenishment Orders (nur 2.8)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</w:tbl>
    <w:p>
      <w:pPr>
        <w:pStyle w:val="BeschriftungSSI"/>
      </w:pPr>
      <w:r>
        <w:t>Tab. 3: Dialoge für externe Lagerprozesse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3.1.10–3.1.17, 3.4.2; Benutzerhandbuch 2.7, Kap. 4, 5.4, 5.5, 6.3, 6.7.1; Administrator/User Manual 2.8, Kap. 3.1.11 bzw. 6.2.4</w:t>
      </w:r>
    </w:p>
    <w:p>
      <w:pPr>
        <w:pStyle w:val="Heading2"/>
      </w:pPr>
      <w:r>
        <w:t>2.3 Abgleich mit Version 2.8 und R2.4</w:t>
      </w:r>
    </w:p>
    <w:p>
      <w:pPr>
        <w:pStyle w:val="ListBullet"/>
      </w:pPr>
      <w:r>
        <w:rPr>
          <w:b/>
        </w:rPr>
        <w:t>2.8:</w:t>
      </w:r>
      <w:r>
        <w:t xml:space="preserve"> Die Kapitel zu Zielplätzen, externen Lagerplatzgruppen, externen Lagerplätzen und Lagerplatztypzuordnungen sind unverändert, verschieben sich aber um eine Nummer. Neu ist Kap. 3.1.11 </w:t>
      </w:r>
      <w:r>
        <w:rPr>
          <w:b/>
        </w:rPr>
        <w:t>Maintaining Replenishment Configurations</w:t>
      </w:r>
      <w:r>
        <w:t xml:space="preserve"> (LM175) mit Nachschub zwischen externem Lager und SSI LOGIMAT in beide Richtungen (siehe Kapitel 10).</w:t>
      </w:r>
    </w:p>
    <w:p>
      <w:pPr>
        <w:pStyle w:val="ListBullet"/>
      </w:pPr>
      <w:r>
        <w:rPr>
          <w:b/>
        </w:rPr>
        <w:t>R2.4:</w:t>
      </w:r>
      <w:r>
        <w:t xml:space="preserve"> Das Benutzerhandbuch WAMAS LogiMat R2.4 („Externe Lagerung“) beschreibt dieselben Mobilterminal-Tätigkeiten (Tab. 1), die Administration der Zielplätze (Kap. 4.3) und der externen LE (Kap. 4.4). Die Abläufe entsprechen 2.7.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 Manual 2.8, Kap. 3.1.11–3.1.16 (S. 25–32); User Manual 2.8, Kap. 6.2.4; Benutzerhandbuch WAMAS LogiMat R2.4 V5.0, Kap. 3.1, 4.3, 4.4</w:t>
      </w:r>
    </w:p>
    <w:p>
      <w:pPr>
        <w:pStyle w:val="Heading1"/>
      </w:pPr>
      <w:r>
        <w:t>3 Voraussetzungen und Stammdaten</w:t>
      </w:r>
    </w:p>
    <w:p>
      <w:pPr>
        <w:pStyle w:val="Heading2"/>
      </w:pPr>
      <w:r>
        <w:t>3.1 Zone</w:t>
      </w:r>
    </w:p>
    <w:p>
      <w:r>
        <w:t xml:space="preserve">Eine </w:t>
      </w:r>
      <w:r>
        <w:rPr>
          <w:b/>
        </w:rPr>
        <w:t>WAMAS Lift &amp; Store-Zone</w:t>
      </w:r>
      <w:r>
        <w:t xml:space="preserve"> gruppiert mehrere SSI LOGIMAT. Externe Lagerplatzgruppen und Zielplatzgruppen werden immer </w:t>
      </w:r>
      <w:r>
        <w:rPr>
          <w:b/>
        </w:rPr>
        <w:t>einer Zone</w:t>
      </w:r>
      <w:r>
        <w:t xml:space="preserve"> (mit Lagerstandort) zugeordnet; die Schulungsunterlage formuliert: „external locations always are connected to a LogiMat Zone“. Die Zone wird in </w:t>
      </w:r>
      <w:r>
        <w:rPr>
          <w:b/>
        </w:rPr>
        <w:t>LM069 WAMAS Lift &amp; Store-Zone pflegen</w:t>
      </w:r>
      <w:r>
        <w:t xml:space="preserve"> gepflegt. Für externe Artikel gibt es in LM069 eine eigene Registerkarte </w:t>
      </w:r>
      <w:r>
        <w:rPr>
          <w:b/>
        </w:rPr>
        <w:t>ABC-Berechnung für externen Artikel</w:t>
      </w:r>
      <w:r>
        <w:t xml:space="preserve"> mit den Strategien </w:t>
      </w:r>
      <w:r>
        <w:rPr>
          <w:b/>
        </w:rPr>
        <w:t># Picks</w:t>
      </w:r>
      <w:r>
        <w:t xml:space="preserve"> und </w:t>
      </w:r>
      <w:r>
        <w:rPr>
          <w:b/>
        </w:rPr>
        <w:t>Kommissionierte Artikelmenge</w:t>
      </w:r>
      <w:r>
        <w:t xml:space="preserve"> (jeweils mit </w:t>
      </w:r>
      <w:r>
        <w:rPr>
          <w:rFonts w:ascii="Consolas" w:hAnsi="Consolas" w:cs="Consolas" w:eastAsia="Consolas"/>
          <w:sz w:val="18"/>
        </w:rPr>
        <w:t>Gewichtung</w:t>
      </w:r>
      <w:r>
        <w:t xml:space="preserve">). Die Strategie </w:t>
      </w:r>
      <w:r>
        <w:rPr>
          <w:b/>
        </w:rPr>
        <w:t># Transportaufträge</w:t>
      </w:r>
      <w:r>
        <w:t xml:space="preserve"> gibt es für externe Artikel nicht.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3.1.10–3.1.10.4 (S. 25–27); WAMAS LogiMat Consultant Training Part 1 (12.01.2024), Folie „Create external storage locations“</w:t>
      </w:r>
    </w:p>
    <w:p>
      <w:pPr>
        <w:pStyle w:val="Heading2"/>
      </w:pPr>
      <w:r>
        <w:t>3.2 Lagerfachträgertyp</w:t>
      </w:r>
    </w:p>
    <w:p>
      <w:r>
        <w:t xml:space="preserve">Der </w:t>
      </w:r>
      <w:r>
        <w:rPr>
          <w:b/>
        </w:rPr>
        <w:t>Lagerfachträgertyp</w:t>
      </w:r>
      <w:r>
        <w:t xml:space="preserve"> bestimmt die Lagereigenschaften der Regalträger bzw. des Stockwerks und legt fest, welche Ladehilfsmittel gelagert werden dürfen. Nur Ladehilfsmittel, die dem Typ zugeordnet sind, dürfen in Lagerfächern dieses Typs eingelagert werden.</w:t>
      </w:r>
    </w:p>
    <w:p>
      <w:pPr>
        <w:pStyle w:val="ListBullet"/>
      </w:pPr>
      <w:r>
        <w:t xml:space="preserve">Vollständige Pflege: </w:t>
      </w:r>
      <w:r>
        <w:rPr>
          <w:b/>
        </w:rPr>
        <w:t>WH025 Lagerfachträgertyp pflegen</w:t>
      </w:r>
      <w:r>
        <w:t xml:space="preserve"> (Stapelung, Standardstapelkubatur, Standardladehilfsmittel, Registerkarten </w:t>
      </w:r>
      <w:r>
        <w:rPr>
          <w:b/>
        </w:rPr>
        <w:t>Ladehilfsmittel</w:t>
      </w:r>
      <w:r>
        <w:t xml:space="preserve"> mit Checkbox </w:t>
      </w:r>
      <w:r>
        <w:rPr>
          <w:b/>
        </w:rPr>
        <w:t>Gedreht</w:t>
      </w:r>
      <w:r>
        <w:t xml:space="preserve"> und </w:t>
      </w:r>
      <w:r>
        <w:rPr>
          <w:b/>
        </w:rPr>
        <w:t>Ladehilfsmittelkubatur</w:t>
      </w:r>
      <w:r>
        <w:t>).</w:t>
      </w:r>
    </w:p>
    <w:p>
      <w:pPr>
        <w:pStyle w:val="ListBullet"/>
      </w:pPr>
      <w:r>
        <w:t xml:space="preserve">Schnellanlage aus dem Generator: Button </w:t>
      </w:r>
      <w:r>
        <w:rPr>
          <w:b/>
        </w:rPr>
        <w:t>Fachbodentyp anlegen</w:t>
      </w:r>
      <w:r>
        <w:t xml:space="preserve"> öffnet </w:t>
      </w:r>
      <w:r>
        <w:rPr>
          <w:b/>
        </w:rPr>
        <w:t>LM129 Lagerfachträgertyp anlegen</w:t>
      </w:r>
      <w:r>
        <w:t xml:space="preserve"> mit </w:t>
      </w:r>
      <w:r>
        <w:rPr>
          <w:rFonts w:ascii="Consolas" w:hAnsi="Consolas" w:cs="Consolas" w:eastAsia="Consolas"/>
          <w:sz w:val="18"/>
        </w:rPr>
        <w:t>Fachbodentyp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 xml:space="preserve"> und Längeneinheit.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3.4.2 (S. 65–66) und 3.1.13 (S. 28–29)</w:t>
      </w:r>
    </w:p>
    <w:p>
      <w:pPr>
        <w:pStyle w:val="Heading2"/>
      </w:pPr>
      <w:r>
        <w:t>3.3 Artikel als „Externer Artikel“ kennzeichnen</w:t>
      </w:r>
    </w:p>
    <w:p>
      <w:r>
        <w:t xml:space="preserve">Im Dialog </w:t>
      </w:r>
      <w:r>
        <w:rPr>
          <w:b/>
        </w:rPr>
        <w:t>MD002 Artikel pflegen</w:t>
      </w:r>
      <w:r>
        <w:t xml:space="preserve">, Registerkarte </w:t>
      </w:r>
      <w:r>
        <w:rPr>
          <w:b/>
        </w:rPr>
        <w:t>WLS Artikel</w:t>
      </w:r>
      <w:r>
        <w:t xml:space="preserve">, Bereich </w:t>
      </w:r>
      <w:r>
        <w:rPr>
          <w:b/>
        </w:rPr>
        <w:t>Artikelbeschränkungen</w:t>
      </w:r>
      <w:r>
        <w:t xml:space="preserve">, die Checkbox </w:t>
      </w:r>
      <w:r>
        <w:rPr>
          <w:b/>
        </w:rPr>
        <w:t>Externer Artikel</w:t>
      </w:r>
      <w:r>
        <w:t xml:space="preserve"> aktivieren. In der ERP-Schnittstelle entspricht dies dem Feld </w:t>
      </w:r>
      <w:r>
        <w:rPr>
          <w:rFonts w:ascii="Consolas" w:hAnsi="Consolas" w:cs="Consolas" w:eastAsia="Consolas"/>
          <w:sz w:val="18"/>
        </w:rPr>
        <w:t>externalItem</w:t>
      </w:r>
      <w:r>
        <w:t xml:space="preserve"> (Werte 0/1) in der Satzart </w:t>
      </w:r>
      <w:r>
        <w:rPr>
          <w:rFonts w:ascii="Consolas" w:hAnsi="Consolas" w:cs="Consolas" w:eastAsia="Consolas"/>
          <w:sz w:val="18"/>
        </w:rPr>
        <w:t>WLSITEM001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Einschränkungen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Ein als extern markierter Artikel kann am </w:t>
            </w:r>
            <w:r>
              <w:rPr>
                <w:b/>
                <w:sz w:val="19"/>
              </w:rPr>
              <w:t>Mobilterminal</w:t>
            </w:r>
            <w:r>
              <w:rPr>
                <w:sz w:val="19"/>
              </w:rPr>
              <w:t xml:space="preserve">, aber </w:t>
            </w:r>
            <w:r>
              <w:rPr>
                <w:b/>
                <w:sz w:val="19"/>
              </w:rPr>
              <w:t>nicht am Touch-Client</w:t>
            </w:r>
            <w:r>
              <w:rPr>
                <w:sz w:val="19"/>
              </w:rPr>
              <w:t xml:space="preserve"> verarbeitet werden.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b/>
                <w:sz w:val="19"/>
              </w:rPr>
              <w:t>Große Artikel</w:t>
            </w:r>
            <w:r>
              <w:rPr>
                <w:sz w:val="19"/>
              </w:rPr>
              <w:t xml:space="preserve"> können nicht an externen Lagerplätzen gelagert werden. Einlagerbedarfe für große Artikel können nicht am Mobilterminal verarbeitet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Administratorhandbuch 2.7, Kap. 3.6.3.7 (S. 124–125); Schnittstellenhandbuch WLS–ERP 2.7, Satzart WLSITEM001, Feld 89 </w:t>
      </w:r>
      <w:r>
        <w:rPr>
          <w:rFonts w:ascii="Consolas" w:hAnsi="Consolas" w:cs="Consolas" w:eastAsia="Consolas"/>
          <w:sz w:val="15"/>
        </w:rPr>
        <w:t>externalItem</w:t>
      </w:r>
      <w:r>
        <w:rPr>
          <w:sz w:val="17"/>
        </w:rPr>
        <w:t xml:space="preserve"> (S. 63)</w:t>
      </w:r>
    </w:p>
    <w:p>
      <w:pPr>
        <w:pStyle w:val="Heading2"/>
      </w:pPr>
      <w:r>
        <w:t>3.4 Benutzer und Mobilterminal</w:t>
      </w:r>
    </w:p>
    <w:p>
      <w:pPr>
        <w:pStyle w:val="ListBullet"/>
      </w:pPr>
      <w:r>
        <w:t xml:space="preserve">Am Mobilterminal meldet sich der Benutzer in </w:t>
      </w:r>
      <w:r>
        <w:rPr>
          <w:b/>
        </w:rPr>
        <w:t>MAP001 Login</w:t>
      </w:r>
      <w:r>
        <w:t xml:space="preserve"> an und wählt in </w:t>
      </w:r>
      <w:r>
        <w:rPr>
          <w:b/>
        </w:rPr>
        <w:t>MAP023 Daten auswählen</w:t>
      </w:r>
      <w:r>
        <w:t xml:space="preserve"> Lagerstandort, Transportmittel und Rolle. Danach öffnet sich </w:t>
      </w:r>
      <w:r>
        <w:rPr>
          <w:b/>
        </w:rPr>
        <w:t>WLM001 Tätigkeiten</w:t>
      </w:r>
      <w:r>
        <w:t>.</w:t>
      </w:r>
    </w:p>
    <w:p>
      <w:pPr>
        <w:pStyle w:val="ListBullet"/>
      </w:pPr>
      <w:r>
        <w:t xml:space="preserve">Welche Tätigkeiten im Mobil-Client verfügbar sind, wird im Applikations-Zugriffs-Profil auf der Registerkarte </w:t>
      </w:r>
      <w:r>
        <w:rPr>
          <w:b/>
        </w:rPr>
        <w:t>Mobiler Zugriff</w:t>
      </w:r>
      <w:r>
        <w:t xml:space="preserve"> festgelegt. Standardmäßig sind alle Aufgaben zugelassen; gesperrt wird gezielt.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4.1 (S. 50–51); Administratorhandbuch 2.7, Kap. 3.3.4.4 (S. 51)</w:t>
      </w:r>
    </w:p>
    <w:p>
      <w:pPr>
        <w:pStyle w:val="Heading1"/>
      </w:pPr>
      <w:r>
        <w:t>4 Externe Lagerplätze einrichten</w:t>
      </w:r>
    </w:p>
    <w:p>
      <w:pPr>
        <w:pStyle w:val="Heading2"/>
      </w:pPr>
      <w:r>
        <w:t>4.1 Externe Lagerplatzgruppe generieren (LM125/LM126)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LM125 Übersicht Externe Lagerplatzgruppen</w:t>
      </w:r>
      <w:r>
        <w:t xml:space="preserve"> öffnen und suchen.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Bereich </w:t>
      </w:r>
      <w:r>
        <w:rPr>
          <w:b/>
        </w:rPr>
        <w:t>Suchergebnis</w:t>
      </w:r>
      <w:r>
        <w:t xml:space="preserve"> rechte Maustaste, </w:t>
      </w:r>
      <w:r>
        <w:rPr>
          <w:b/>
        </w:rPr>
        <w:t>Externe Lagerplatzgruppe anlegen</w:t>
      </w:r>
      <w:r>
        <w:t xml:space="preserve">. Der Dialog </w:t>
      </w:r>
      <w:r>
        <w:rPr>
          <w:b/>
        </w:rPr>
        <w:t>LM126 Generator für externe Lagerplätze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Felder ausfüllen (Tabelle 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Lagerplätze generieren</w:t>
      </w:r>
      <w:r>
        <w:t xml:space="preserve"> betätigen. LM126 schließt sich.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 Lift &amp; Store-Zone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Lagerstandort und Zone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Lagerfachträgertyp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Typ der Lagerfächer; neu über </w:t>
            </w:r>
            <w:r>
              <w:rPr>
                <w:b/>
                <w:sz w:val="17"/>
              </w:rPr>
              <w:t>Fachbodentyp anlegen</w:t>
            </w:r>
            <w:r>
              <w:rPr>
                <w:sz w:val="17"/>
              </w:rPr>
              <w:t xml:space="preserve"> (LM129)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Gruppenname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Name der Gruppe, Teil des Lagerplatznamens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Lagerreihenfolge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Reihenfolge der externen Lagerplätze bei der Einlagerung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Kommissionierreihenfolge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Reihenfolge der externen Lagerplätze bei der Kommissionierung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Spalten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Reihen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Anzahl Spalten bzw. Reihen (Ebenen)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Oben hinzufügen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Nur aktiv beim Hinzufügen von Plätzen zu einer bestehenden Gruppe</w:t>
            </w:r>
          </w:p>
        </w:tc>
      </w:tr>
    </w:tbl>
    <w:p>
      <w:pPr>
        <w:pStyle w:val="BeschriftungSSI"/>
      </w:pPr>
      <w:r>
        <w:t>Tab. 4: Felder im Generator LM126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Namensmuster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Externe Lagerplätze werden nach dem Muster </w:t>
            </w:r>
            <w:r>
              <w:rPr>
                <w:b/>
                <w:sz w:val="19"/>
              </w:rPr>
              <w:t>Zone–Gruppenname–Spalten-ID–Reihen-ID</w:t>
            </w:r>
            <w:r>
              <w:rPr>
                <w:sz w:val="19"/>
              </w:rPr>
              <w:t xml:space="preserve"> benannt, Beispiel aus dem Handbuch: </w:t>
            </w:r>
            <w:r>
              <w:rPr>
                <w:rFonts w:ascii="Consolas" w:hAnsi="Consolas" w:cs="Consolas" w:eastAsia="Consolas"/>
                <w:sz w:val="17"/>
              </w:rPr>
              <w:t>LG1-RackA-001-002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 (S. 28–30); Consultant Training Part 1, Folie „Create external storage locations“</w:t>
      </w:r>
    </w:p>
    <w:p>
      <w:pPr>
        <w:pStyle w:val="Heading2"/>
      </w:pPr>
      <w:r>
        <w:t>4.2 Plätze ergänzen, Gruppe löschen, Gruppe importieren</w:t>
      </w:r>
    </w:p>
    <w:p>
      <w:pPr>
        <w:pStyle w:val="ListBullet"/>
      </w:pPr>
      <w:r>
        <w:rPr>
          <w:b/>
        </w:rPr>
        <w:t>Plätze hinzufügen:</w:t>
      </w:r>
      <w:r>
        <w:t xml:space="preserve"> In LM125 Kontextmenü </w:t>
      </w:r>
      <w:r>
        <w:rPr>
          <w:b/>
        </w:rPr>
        <w:t>Externen LP zu Gruppe hinzufügen</w:t>
      </w:r>
      <w:r>
        <w:t xml:space="preserve"> → LM126 mit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und ggf. </w:t>
      </w:r>
      <w:r>
        <w:rPr>
          <w:b/>
        </w:rPr>
        <w:t>Oben hinzufügen</w:t>
      </w:r>
      <w:r>
        <w:t xml:space="preserve"> (Plätze über den bestehenden) → </w:t>
      </w:r>
      <w:r>
        <w:rPr>
          <w:b/>
        </w:rPr>
        <w:t>Lagerplätze generieren</w:t>
      </w:r>
      <w:r>
        <w:t>.</w:t>
      </w:r>
    </w:p>
    <w:p>
      <w:pPr>
        <w:pStyle w:val="ListBullet"/>
      </w:pPr>
      <w:r>
        <w:rPr>
          <w:b/>
        </w:rPr>
        <w:t>Gruppe löschen:</w:t>
      </w:r>
      <w:r>
        <w:t xml:space="preserve"> In LM125 Datensatz wählen, Kontextmenü </w:t>
      </w:r>
      <w:r>
        <w:rPr>
          <w:b/>
        </w:rPr>
        <w:t>Gruppe löschen</w:t>
      </w:r>
      <w:r>
        <w:t>.</w:t>
      </w:r>
    </w:p>
    <w:p>
      <w:pPr>
        <w:pStyle w:val="ListBullet"/>
      </w:pPr>
      <w:r>
        <w:rPr>
          <w:b/>
        </w:rPr>
        <w:t>Import:</w:t>
      </w:r>
      <w:r>
        <w:t xml:space="preserve"> In LM125 Kontextmenü </w:t>
      </w:r>
      <w:r>
        <w:rPr>
          <w:b/>
        </w:rPr>
        <w:t>Externe Lagerplätze importieren</w:t>
      </w:r>
      <w:r>
        <w:t xml:space="preserve"> → </w:t>
      </w:r>
      <w:r>
        <w:rPr>
          <w:b/>
        </w:rPr>
        <w:t>FW010 Dateipfad auswählen</w:t>
      </w:r>
      <w:r>
        <w:t xml:space="preserve"> → CSV-Datei wählen → </w:t>
      </w:r>
      <w:r>
        <w:rPr>
          <w:b/>
        </w:rPr>
        <w:t>Öffnen</w:t>
      </w:r>
      <w:r>
        <w:t>. Die Gruppe erscheint danach in LM125.</w:t>
      </w:r>
    </w:p>
    <w:p>
      <w:r>
        <w:t xml:space="preserve">Das folgende Importbeispiel stammt aus der Ablage „02 Manuals“ (Datei </w:t>
      </w:r>
      <w:r>
        <w:rPr>
          <w:rFonts w:ascii="Consolas" w:hAnsi="Consolas" w:cs="Consolas" w:eastAsia="Consolas"/>
          <w:sz w:val="18"/>
        </w:rPr>
        <w:t>Import_ExternalLocation_NK_FORUM_example.csv</w:t>
      </w:r>
      <w:r>
        <w:t>, 30 Zeilen, Semikolon, ohne Kopfzeile):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LogiMat;ZONEA;G11;1;1;1;1;B-G1-1-1/1;1;1</w:t>
            </w:r>
          </w:p>
          <w:p>
            <w:pPr>
              <w:pStyle w:val="Code"/>
            </w:pPr>
            <w:r>
              <w:t>LogiMat;ZONEA;G11;1;1;1;2;B-G1-1-1/2;2;2</w:t>
            </w:r>
          </w:p>
          <w:p>
            <w:pPr>
              <w:pStyle w:val="Code"/>
            </w:pPr>
            <w:r>
              <w:t>LogiMat;ZONEA;G11;1;1;2;1;B-G1-1-2/1;4;4</w:t>
            </w:r>
          </w:p>
          <w:p>
            <w:pPr>
              <w:pStyle w:val="Code"/>
            </w:pPr>
            <w:r>
              <w:t>LogiMat;ZONEA;G12;2;2;1;1;B-G1-2-1/1;1;1</w:t>
            </w:r>
          </w:p>
          <w:p>
            <w:pPr>
              <w:pStyle w:val="Code"/>
            </w:pPr>
            <w:r>
              <w:t>LogiMat;ZONEA;G12;2;2;5;3;B-G1-2-5/3;15;15</w:t>
            </w:r>
          </w:p>
        </w:tc>
      </w:tr>
    </w:tbl>
    <w:p>
      <w:pPr>
        <w:pStyle w:val="BeschriftungSSI"/>
      </w:pPr>
      <w:r>
        <w:t>Abb. 1: Auszug aus dem Importbeispiel für externe Lagerplätze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Aufbau der Importdatei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Weder das Administratorhandbuch 2.7 noch 2.8 beschreibt die Spalten der CSV-Datei. Aus dem Beispiel lässt sich nur </w:t>
            </w:r>
            <w:r>
              <w:rPr>
                <w:b/>
                <w:sz w:val="19"/>
              </w:rPr>
              <w:t>vermuten</w:t>
            </w:r>
            <w:r>
              <w:rPr>
                <w:sz w:val="19"/>
              </w:rPr>
              <w:t>: Lagerstandort (</w:t>
            </w:r>
            <w:r>
              <w:rPr>
                <w:rFonts w:ascii="Consolas" w:hAnsi="Consolas" w:cs="Consolas" w:eastAsia="Consolas"/>
                <w:sz w:val="17"/>
              </w:rPr>
              <w:t>LogiMat</w:t>
            </w:r>
            <w:r>
              <w:rPr>
                <w:sz w:val="19"/>
              </w:rPr>
              <w:t>), Zone (</w:t>
            </w:r>
            <w:r>
              <w:rPr>
                <w:rFonts w:ascii="Consolas" w:hAnsi="Consolas" w:cs="Consolas" w:eastAsia="Consolas"/>
                <w:sz w:val="17"/>
              </w:rPr>
              <w:t>ZONEA</w:t>
            </w:r>
            <w:r>
              <w:rPr>
                <w:sz w:val="19"/>
              </w:rPr>
              <w:t>), Gruppenname (</w:t>
            </w:r>
            <w:r>
              <w:rPr>
                <w:rFonts w:ascii="Consolas" w:hAnsi="Consolas" w:cs="Consolas" w:eastAsia="Consolas"/>
                <w:sz w:val="17"/>
              </w:rPr>
              <w:t>G11</w:t>
            </w:r>
            <w:r>
              <w:rPr>
                <w:sz w:val="19"/>
              </w:rPr>
              <w:t>), zwei Zahlen je Gruppe (evtl. Lager- und Kommissionierreihenfolge der Gruppe), Spalte, Reihe, Lagerplatzkennung (</w:t>
            </w:r>
            <w:r>
              <w:rPr>
                <w:rFonts w:ascii="Consolas" w:hAnsi="Consolas" w:cs="Consolas" w:eastAsia="Consolas"/>
                <w:sz w:val="17"/>
              </w:rPr>
              <w:t>B-G1-1-1/1</w:t>
            </w:r>
            <w:r>
              <w:rPr>
                <w:sz w:val="19"/>
              </w:rPr>
              <w:t>) und zwei laufende Nummern (evtl. Einlagerungs- und Kommissionierreihenfolge des Platzes). Der Lagerfachträgertyp ist im Beispiel nicht erkennbar. Bitte mit Produktmanagement oder einem erfolgreichen Projektimport verifizieren.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Administratorhandbuch 2.7, Kap. 3.1.13–3.1.13.2 (S. 29–30); Importbeispiel </w:t>
      </w:r>
      <w:r>
        <w:rPr>
          <w:rFonts w:ascii="Consolas" w:hAnsi="Consolas" w:cs="Consolas" w:eastAsia="Consolas"/>
          <w:sz w:val="15"/>
        </w:rPr>
        <w:t>Import_ExternalLocation_NK_FORUM_example.csv</w:t>
      </w:r>
    </w:p>
    <w:p>
      <w:pPr>
        <w:pStyle w:val="Heading2"/>
      </w:pPr>
      <w:r>
        <w:t>4.3 Einzelnen externen Lagerplatz pflegen (LM124)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LM124 Externen Lagerplatz pflegen</w:t>
      </w:r>
      <w:r>
        <w:t xml:space="preserve"> öffnen; Lagerplatzgruppe, Lagerstandort und Lagerplatz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Registerkarte </w:t>
      </w:r>
      <w:r>
        <w:rPr>
          <w:b/>
        </w:rPr>
        <w:t>Externer Lagerplatz</w:t>
      </w:r>
      <w:r>
        <w:t xml:space="preserve"> bearbeiten: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Einlagerungsreihenfolge für externen Lagerplatz</w:t>
      </w:r>
      <w:r>
        <w:t>: Reihenfolge bei automatischer Zielplatzauswahl. Plätze ohne Nummer werden zuletzt berücksichtigt.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Kommissionierreihenfolge für externen Lagerplatz</w:t>
      </w:r>
      <w:r>
        <w:t>: wie oben für die Kommissionierung.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Externe Lagerplatzkennung</w:t>
      </w:r>
      <w:r>
        <w:t>: optionaler Name.</w:t>
      </w:r>
    </w:p>
    <w:p>
      <w:pPr>
        <w:pStyle w:val="ListBullet2"/>
      </w:pPr>
      <w:r>
        <w:rPr>
          <w:b/>
        </w:rPr>
        <w:t>Abmessung</w:t>
      </w:r>
      <w:r>
        <w:t>: Lagerplatzabmessungen mit Maßeinheit.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>.</w:t>
      </w:r>
    </w:p>
    <w:p>
      <w:r>
        <w:t xml:space="preserve">Die Übersicht aller Plätze liefert </w:t>
      </w:r>
      <w:r>
        <w:rPr>
          <w:b/>
        </w:rPr>
        <w:t>LM127 Übersicht Externe Lagerplätze</w:t>
      </w:r>
      <w:r>
        <w:t>. Laut Schulungsunterlage erhält jeder Platz eine Reihenfolge, die die Laufwege der Mitarbeiter bestimmt.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3.1.14–3.1.14.1 (S. 30–31); Consultant Training Part 1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Pflege externer Lagerplätze im Live-System 2.7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b/>
                <w:sz w:val="19"/>
              </w:rPr>
              <w:t>LM069</w:t>
            </w:r>
            <w:r>
              <w:rPr>
                <w:sz w:val="19"/>
              </w:rPr>
              <w:t xml:space="preserve"> gibt es im Live-System 2.7 keine Registerkarte </w:t>
            </w:r>
            <w:r>
              <w:rPr>
                <w:b/>
                <w:sz w:val="19"/>
              </w:rPr>
              <w:t>Externer Lagerplatz</w:t>
            </w:r>
            <w:r>
              <w:rPr>
                <w:sz w:val="19"/>
              </w:rPr>
              <w:t xml:space="preserve"> (nur </w:t>
            </w:r>
            <w:r>
              <w:rPr>
                <w:b/>
                <w:sz w:val="19"/>
              </w:rPr>
              <w:t>Konfiguration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Übergabeposition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ABC-Wertberechnung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ABC-Berechnung für externen Artikel</w:t>
            </w:r>
            <w:r>
              <w:rPr>
                <w:sz w:val="19"/>
              </w:rPr>
              <w:t xml:space="preserve">). Laut Administratorhandbuch 2.7 (Kap. 3.1.13–3.1.14) und Administrator Manual 2.8 werden externe Lagerplätze in </w:t>
            </w:r>
            <w:r>
              <w:rPr>
                <w:b/>
                <w:sz w:val="19"/>
              </w:rPr>
              <w:t>LM125/LM126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LM124/LM127</w:t>
            </w:r>
            <w:r>
              <w:rPr>
                <w:sz w:val="19"/>
              </w:rPr>
              <w:t xml:space="preserve"> gepflegt. Wo das im Live-System 2.7 tatsächlich geschieht, ist nicht bestätigt; bitte im System prüfen.</w:t>
            </w:r>
          </w:p>
        </w:tc>
      </w:tr>
    </w:tbl>
    <w:p>
      <w:pPr>
        <w:spacing w:after="40"/>
      </w:pPr>
    </w:p>
    <w:p>
      <w:pPr>
        <w:pStyle w:val="Heading2"/>
      </w:pPr>
      <w:r>
        <w:t>4.4 Lagerplatztypzuordnung: Was darf wohin? (LM132)</w:t>
      </w:r>
    </w:p>
    <w:p>
      <w:r>
        <w:t>Lagerplatztypzuordnungen legen fest, welche Artikel an einem externen Lagerplatz eingelagert werden können und in welcher Menge.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44"/>
        <w:gridCol w:w="6280"/>
      </w:tblGrid>
      <w:tr>
        <w:trPr>
          <w:tblHeader w:val="true"/>
        </w:trPr>
        <w:tc>
          <w:tcPr>
            <w:tcW w:type="dxa" w:w="32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62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Verpackungsversion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Artikel und Verpackungsversion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Kubatur, die am externen Platz gelagert werden kann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Lagerfachträgertyp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Typ aus WH025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Basismengeneinheiten (max.)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in BME je Platz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LME (max.)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in Lagermengeneinheiten je Platz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Unbegrenzt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Keine Mengenbegrenzung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Stammdatenstatus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Normal; Auslaufend, Gesperrt, Unvollständig = nicht für Einlagerreservierungen</w:t>
            </w:r>
          </w:p>
        </w:tc>
      </w:tr>
    </w:tbl>
    <w:p>
      <w:pPr>
        <w:pStyle w:val="BeschriftungSSI"/>
      </w:pPr>
      <w:r>
        <w:t>Tab. 5: Felder in LM132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Automatisch angelegte Zuordnungen</w:t>
            </w:r>
          </w:p>
          <w:p>
            <w:pPr>
              <w:spacing w:after="40"/>
            </w:pPr>
            <w:r>
              <w:rPr>
                <w:sz w:val="19"/>
              </w:rPr>
              <w:t>Wird ein Artikel ohne Zuordnung an einem externen Lagerplatz eingelagert, legt WAMAS die Zuordnung automatisch an. Die Mengengrenzen solcher Zuordnungen danach kontrollieren.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3.1.15 (S. 31–32)</w:t>
      </w:r>
    </w:p>
    <w:p>
      <w:pPr>
        <w:pStyle w:val="Heading2"/>
      </w:pPr>
      <w:r>
        <w:t>4.5 Bestand aus einem externen WMS übernehmen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Bestandsobjekte im externen WMS als CSV exportieren.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In WAMAS die externen Lagerplätze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CSV korrigieren, sodass Lagerplatznamen, Klienten und Artikelvarianten mit WAMAS übereinstimmen.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LM127 Übersicht Externe Lagerplätze</w:t>
      </w:r>
      <w:r>
        <w:t xml:space="preserve"> öffnen, suchen, Kontextmenü </w:t>
      </w:r>
      <w:r>
        <w:rPr>
          <w:b/>
        </w:rPr>
        <w:t>Externe Artikel importieren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In </w:t>
      </w:r>
      <w:r>
        <w:rPr>
          <w:b/>
        </w:rPr>
        <w:t>FW010</w:t>
      </w:r>
      <w:r>
        <w:t xml:space="preserve"> die CSV-Datei wählen und </w:t>
      </w:r>
      <w:r>
        <w:rPr>
          <w:b/>
        </w:rPr>
        <w:t>Öffnen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Ergebnis in </w:t>
      </w:r>
      <w:r>
        <w:rPr>
          <w:b/>
        </w:rPr>
        <w:t>SM022 Übersicht Bestandsobjekte</w:t>
      </w:r>
      <w:r>
        <w:t xml:space="preserve"> prüfen.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Das Format der Bestands-CSV (Spalten, Trennzeichen, Pflichtfelder) ist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3.1.14.2 (S. 31)</w:t>
      </w:r>
    </w:p>
    <w:p>
      <w:pPr>
        <w:pStyle w:val="Heading2"/>
      </w:pPr>
      <w:r>
        <w:t>4.6 Lagerplatzetiketten für externe Plätze</w:t>
      </w:r>
    </w:p>
    <w:p>
      <w:r>
        <w:t xml:space="preserve">Am Desktop in </w:t>
      </w:r>
      <w:r>
        <w:rPr>
          <w:b/>
        </w:rPr>
        <w:t>WH004 Übersicht Lagerplätze</w:t>
      </w:r>
      <w:r>
        <w:t xml:space="preserve"> </w:t>
      </w:r>
      <w:r>
        <w:rPr>
          <w:b/>
        </w:rPr>
        <w:t>Suche</w:t>
      </w:r>
      <w:r>
        <w:t xml:space="preserve"> betätigen, den Platz wählen und per Kontextmenü </w:t>
      </w:r>
      <w:r>
        <w:rPr>
          <w:b/>
        </w:rPr>
        <w:t>Lagerplatzetiketten drucken</w:t>
      </w:r>
      <w:r>
        <w:t xml:space="preserve"> → </w:t>
      </w:r>
      <w:r>
        <w:rPr>
          <w:b/>
        </w:rPr>
        <w:t>RM001 Dokument erzeugen</w:t>
      </w:r>
      <w:r>
        <w:t xml:space="preserve"> → </w:t>
      </w:r>
      <w:r>
        <w:rPr>
          <w:b/>
        </w:rPr>
        <w:t>Generieren</w:t>
      </w:r>
      <w:r>
        <w:t xml:space="preserve">. Am Touch-Client: </w:t>
      </w:r>
      <w:r>
        <w:rPr>
          <w:b/>
        </w:rPr>
        <w:t>LM044 Zielplätze</w:t>
      </w:r>
      <w:r>
        <w:t xml:space="preserve"> → Platz wählen → </w:t>
      </w:r>
      <w:r>
        <w:rPr>
          <w:b/>
        </w:rPr>
        <w:t>Drucken</w:t>
      </w:r>
      <w:r>
        <w:t>. Details zum Druck: How-to „Dokumente drucken“.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6.8.1.3 (S. 154) und 6.8.2.2; Live-System 2.7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Lagerplatzetiketten nur über WH004 bzw. LM044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Benutzerhandbuch 2.7 (Kap. 6.8.1.3, Option 2) und User Manual 2.8 (Kap. 6.8.1.3, Option 2) nennen zusätzlich </w:t>
            </w:r>
            <w:r>
              <w:rPr>
                <w:b/>
                <w:sz w:val="19"/>
              </w:rPr>
              <w:t>LM069</w:t>
            </w:r>
            <w:r>
              <w:rPr>
                <w:sz w:val="19"/>
              </w:rPr>
              <w:t xml:space="preserve">, Registerkarte </w:t>
            </w:r>
            <w:r>
              <w:rPr>
                <w:b/>
                <w:sz w:val="19"/>
              </w:rPr>
              <w:t>Externer Lagerplatz</w:t>
            </w:r>
            <w:r>
              <w:rPr>
                <w:sz w:val="19"/>
              </w:rPr>
              <w:t xml:space="preserve">. Im Live-System 2.7 hat </w:t>
            </w:r>
            <w:r>
              <w:rPr>
                <w:b/>
                <w:sz w:val="19"/>
              </w:rPr>
              <w:t>LM069 WAMAS Lift &amp; Store-Zone pflegen</w:t>
            </w:r>
            <w:r>
              <w:rPr>
                <w:sz w:val="19"/>
              </w:rPr>
              <w:t xml:space="preserve"> nur die Registerkarten </w:t>
            </w:r>
            <w:r>
              <w:rPr>
                <w:b/>
                <w:sz w:val="19"/>
              </w:rPr>
              <w:t>Konfiguration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Übergabeposition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ABC-Wertberechnung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ABC-Berechnung für externen Artikel</w:t>
            </w:r>
            <w:r>
              <w:rPr>
                <w:sz w:val="19"/>
              </w:rPr>
              <w:t xml:space="preserve">; diese Option gibt es dort nicht. Lagerplatzetiketten druckt man am Desktop über </w:t>
            </w:r>
            <w:r>
              <w:rPr>
                <w:b/>
                <w:sz w:val="19"/>
              </w:rPr>
              <w:t>WH004</w:t>
            </w:r>
            <w:r>
              <w:rPr>
                <w:sz w:val="19"/>
              </w:rPr>
              <w:t xml:space="preserve"> und am Touch-Client über </w:t>
            </w:r>
            <w:r>
              <w:rPr>
                <w:b/>
                <w:sz w:val="19"/>
              </w:rPr>
              <w:t>LM044</w:t>
            </w:r>
            <w:r>
              <w:rPr>
                <w:sz w:val="19"/>
              </w:rPr>
              <w:t>.</w:t>
            </w:r>
          </w:p>
          <w:p>
            <w:pPr>
              <w:spacing w:after="40"/>
            </w:pPr>
            <w:r>
              <w:rPr>
                <w:sz w:val="19"/>
              </w:rPr>
              <w:t>Ob externe Lagerplätze in WH004 erscheinen, im System prüfen.</w:t>
            </w:r>
          </w:p>
        </w:tc>
      </w:tr>
    </w:tbl>
    <w:p>
      <w:pPr>
        <w:spacing w:after="40"/>
      </w:pPr>
    </w:p>
    <w:p>
      <w:pPr>
        <w:pStyle w:val="Heading1"/>
      </w:pPr>
      <w:r>
        <w:t>5 Einlagerstrategie für externe Lagerplätze</w:t>
      </w:r>
    </w:p>
    <w:p>
      <w:pPr>
        <w:pStyle w:val="Heading2"/>
      </w:pPr>
      <w:r>
        <w:t>5.1 Welche Strategie gilt?</w:t>
      </w:r>
    </w:p>
    <w:p>
      <w:r>
        <w:t xml:space="preserve">WAMAS sucht die Lagerreservierungsstrategie zuerst am </w:t>
      </w:r>
      <w:r>
        <w:rPr>
          <w:b/>
        </w:rPr>
        <w:t>Artikel</w:t>
      </w:r>
      <w:r>
        <w:t xml:space="preserve"> (WLS Artikel), dann an der </w:t>
      </w:r>
      <w:r>
        <w:rPr>
          <w:b/>
        </w:rPr>
        <w:t>Warengruppe</w:t>
      </w:r>
      <w:r>
        <w:t xml:space="preserve"> (MD017), zuletzt am </w:t>
      </w:r>
      <w:r>
        <w:rPr>
          <w:b/>
        </w:rPr>
        <w:t>Einlagerbedarfstyp</w:t>
      </w:r>
      <w:r>
        <w:t xml:space="preserve"> (Pflichtangabe). Warengruppe und Einlagerbedarfstyp haben dafür ein eigenes Feld </w:t>
      </w:r>
      <w:r>
        <w:rPr>
          <w:b/>
        </w:rPr>
        <w:t>Externe Lagerreservierungsstrategie</w:t>
      </w:r>
      <w:r>
        <w:t>; am Artikel stehen die externen Werte in derselben Auswahlliste wie die LOGIMAT-Werte.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69"/>
        <w:gridCol w:w="7056"/>
      </w:tblGrid>
      <w:tr>
        <w:trPr>
          <w:tblHeader w:val="true"/>
        </w:trPr>
        <w:tc>
          <w:tcPr>
            <w:tcW w:type="dxa" w:w="24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Strategie</w:t>
            </w:r>
          </w:p>
        </w:tc>
        <w:tc>
          <w:tcPr>
            <w:tcW w:type="dxa" w:w="70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ASSIGNMENT_EXTERN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sz w:val="17"/>
              </w:rPr>
              <w:t>Reserviert externe Lagerplätze auf Basis von Lagerplatzgruppe und Reihenfolge; berücksichtigt Verpackungsversion, Artikelbeschränkungen, begrenzte Kapazität und aktuelle Bestandsniveaus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LOWEST_STOCK_EXTERN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sz w:val="17"/>
              </w:rPr>
              <w:t>Gleicht den Bestand über externe Lagerplatzgruppen aus; priorisiert die Gruppe mit dem geringsten Bestand und versucht, die ganze Bedarfszeile in derselben Gruppe zu reservieren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ABC_EXTERNAL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sz w:val="17"/>
              </w:rPr>
              <w:t>Wie ABC: wählt dynamisch eine Strategie aus LM145 anhand des ABC-Werts des Artikels, für externe Plätze</w:t>
            </w:r>
          </w:p>
        </w:tc>
      </w:tr>
    </w:tbl>
    <w:p>
      <w:pPr>
        <w:pStyle w:val="BeschriftungSSI"/>
      </w:pPr>
      <w:r>
        <w:t>Tab. 6: Externe Lagerreservierungsstrategien</w:t>
      </w:r>
    </w:p>
    <w:p>
      <w:r>
        <w:t xml:space="preserve">Eigene Strategien für externe Plätze werden in </w:t>
      </w:r>
      <w:r>
        <w:rPr>
          <w:b/>
        </w:rPr>
        <w:t>LM145</w:t>
      </w:r>
      <w:r>
        <w:t xml:space="preserve"> mit </w:t>
      </w:r>
      <w:r>
        <w:rPr>
          <w:rFonts w:ascii="Consolas" w:hAnsi="Consolas" w:cs="Consolas" w:eastAsia="Consolas"/>
          <w:sz w:val="18"/>
        </w:rPr>
        <w:t>Zweck</w:t>
      </w:r>
      <w:r>
        <w:t xml:space="preserve"> = </w:t>
      </w:r>
      <w:r>
        <w:rPr>
          <w:b/>
        </w:rPr>
        <w:t>EXTERNAL</w:t>
      </w:r>
      <w:r>
        <w:t xml:space="preserve"> angelegt. Die ausführliche Beschreibung aller Strategien enthält das How-to „Einlager-, Auslager- und Kommissionierstrategien“.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3.1.16 (S. 32–34), 3.6.1.5 (S. 102–104), 3.6.1.11 (S. 112–113), 3.6.3.7 (S. 125)</w:t>
      </w:r>
    </w:p>
    <w:p>
      <w:pPr>
        <w:pStyle w:val="Heading2"/>
      </w:pPr>
      <w:r>
        <w:t>5.2 Reihenfolgen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Lagerreihenfolge</w:t>
      </w:r>
      <w:r>
        <w:t xml:space="preserve"> / </w:t>
      </w:r>
      <w:r>
        <w:rPr>
          <w:rFonts w:ascii="Consolas" w:hAnsi="Consolas" w:cs="Consolas" w:eastAsia="Consolas"/>
          <w:sz w:val="18"/>
        </w:rPr>
        <w:t>Kommissionierreihenfolge</w:t>
      </w:r>
      <w:r>
        <w:t xml:space="preserve"> der Gruppe (LM126) und </w:t>
      </w:r>
      <w:r>
        <w:rPr>
          <w:rFonts w:ascii="Consolas" w:hAnsi="Consolas" w:cs="Consolas" w:eastAsia="Consolas"/>
          <w:sz w:val="18"/>
        </w:rPr>
        <w:t>Einlagerungsreihenfolge</w:t>
      </w:r>
      <w:r>
        <w:t xml:space="preserve"> / </w:t>
      </w:r>
      <w:r>
        <w:rPr>
          <w:rFonts w:ascii="Consolas" w:hAnsi="Consolas" w:cs="Consolas" w:eastAsia="Consolas"/>
          <w:sz w:val="18"/>
        </w:rPr>
        <w:t>Kommissionierreihenfolge</w:t>
      </w:r>
      <w:r>
        <w:t xml:space="preserve"> des einzelnen Platzes (LM124) steuern die Reihenfolge der Plätze; Plätze ohne Nummer kommen zuletzt.</w:t>
      </w:r>
    </w:p>
    <w:p>
      <w:pPr>
        <w:pStyle w:val="ListBullet"/>
      </w:pPr>
      <w:r>
        <w:t>Laut Schulungsunterlage dienen die Reihenfolgen zur Definition optimierter Laufwege und können nachträglich geändert werden.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Wie Gruppen- und Platzreihenfolge zusammenwirken (z. B. erst Gruppe, dann Platz), ist nicht beschrieben. Zudem ist der Beschreibungstext der Kommissionierreihenfolge in LM124 wortgleich mit dem der Einlagerungsreihenfolge („bei automatischer Zielplatzauswahl“).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 und 3.1.14.1; Consultant Training Part 1</w:t>
      </w:r>
    </w:p>
    <w:p>
      <w:pPr>
        <w:pStyle w:val="Heading1"/>
      </w:pPr>
      <w:r>
        <w:t>6 Prozesse am Mobilterminal</w:t>
      </w:r>
    </w:p>
    <w:p>
      <w:pPr>
        <w:pStyle w:val="Heading2"/>
      </w:pPr>
      <w:r>
        <w:t>6.1 Tätigkeiten im Überblick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2"/>
        <w:gridCol w:w="4141"/>
        <w:gridCol w:w="4141"/>
      </w:tblGrid>
      <w:tr>
        <w:trPr>
          <w:tblHeader w:val="true"/>
        </w:trPr>
        <w:tc>
          <w:tcPr>
            <w:tcW w:type="dxa" w:w="1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Tätigkeit (WLM001)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 (Dialoge)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Voraussetzung / Ergebnis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Einlagerung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MLS003 Artikel scannen (F2 MLS005 Artikel, F3 MLS001 Einlagerbedarf) → MLS002 Einlagerung bestätigen (F2 Ziel vorschlagen → MLS004, F3 Fehlmenge → MLS008) → MLS006 → MLS007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Einlagerbedarf </w:t>
            </w:r>
            <w:r>
              <w:rPr>
                <w:b/>
                <w:sz w:val="17"/>
              </w:rPr>
              <w:t>Freigegeben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Fertiggestellt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Kommissionierung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MLP002 Kommissionierbedarfe aktivieren (F3 MLP001) → MLP003 Kommissionieren (Menge, ggf. MAP030) → Artikel scannen → MLP005 → MLP006 Bestätigung Zielplatz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Kommissionierbedarf </w:t>
            </w:r>
            <w:r>
              <w:rPr>
                <w:b/>
                <w:sz w:val="17"/>
              </w:rPr>
              <w:t>Reserviert</w:t>
            </w:r>
            <w:r>
              <w:rPr>
                <w:sz w:val="17"/>
              </w:rPr>
              <w:t xml:space="preserve">, Ware auf externem Platz → </w:t>
            </w:r>
            <w:r>
              <w:rPr>
                <w:b/>
                <w:sz w:val="17"/>
              </w:rPr>
              <w:t>Fertiggestellt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Inventur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MLI002 Inventurbedarf scannen (F2 MLI004, F3 MLI001) → MLI003 → Lagerplatz scannen → MLI005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Inventurbedarf </w:t>
            </w:r>
            <w:r>
              <w:rPr>
                <w:b/>
                <w:sz w:val="17"/>
              </w:rPr>
              <w:t>Freigegeben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Fertiggestellt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Bestand verteilen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MLD001 Quellplatz → MLD002 Artikel → MLD004 Menge + Zielplatz → MLD010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Umlagerung zwischen externen Plätzen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Spontane Inventur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MSLI001 Lagerplatz → MLSI002 Artikel → MLSI004 Menge → MLSI003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Istmenge gebucht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LE/LP/Artikelinfo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MFW005 → MFW004 LE-/LP-Info bzw. MFW008 Artikelinfo (MFW012 BIA, MFW013 Verpackung, MFW014 Bild, MFW009 K-Platz)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Information, LE-Fehler melden</w:t>
            </w:r>
          </w:p>
        </w:tc>
      </w:tr>
    </w:tbl>
    <w:p>
      <w:pPr>
        <w:pStyle w:val="BeschriftungSSI"/>
      </w:pPr>
      <w:r>
        <w:t>Tab. 7: Tätigkeiten am Mobilterminal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4.1 (Tab. 7) und 6.3.1–6.3.6 (S. 124–130)</w:t>
      </w:r>
    </w:p>
    <w:p>
      <w:pPr>
        <w:pStyle w:val="Heading2"/>
      </w:pPr>
      <w:r>
        <w:t>6.2 Ware einlagern – Schritt für Schritt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Mobilterminal anmelden, in </w:t>
      </w:r>
      <w:r>
        <w:rPr>
          <w:b/>
        </w:rPr>
        <w:t>WLM001 Tätigkeiten</w:t>
      </w:r>
      <w:r>
        <w:t xml:space="preserve"> </w:t>
      </w:r>
      <w:r>
        <w:rPr>
          <w:b/>
        </w:rPr>
        <w:t>Einlagerung</w:t>
      </w:r>
      <w:r>
        <w:t xml:space="preserve"> wählen. </w:t>
      </w:r>
      <w:r>
        <w:rPr>
          <w:b/>
        </w:rPr>
        <w:t>MLS003 Artikel scannen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Artikel oder Einlagerbedarf scannen (Alternativen über </w:t>
      </w:r>
      <w:r>
        <w:rPr>
          <w:b/>
        </w:rPr>
        <w:t>F1</w:t>
      </w:r>
      <w:r>
        <w:t xml:space="preserve">: </w:t>
      </w:r>
      <w:r>
        <w:rPr>
          <w:b/>
        </w:rPr>
        <w:t>F2</w:t>
      </w:r>
      <w:r>
        <w:t xml:space="preserve"> Artikel auswählen, </w:t>
      </w:r>
      <w:r>
        <w:rPr>
          <w:b/>
        </w:rPr>
        <w:t>F3</w:t>
      </w:r>
      <w:r>
        <w:t xml:space="preserve"> Einlagerbedarf auswählen), </w:t>
      </w:r>
      <w:r>
        <w:rPr>
          <w:b/>
        </w:rPr>
        <w:t>OK</w:t>
      </w:r>
      <w:r>
        <w:t xml:space="preserve"> oder </w:t>
      </w:r>
      <w:r>
        <w:rPr>
          <w:b/>
        </w:rPr>
        <w:t>Enter</w:t>
      </w:r>
      <w:r>
        <w:t xml:space="preserve">. </w:t>
      </w:r>
      <w:r>
        <w:rPr>
          <w:b/>
        </w:rPr>
        <w:t>MLS002 Einlagerung bestätigen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Mit </w:t>
      </w:r>
      <w:r>
        <w:rPr>
          <w:b/>
        </w:rPr>
        <w:t>F1</w:t>
      </w:r>
      <w:r>
        <w:t xml:space="preserve"> → </w:t>
      </w:r>
      <w:r>
        <w:rPr>
          <w:b/>
        </w:rPr>
        <w:t>F2 Ziel vorschlagen</w:t>
      </w:r>
      <w:r>
        <w:t xml:space="preserve"> einen externen Lagerplatz in </w:t>
      </w:r>
      <w:r>
        <w:rPr>
          <w:b/>
        </w:rPr>
        <w:t>MLS004 Lagerplatz auswählen</w:t>
      </w:r>
      <w:r>
        <w:t xml:space="preserve"> vorschlagen lassen. Bei Teilmenge </w:t>
      </w:r>
      <w:r>
        <w:rPr>
          <w:b/>
        </w:rPr>
        <w:t>F3 Fehlmenge</w:t>
      </w:r>
      <w:r>
        <w:t xml:space="preserve"> → </w:t>
      </w:r>
      <w:r>
        <w:rPr>
          <w:b/>
        </w:rPr>
        <w:t>MLS008 Warnung</w:t>
      </w:r>
      <w:r>
        <w:t xml:space="preserve">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Lagerplatz auswählen; </w:t>
      </w:r>
      <w:r>
        <w:rPr>
          <w:b/>
        </w:rPr>
        <w:t>MLS006 Information</w:t>
      </w:r>
      <w:r>
        <w:t xml:space="preserve"> zeigt, wo der Artikel eingelagert ist.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MLS007 Information</w:t>
      </w:r>
      <w:r>
        <w:t xml:space="preserve"> meldet den fertiggestellten Einlagerbedarf. Bestätigen.</w:t>
      </w:r>
    </w:p>
    <w:p>
      <w:r>
        <w:t xml:space="preserve">Ergebnis: Die Menge ist am externen Platz gebucht, der Einlagerbedarf ist </w:t>
      </w:r>
      <w:r>
        <w:rPr>
          <w:b/>
        </w:rPr>
        <w:t>Fertiggestellt</w:t>
      </w:r>
      <w:r>
        <w:t>. Bei Teilmengen wird die Fehlmenge erfasst und die Zeile abgeschlossen.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6.3.1 (S. 124–125)</w:t>
      </w:r>
    </w:p>
    <w:p>
      <w:pPr>
        <w:pStyle w:val="Heading2"/>
      </w:pPr>
      <w:r>
        <w:t>6.3 Ware kommissionieren – Schritt für Schritt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WLM001</w:t>
      </w:r>
      <w:r>
        <w:t xml:space="preserve"> </w:t>
      </w:r>
      <w:r>
        <w:rPr>
          <w:b/>
        </w:rPr>
        <w:t>Kommissionierung</w:t>
      </w:r>
      <w:r>
        <w:t xml:space="preserve"> wählen. </w:t>
      </w:r>
      <w:r>
        <w:rPr>
          <w:b/>
        </w:rPr>
        <w:t>MLP002 Kommissionierbedarfe aktivieren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Kommissionierbedarfsnummer scannen oder eingeben (oder </w:t>
      </w:r>
      <w:r>
        <w:rPr>
          <w:b/>
        </w:rPr>
        <w:t>F1</w:t>
      </w:r>
      <w:r>
        <w:t xml:space="preserve"> → </w:t>
      </w:r>
      <w:r>
        <w:rPr>
          <w:b/>
        </w:rPr>
        <w:t>F3</w:t>
      </w:r>
      <w:r>
        <w:t xml:space="preserve"> </w:t>
      </w:r>
      <w:r>
        <w:rPr>
          <w:b/>
        </w:rPr>
        <w:t>MLP001 Kommissionierbedarf auswählen</w:t>
      </w:r>
      <w:r>
        <w:t xml:space="preserve">). </w:t>
      </w:r>
      <w:r>
        <w:rPr>
          <w:b/>
        </w:rPr>
        <w:t>MLP003 Kommissionieren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Menge eingeben (oder über das Icon neben </w:t>
      </w:r>
      <w:r>
        <w:rPr>
          <w:b/>
        </w:rPr>
        <w:t>Stk.</w:t>
      </w:r>
      <w:r>
        <w:t xml:space="preserve"> in </w:t>
      </w:r>
      <w:r>
        <w:rPr>
          <w:b/>
        </w:rPr>
        <w:t>MAP030 Menge anpassen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Artikelnummer scannen. </w:t>
      </w:r>
      <w:r>
        <w:rPr>
          <w:b/>
        </w:rPr>
        <w:t>MLP005 Information</w:t>
      </w:r>
      <w:r>
        <w:t xml:space="preserve"> meldet den fertiggestellten Bedarf.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Bestätigen. In </w:t>
      </w:r>
      <w:r>
        <w:rPr>
          <w:b/>
        </w:rPr>
        <w:t>MLP006 Bestätigung Zielplatz</w:t>
      </w:r>
      <w:r>
        <w:t xml:space="preserve"> den Platz scannen, auf den kommissioniert wird, und bestätigen.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6.3.2 (S. 125–126)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Inventur nur teilweise mobil</w:t>
            </w:r>
          </w:p>
          <w:p>
            <w:pPr>
              <w:spacing w:after="40"/>
            </w:pPr>
            <w:r>
              <w:rPr>
                <w:sz w:val="19"/>
              </w:rPr>
              <w:t>Wurden nicht alle Inventurbedarfszeilen bearbeitet, weist das Mobilterminal darauf hin, dass der Inventurbedarf am Touch-Client fertiggestellt werden muss.</w:t>
            </w:r>
          </w:p>
        </w:tc>
      </w:tr>
    </w:tbl>
    <w:p>
      <w:pPr>
        <w:spacing w:after="40"/>
      </w:pPr>
    </w:p>
    <w:p>
      <w:pPr>
        <w:pStyle w:val="Heading1"/>
      </w:pPr>
      <w:r>
        <w:t>7 Zielplätze und Zielplatzgruppen</w:t>
      </w:r>
    </w:p>
    <w:p>
      <w:pPr>
        <w:pStyle w:val="Heading2"/>
      </w:pPr>
      <w:r>
        <w:t>7.1 Am Desktop einrichten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 Übersicht Zielplatzgruppen</w:t>
      </w:r>
      <w:r>
        <w:t xml:space="preserve"> öffnen, suchen, Kontextmenü </w:t>
      </w:r>
      <w:r>
        <w:rPr>
          <w:b/>
        </w:rPr>
        <w:t>Gruppe generieren</w:t>
      </w:r>
      <w:r>
        <w:t xml:space="preserve">. </w:t>
      </w:r>
      <w:r>
        <w:rPr>
          <w:b/>
        </w:rPr>
        <w:t>LM064 Zielplatz-Generator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WAMAS Lift &amp; Store-Zone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Länge/Breite/Höhe mit Maßeinheit und ggf. </w:t>
      </w:r>
      <w:r>
        <w:rPr>
          <w:rFonts w:ascii="Consolas" w:hAnsi="Consolas" w:cs="Consolas" w:eastAsia="Consolas"/>
          <w:sz w:val="18"/>
        </w:rPr>
        <w:t>Uneingeschränkte Kapazität</w:t>
      </w:r>
      <w:r>
        <w:t xml:space="preserve"> angeben,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LM065 Kontextmenü </w:t>
      </w:r>
      <w:r>
        <w:rPr>
          <w:b/>
        </w:rPr>
        <w:t>Zugriffsöffnung zuordnen</w:t>
      </w:r>
      <w:r>
        <w:t xml:space="preserve"> → </w:t>
      </w:r>
      <w:r>
        <w:rPr>
          <w:b/>
        </w:rPr>
        <w:t>FW005 Datensatz auswählen</w:t>
      </w:r>
      <w:r>
        <w:t xml:space="preserve"> → eine oder mehrere Zugriffsöffnungen → </w:t>
      </w:r>
      <w:r>
        <w:rPr>
          <w:b/>
        </w:rPr>
        <w:t>Auswählen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Einzelne Zielplätze in </w:t>
      </w:r>
      <w:r>
        <w:rPr>
          <w:b/>
        </w:rPr>
        <w:t>LM088 Zielplatz pflegen</w:t>
      </w:r>
      <w:r>
        <w:t xml:space="preserve">, Registerkarte </w:t>
      </w:r>
      <w:r>
        <w:rPr>
          <w:b/>
        </w:rPr>
        <w:t>Zielplatz</w:t>
      </w:r>
      <w:r>
        <w:t xml:space="preserve">: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(Reihenfolge bei automatischer Zielplatzauswahl, ohne Nummer zuletzt), </w:t>
      </w:r>
      <w:r>
        <w:rPr>
          <w:rFonts w:ascii="Consolas" w:hAnsi="Consolas" w:cs="Consolas" w:eastAsia="Consolas"/>
          <w:sz w:val="18"/>
        </w:rPr>
        <w:t>Uneingeschränkte Kapazität</w:t>
      </w:r>
      <w:r>
        <w:t xml:space="preserve">, </w:t>
      </w:r>
      <w:r>
        <w:rPr>
          <w:rFonts w:ascii="Consolas" w:hAnsi="Consolas" w:cs="Consolas" w:eastAsia="Consolas"/>
          <w:sz w:val="18"/>
        </w:rPr>
        <w:t>Zielplatzkennung</w:t>
      </w:r>
      <w:r>
        <w:t xml:space="preserve">, </w:t>
      </w:r>
      <w:r>
        <w:rPr>
          <w:b/>
        </w:rPr>
        <w:t>Abmessung</w:t>
      </w:r>
      <w:r>
        <w:t xml:space="preserve">. Der Bereich </w:t>
      </w:r>
      <w:r>
        <w:rPr>
          <w:b/>
        </w:rPr>
        <w:t>Ladeeinheit</w:t>
      </w:r>
      <w:r>
        <w:t xml:space="preserve"> zeigt die aktuell gebuchte LE.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Löschen: In LM065 Kontextmenü </w:t>
      </w:r>
      <w:r>
        <w:rPr>
          <w:b/>
        </w:rPr>
        <w:t>Zielplatzgruppe löschen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3.1.11–3.1.12 (S. 27–28)</w:t>
      </w:r>
    </w:p>
    <w:p>
      <w:pPr>
        <w:pStyle w:val="Heading2"/>
      </w:pPr>
      <w:r>
        <w:t>7.2 Am Touch-Client einrichten und bedienen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anlegen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LM044 Zielplätze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Generieren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LM106</w:t>
            </w:r>
            <w:r>
              <w:rPr>
                <w:sz w:val="17"/>
              </w:rPr>
              <w:t xml:space="preserve"> (Gruppenname, Spalten, Reihen, Maße, Kapazität) → </w:t>
            </w:r>
            <w:r>
              <w:rPr>
                <w:b/>
                <w:sz w:val="17"/>
              </w:rPr>
              <w:t>Generieren</w:t>
            </w:r>
            <w:r>
              <w:rPr>
                <w:sz w:val="17"/>
              </w:rPr>
              <w:t>. Die Plätze werden der aktiven Zugriffsöffnung zugeordnet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Alle Zielplätze entfernen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</w:t>
            </w:r>
            <w:r>
              <w:rPr>
                <w:b/>
                <w:sz w:val="17"/>
              </w:rPr>
              <w:t>Alle entfernen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Ja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 zuordnen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Platz wählen → </w:t>
            </w:r>
            <w:r>
              <w:rPr>
                <w:b/>
                <w:sz w:val="17"/>
              </w:rPr>
              <w:t>Platzgruppe zuordnen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LM046</w:t>
            </w:r>
            <w:r>
              <w:rPr>
                <w:sz w:val="17"/>
              </w:rPr>
              <w:t xml:space="preserve"> → Gruppe wählen → </w:t>
            </w:r>
            <w:r>
              <w:rPr>
                <w:b/>
                <w:sz w:val="17"/>
              </w:rPr>
              <w:t>Speichern</w:t>
            </w:r>
            <w:r>
              <w:rPr>
                <w:sz w:val="17"/>
              </w:rPr>
              <w:t>. Der Platz folgt der Zugriffsöffnung der Gruppe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Lagerplatzkennung zuordnen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Platz wählen → </w:t>
            </w:r>
            <w:r>
              <w:rPr>
                <w:b/>
                <w:sz w:val="17"/>
              </w:rPr>
              <w:t>Lagerplatzkennung zuordnen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LM107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Lagerplatzkennung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Reihenfolge</w:t>
            </w:r>
            <w:r>
              <w:rPr>
                <w:sz w:val="17"/>
              </w:rPr>
              <w:t xml:space="preserve"> (gilt bei der Einlagerung) → </w:t>
            </w:r>
            <w:r>
              <w:rPr>
                <w:b/>
                <w:sz w:val="17"/>
              </w:rPr>
              <w:t>LE buchen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LE auf Zielplatz buchen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Platz wählen → </w:t>
            </w:r>
            <w:r>
              <w:rPr>
                <w:b/>
                <w:sz w:val="17"/>
              </w:rPr>
              <w:t>LE buchen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LM107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LE-ID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LE buchen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Lagerplatzetikett drucken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Platz wählen → </w:t>
            </w:r>
            <w:r>
              <w:rPr>
                <w:b/>
                <w:sz w:val="17"/>
              </w:rPr>
              <w:t>Drucken</w:t>
            </w:r>
          </w:p>
        </w:tc>
      </w:tr>
    </w:tbl>
    <w:p>
      <w:pPr>
        <w:pStyle w:val="BeschriftungSSI"/>
      </w:pPr>
      <w:r>
        <w:t>Tab. 8: Zielplätze am Touch-Client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5.4 (S. 68–70) und 6.8.2.2 (S. 157); Benutzerhandbuch R2.4, Kap. 4.3</w:t>
      </w:r>
    </w:p>
    <w:p>
      <w:pPr>
        <w:pStyle w:val="Heading2"/>
      </w:pPr>
      <w:r>
        <w:t>7.3 Einstellungen mit Bezug zu Zielplätzen und externen Plätzen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329"/>
        <w:gridCol w:w="865"/>
        <w:gridCol w:w="4329"/>
      </w:tblGrid>
      <w:tr>
        <w:trPr>
          <w:tblHeader w:val="true"/>
        </w:trPr>
        <w:tc>
          <w:tcPr>
            <w:tcW w:type="dxa" w:w="43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 (Dialog)</w:t>
            </w:r>
          </w:p>
        </w:tc>
        <w:tc>
          <w:tcPr>
            <w:tcW w:type="dxa" w:w="43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automatisch auswählen</w:t>
            </w:r>
            <w:r>
              <w:rPr>
                <w:sz w:val="17"/>
              </w:rPr>
              <w:t xml:space="preserve"> (Kommissionierbedarfstyp)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werden automatisch gewählt, wenn der Bedarf manuell aktiviert wird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Bedarfsaktivierung durch freien, externen Lagerplatz begrenzen</w:t>
            </w:r>
            <w:r>
              <w:rPr>
                <w:sz w:val="17"/>
              </w:rPr>
              <w:t xml:space="preserve"> (Kommissionierbedarfstyp)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Aktivierung nur, soweit externe Plätze frei sind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Mit Kommissionierwagen verwendet</w:t>
            </w:r>
            <w:r>
              <w:rPr>
                <w:sz w:val="17"/>
              </w:rPr>
              <w:t xml:space="preserve"> (Kommissionierbedarfstyp)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Bedarfstyp für Kommissionierwägen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logimat.picking.askBookLuOnExternalLocation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Benutzer muss die Artikel zum externen Platz bringen (LE wird gebucht, wenn die Ziel-LE gescannt wird);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keine Buchung auf externe Plätze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logimat.picking.externalloc.reserve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Anzahl externer Plätze, die für kleine Aufträge reserviert und für andere nicht verfügbar sind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logimat.logimatExt.timeout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Wie lange Reservierungen auf LE, die auf externe Plätze gebucht sind, erhalten bleiben</w:t>
            </w:r>
          </w:p>
        </w:tc>
      </w:tr>
    </w:tbl>
    <w:p>
      <w:pPr>
        <w:pStyle w:val="BeschriftungSSI"/>
      </w:pPr>
      <w:r>
        <w:t>Tab. 9: Einstellungen für Zielplätze und externe Plätze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3.6.1.10 (S. 108–110) und 3.11.2 (S. 173–191)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Widerspruch zu `externalloc.reserve`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Administratorhandbuch spricht von Plätzen, die für </w:t>
            </w:r>
            <w:r>
              <w:rPr>
                <w:b/>
                <w:sz w:val="19"/>
              </w:rPr>
              <w:t>kleine Aufträge</w:t>
            </w:r>
            <w:r>
              <w:rPr>
                <w:sz w:val="19"/>
              </w:rPr>
              <w:t xml:space="preserve"> reserviert werden. Die Schulungsunterlage 2024 beschreibt den Parameter als „Destination locations kept free for </w:t>
            </w:r>
            <w:r>
              <w:rPr>
                <w:b/>
                <w:sz w:val="19"/>
              </w:rPr>
              <w:t>Express</w:t>
            </w:r>
            <w:r>
              <w:rPr>
                <w:sz w:val="19"/>
              </w:rPr>
              <w:t xml:space="preserve"> demands“. Im Projekt testen.</w:t>
            </w:r>
          </w:p>
        </w:tc>
      </w:tr>
    </w:tbl>
    <w:p>
      <w:pPr>
        <w:spacing w:after="40"/>
      </w:pPr>
    </w:p>
    <w:p>
      <w:pPr>
        <w:pStyle w:val="Heading1"/>
      </w:pPr>
      <w:r>
        <w:t>8 Kommissionierwägen</w:t>
      </w:r>
    </w:p>
    <w:p>
      <w:r>
        <w:t xml:space="preserve">Ein Kommissionierwagen wird als Zielplatzgruppe gepflegt (Desktop: LM065). Am Touch-Client erfolgt die Bedienung in </w:t>
      </w:r>
      <w:r>
        <w:rPr>
          <w:b/>
        </w:rPr>
        <w:t>LM040</w:t>
      </w:r>
      <w:r>
        <w:t xml:space="preserve">, Registerkarte </w:t>
      </w:r>
      <w:r>
        <w:rPr>
          <w:b/>
        </w:rPr>
        <w:t>Übersicht Kommissionierwägen</w:t>
      </w:r>
      <w:r>
        <w:t>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Anlegen:</w:t>
      </w:r>
      <w:r>
        <w:t xml:space="preserve"> </w:t>
      </w:r>
      <w:r>
        <w:rPr>
          <w:b/>
        </w:rPr>
        <w:t>Kommissionierwagen anlegen</w:t>
      </w:r>
      <w:r>
        <w:t xml:space="preserve"> → </w:t>
      </w:r>
      <w:r>
        <w:rPr>
          <w:b/>
        </w:rPr>
        <w:t>LM153</w:t>
      </w:r>
      <w:r>
        <w:t xml:space="preserve">: </w:t>
      </w:r>
      <w:r>
        <w:rPr>
          <w:rFonts w:ascii="Consolas" w:hAnsi="Consolas" w:cs="Consolas" w:eastAsia="Consolas"/>
          <w:sz w:val="18"/>
        </w:rPr>
        <w:t>Kommissionierwagenname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Ebenen</w:t>
      </w:r>
      <w:r>
        <w:t xml:space="preserve">, Maße → </w:t>
      </w:r>
      <w:r>
        <w:rPr>
          <w:b/>
        </w:rPr>
        <w:t>Generieren</w:t>
      </w:r>
      <w:r>
        <w:t xml:space="preserve">. Danach </w:t>
      </w:r>
      <w:r>
        <w:rPr>
          <w:b/>
        </w:rPr>
        <w:t>Kommissionierwagen freigeben</w:t>
      </w:r>
      <w:r>
        <w:t xml:space="preserve"> → </w:t>
      </w:r>
      <w:r>
        <w:rPr>
          <w:b/>
        </w:rPr>
        <w:t>Bestätigen</w:t>
      </w:r>
      <w:r>
        <w:t>. Erst dann ist er nutzbar.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Bedarfe zuordnen:</w:t>
      </w:r>
      <w:r>
        <w:t xml:space="preserve"> </w:t>
      </w:r>
      <w:r>
        <w:rPr>
          <w:b/>
        </w:rPr>
        <w:t>Kommissionierwagen anzeigen</w:t>
      </w:r>
      <w:r>
        <w:t xml:space="preserve"> → </w:t>
      </w:r>
      <w:r>
        <w:rPr>
          <w:b/>
        </w:rPr>
        <w:t>LM151</w:t>
      </w:r>
      <w:r>
        <w:t xml:space="preserve"> → Platz wählen → </w:t>
      </w:r>
      <w:r>
        <w:rPr>
          <w:b/>
        </w:rPr>
        <w:t>Bedarfe zuordnen</w:t>
      </w:r>
      <w:r>
        <w:t xml:space="preserve"> → </w:t>
      </w:r>
      <w:r>
        <w:rPr>
          <w:b/>
        </w:rPr>
        <w:t>LM154</w:t>
      </w:r>
      <w:r>
        <w:t xml:space="preserve">: </w:t>
      </w:r>
      <w:r>
        <w:rPr>
          <w:rFonts w:ascii="Consolas" w:hAnsi="Consolas" w:cs="Consolas" w:eastAsia="Consolas"/>
          <w:sz w:val="18"/>
        </w:rPr>
        <w:t>LE-ID</w:t>
      </w:r>
      <w:r>
        <w:t xml:space="preserve"> → </w:t>
      </w:r>
      <w:r>
        <w:rPr>
          <w:b/>
        </w:rPr>
        <w:t>Bestätigen</w:t>
      </w:r>
      <w:r>
        <w:t xml:space="preserve">, dann </w:t>
      </w:r>
      <w:r>
        <w:rPr>
          <w:rFonts w:ascii="Consolas" w:hAnsi="Consolas" w:cs="Consolas" w:eastAsia="Consolas"/>
          <w:sz w:val="18"/>
        </w:rPr>
        <w:t>Kommissionierbedarf</w:t>
      </w:r>
      <w:r>
        <w:t xml:space="preserve"> →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Auffüllen:</w:t>
      </w:r>
      <w:r>
        <w:t xml:space="preserve"> In LM151 Platz → </w:t>
      </w:r>
      <w:r>
        <w:rPr>
          <w:b/>
        </w:rPr>
        <w:t>LE auffüllen</w:t>
      </w:r>
      <w:r>
        <w:t xml:space="preserve"> → LM154 </w:t>
      </w:r>
      <w:r>
        <w:rPr>
          <w:rFonts w:ascii="Consolas" w:hAnsi="Consolas" w:cs="Consolas" w:eastAsia="Consolas"/>
          <w:sz w:val="18"/>
        </w:rPr>
        <w:t>LE-ID</w:t>
      </w:r>
      <w:r>
        <w:t xml:space="preserve"> → </w:t>
      </w:r>
      <w:r>
        <w:rPr>
          <w:b/>
        </w:rPr>
        <w:t>Speichern</w:t>
      </w:r>
      <w:r>
        <w:t>; der nächste Platz wird automatisch angeboten.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LE entfernen:</w:t>
      </w:r>
      <w:r>
        <w:t xml:space="preserve"> In LM151 Platz → </w:t>
      </w:r>
      <w:r>
        <w:rPr>
          <w:b/>
        </w:rPr>
        <w:t>LE entfernen</w:t>
      </w:r>
      <w:r>
        <w:t xml:space="preserve"> → </w:t>
      </w:r>
      <w:r>
        <w:rPr>
          <w:b/>
        </w:rPr>
        <w:t>Ja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Übernehmen / Zuordnung aufheben:</w:t>
      </w:r>
      <w:r>
        <w:t xml:space="preserve"> </w:t>
      </w:r>
      <w:r>
        <w:rPr>
          <w:b/>
        </w:rPr>
        <w:t>Kommissionierwagen übernehmen</w:t>
      </w:r>
      <w:r>
        <w:t xml:space="preserve"> bzw. </w:t>
      </w:r>
      <w:r>
        <w:rPr>
          <w:b/>
        </w:rPr>
        <w:t>Zuordnung für Kommissionierwagen aufheben</w:t>
      </w:r>
      <w:r>
        <w:t>. Der Benutzer braucht Rechte für alle zugeordneten Bedarfe.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Abschließen:</w:t>
      </w:r>
      <w:r>
        <w:t xml:space="preserve"> </w:t>
      </w:r>
      <w:r>
        <w:rPr>
          <w:b/>
        </w:rPr>
        <w:t>Kommissionierwagen abschließen</w:t>
      </w:r>
      <w:r>
        <w:t xml:space="preserve"> schließt alle Kommissionier-Planladeeinheiten des Wagens ab.</w:t>
      </w:r>
    </w:p>
    <w:p>
      <w:r>
        <w:t>Je nach Parametrierung bleiben einige Plätze ohne Bedarf; sie sind für Leer-LE vorgesehen, falls der Platz in den vorhandenen LE nicht reicht.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3.1.17 (S. 34–35); Benutzerhandbuch 2.7, Kap. 5.5 (S. 70–73)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Welcher Parameter die Anzahl der für Leer-LE freigehaltenen Wagenplätze steuert, nennt das Benutzerhandbuch nicht. Möglich ist </w:t>
            </w:r>
            <w:r>
              <w:rPr>
                <w:rFonts w:ascii="Consolas" w:hAnsi="Consolas" w:cs="Consolas" w:eastAsia="Consolas"/>
                <w:sz w:val="17"/>
              </w:rPr>
              <w:t>logimat.picking.externalloc.reserve</w:t>
            </w:r>
            <w:r>
              <w:rPr>
                <w:sz w:val="19"/>
              </w:rPr>
              <w:t>; das ist aber nicht belegt.</w:t>
            </w:r>
          </w:p>
        </w:tc>
      </w:tr>
    </w:tbl>
    <w:p>
      <w:pPr>
        <w:spacing w:after="40"/>
      </w:pPr>
    </w:p>
    <w:p>
      <w:pPr>
        <w:pStyle w:val="Heading1"/>
      </w:pPr>
      <w:r>
        <w:t>9 Externe Ladeeinheiten</w:t>
      </w:r>
    </w:p>
    <w:p>
      <w:pPr>
        <w:pStyle w:val="Heading2"/>
      </w:pPr>
      <w:r>
        <w:t>9.1 Was ist eine externe LE?</w:t>
      </w:r>
    </w:p>
    <w:p>
      <w:r>
        <w:t xml:space="preserve">Externe LE sind Versand-LE oder avisierte LE, die automatisch angelegt werden, sobald ein Kommissionierbedarf geplant wird. Der Benutzer kann ihnen eine LE-ID zuordnen, Etiketten drucken und sie zur Rücklagerung in den SSI LOGIMAT bzw. zur erneuten Auslagerung kennzeichnen. Zentraler Dialog ist </w:t>
      </w:r>
      <w:r>
        <w:rPr>
          <w:b/>
        </w:rPr>
        <w:t>LM045 Ziel-Ladeeinheiten</w:t>
      </w:r>
      <w:r>
        <w:t xml:space="preserve"> am Touch-Client (Tools-Menü).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 (S. 149)</w:t>
      </w:r>
    </w:p>
    <w:p>
      <w:pPr>
        <w:pStyle w:val="Heading2"/>
      </w:pPr>
      <w:r>
        <w:t>9.2 Funktionen in LM045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05"/>
        <w:gridCol w:w="3760"/>
        <w:gridCol w:w="3760"/>
      </w:tblGrid>
      <w:tr>
        <w:trPr>
          <w:tblHeader w:val="true"/>
        </w:trPr>
        <w:tc>
          <w:tcPr>
            <w:tcW w:type="dxa" w:w="20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 / Einschränkung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LE-ID zuordnen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externe LE wählen → </w:t>
            </w:r>
            <w:r>
              <w:rPr>
                <w:b/>
                <w:sz w:val="17"/>
              </w:rPr>
              <w:t>Scannen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ist zugeordnet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LE-Etikett drucken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LE wählen → </w:t>
            </w:r>
            <w:r>
              <w:rPr>
                <w:b/>
                <w:sz w:val="17"/>
              </w:rPr>
              <w:t>Drucken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Etikett für die externe LE-ID gedruckt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 für Rücklagerung kennzeichnen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Rücklagerung kennzeichnen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LM109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Boxtyp</w:t>
            </w:r>
            <w:r>
              <w:rPr>
                <w:sz w:val="17"/>
              </w:rPr>
              <w:t xml:space="preserve"> → Button bestätigen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 angelegt. Solange die LE im SSI LOGIMAT liegt, kann der ursprüngliche Bedarf nicht fertiggestellt werden. Nicht möglich bei Kommissionierreservierungen auf Artikeln der LE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 für Auslagerung kennzeichnen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Auslagerung kennzeichnen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Tablaranforderung; bei Aktivierung Hinweis mit LE-ID und Abgabeplatz. Ist die Box leer, wird das Boxlayout entfernt und die LE auf den Kommissionierplatz gebucht (bei mehreren: Auswahlliste)</w:t>
            </w:r>
          </w:p>
        </w:tc>
      </w:tr>
    </w:tbl>
    <w:p>
      <w:pPr>
        <w:pStyle w:val="BeschriftungSSI"/>
      </w:pPr>
      <w:r>
        <w:t>Tab. 10: Funktionen für externe Ladeeinheiten</w:t>
      </w:r>
    </w:p>
    <w:p>
      <w:r>
        <w:t>Typische Anlässe für die Rücklagerung laut Handbuch: Der Bedarf ist fertig, die LE soll aber bis zur Auslieferung im SSI LOGIMAT warten; oder der Bedarf kann mangels Bestand nicht fertiggestellt werden und die LE soll bis zum Bestandseingang eingelagert werden.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6.7.1.1–6.7.1.4 (S. 149–151); Benutzerhandbuch R2.4, Kap. 4.4.1</w:t>
      </w:r>
    </w:p>
    <w:p>
      <w:pPr>
        <w:pStyle w:val="Heading2"/>
      </w:pPr>
      <w:r>
        <w:t>9.3 Parameter für externe LE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762"/>
        <w:gridCol w:w="4762"/>
      </w:tblGrid>
      <w:tr>
        <w:trPr>
          <w:tblHeader w:val="true"/>
        </w:trPr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/ Wirkung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WAMAS erzeugt immer eine neue LE-ID (laut Installationshandbuch auf Basis einer Sequenznummer); extern angelegte IDs können nicht genutzt werden.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eine von einem externen System angelegte LE-ID (z. B. Palette) wird wiederverwendet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logimat.picking.externalluid.print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AUTOMATIC</w:t>
            </w:r>
            <w:r>
              <w:rPr>
                <w:sz w:val="17"/>
              </w:rPr>
              <w:t xml:space="preserve">: Etikett wird beim Start der Kommissionierung für eine externe LE gedruckt. </w:t>
            </w:r>
            <w:r>
              <w:rPr>
                <w:rFonts w:ascii="Consolas" w:hAnsi="Consolas" w:cs="Consolas" w:eastAsia="Consolas"/>
                <w:sz w:val="15"/>
              </w:rPr>
              <w:t>MANUAL</w:t>
            </w:r>
            <w:r>
              <w:rPr>
                <w:sz w:val="17"/>
              </w:rPr>
              <w:t>: Nachdruck in LM045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: Bei unbekanntem Barcode sucht WAMAS anhand des für die Kubatur definierten Barcodes eine gültige externe LE und ordnet den Barcode als externe LE-ID zu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logimat.picking.wcs.automaticallyAssignBarcodeToExternalLU.sameZoneOnly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Nur Bedarfe derselben Zone werden bei der automatischen Zuordnung berücksichtigt</w:t>
            </w:r>
          </w:p>
        </w:tc>
      </w:tr>
    </w:tbl>
    <w:p>
      <w:pPr>
        <w:pStyle w:val="BeschriftungSSI"/>
      </w:pPr>
      <w:r>
        <w:t>Tab. 11: Parameter für externe LE (Dialog FW028)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3.11.2 (S. 173–191); Installationshandbuch 2.7 V1.1, Kap. 6.7</w:t>
      </w:r>
    </w:p>
    <w:p>
      <w:pPr>
        <w:pStyle w:val="Heading1"/>
      </w:pPr>
      <w:r>
        <w:t>10 Ausblick 2.8: Nachschub zwischen externem Lager und SSI LOGIMAT</w:t>
      </w:r>
    </w:p>
    <w:p>
      <w:r>
        <w:t>Ab Version 2.8 kann externes Lager als Puffer für den Nachschub von Kommissionierplätzen dienen, in beide Richtungen.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LM175 Maintain Replenishment Configuration</w:t>
      </w:r>
      <w:r>
        <w:t xml:space="preserve"> öffnen, </w:t>
      </w:r>
      <w:r>
        <w:rPr>
          <w:b/>
        </w:rPr>
        <w:t>Create Record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Source zone restriction</w:t>
      </w:r>
      <w:r>
        <w:t xml:space="preserve"> und </w:t>
      </w:r>
      <w:r>
        <w:rPr>
          <w:rFonts w:ascii="Consolas" w:hAnsi="Consolas" w:cs="Consolas" w:eastAsia="Consolas"/>
          <w:sz w:val="18"/>
        </w:rPr>
        <w:t>Target zone restriction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Minimum</w:t>
      </w:r>
      <w:r>
        <w:t xml:space="preserve">: Bestandsschwelle in der Zielzone, die einen Nachschubauftrag auslöst. </w:t>
      </w:r>
      <w:r>
        <w:rPr>
          <w:rFonts w:ascii="Consolas" w:hAnsi="Consolas" w:cs="Consolas" w:eastAsia="Consolas"/>
          <w:sz w:val="18"/>
        </w:rPr>
        <w:t>Maximum</w:t>
      </w:r>
      <w:r>
        <w:t>: Obergrenze, bis zu der nachgeschoben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rFonts w:ascii="Consolas" w:hAnsi="Consolas" w:cs="Consolas" w:eastAsia="Consolas"/>
          <w:sz w:val="18"/>
        </w:rPr>
        <w:t>Picking demand type</w:t>
      </w:r>
      <w:r>
        <w:t xml:space="preserve"> (Entnahme an der Quelle) und </w:t>
      </w:r>
      <w:r>
        <w:rPr>
          <w:rFonts w:ascii="Consolas" w:hAnsi="Consolas" w:cs="Consolas" w:eastAsia="Consolas"/>
          <w:sz w:val="18"/>
        </w:rPr>
        <w:t>Source demand type</w:t>
      </w:r>
      <w:r>
        <w:t xml:space="preserve"> (Einlagerung am Ziel)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rFonts w:ascii="Consolas" w:hAnsi="Consolas" w:cs="Consolas" w:eastAsia="Consolas"/>
          <w:sz w:val="18"/>
        </w:rPr>
        <w:t>Enabled</w:t>
      </w:r>
      <w:r>
        <w:t xml:space="preserve"> aktivieren; weitere Einschränkungen (Lagerstandort, Klient, Bedarfstypen).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Registerkarten </w:t>
      </w:r>
      <w:r>
        <w:rPr>
          <w:b/>
        </w:rPr>
        <w:t>Source/Destination location restriction details</w:t>
      </w:r>
      <w:r>
        <w:t xml:space="preserve">: </w:t>
      </w:r>
      <w:r>
        <w:rPr>
          <w:rFonts w:ascii="Consolas" w:hAnsi="Consolas" w:cs="Consolas" w:eastAsia="Consolas"/>
          <w:sz w:val="18"/>
        </w:rPr>
        <w:t>Storage location</w:t>
      </w:r>
      <w:r>
        <w:t xml:space="preserve">, </w:t>
      </w:r>
      <w:r>
        <w:rPr>
          <w:rFonts w:ascii="Consolas" w:hAnsi="Consolas" w:cs="Consolas" w:eastAsia="Consolas"/>
          <w:sz w:val="18"/>
        </w:rPr>
        <w:t>SSI LOGIMAT</w:t>
      </w:r>
      <w:r>
        <w:t xml:space="preserve">, </w:t>
      </w:r>
      <w:r>
        <w:rPr>
          <w:rFonts w:ascii="Consolas" w:hAnsi="Consolas" w:cs="Consolas" w:eastAsia="Consolas"/>
          <w:sz w:val="18"/>
        </w:rPr>
        <w:t>Storage location group</w:t>
      </w:r>
      <w:r>
        <w:t xml:space="preserve">, </w:t>
      </w:r>
      <w:r>
        <w:rPr>
          <w:rFonts w:ascii="Consolas" w:hAnsi="Consolas" w:cs="Consolas" w:eastAsia="Consolas"/>
          <w:sz w:val="18"/>
        </w:rPr>
        <w:t>Any SSI LOGIMAT</w:t>
      </w:r>
      <w:r>
        <w:t xml:space="preserve"> oder </w:t>
      </w:r>
      <w:r>
        <w:rPr>
          <w:rFonts w:ascii="Consolas" w:hAnsi="Consolas" w:cs="Consolas" w:eastAsia="Consolas"/>
          <w:sz w:val="18"/>
        </w:rPr>
        <w:t>Any storage location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Save</w:t>
      </w:r>
      <w:r>
        <w:t>.</w:t>
      </w:r>
    </w:p>
    <w:p>
      <w:r>
        <w:t xml:space="preserve">Ablauf laut User Manual 2.8: Nachschubaufträge entstehen manuell (LM175 → </w:t>
      </w:r>
      <w:r>
        <w:rPr>
          <w:b/>
        </w:rPr>
        <w:t>Create Replenishment Order</w:t>
      </w:r>
      <w:r>
        <w:t xml:space="preserve">, Anzeige in </w:t>
      </w:r>
      <w:r>
        <w:rPr>
          <w:b/>
        </w:rPr>
        <w:t>LM170 Replenishment Orders Overview</w:t>
      </w:r>
      <w:r>
        <w:t>) oder durch einen zyklischen Job. Zuerst wird ein Kommissionierbedarf an der Quelle erzeugt. Nach dessen Reservierung wird die Auftragsmenge auf die reservierte Menge angepasst; reicht der Bestand nicht, können weitere Aufträge entstehen. Nach Abschluss der Kommissionierung entsteht automatisch ein Einlagerbedarf mit genau der kommissionierten Menge.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 Manual 2.8, Kap. 3.1.11 (S. 24–25); User Manual 2.8, Kap. 6.2.4 (S. 103–104) und 6.2.1/6.2.2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In 2.7 gibt es LM175 nicht. Für 2.7 ist kein automatischer Nachschub zwischen externem Lager und SSI LOGIMAT dokumentiert. Der Name des Jobs für die zyklische Prüfung in 2.8 ist nicht genannt.</w:t>
            </w:r>
          </w:p>
        </w:tc>
      </w:tr>
    </w:tbl>
    <w:p>
      <w:pPr>
        <w:spacing w:after="40"/>
      </w:pPr>
    </w:p>
    <w:p>
      <w:pPr>
        <w:pStyle w:val="Heading1"/>
      </w:pPr>
      <w:r>
        <w:t>11 Stolperfallen</w:t>
      </w:r>
    </w:p>
    <w:p>
      <w:pPr>
        <w:pStyle w:val="ListBullet"/>
      </w:pPr>
      <w:r>
        <w:rPr>
          <w:b/>
        </w:rPr>
        <w:t>Externer Artikel ≠ Touch-Client:</w:t>
      </w:r>
      <w:r>
        <w:t xml:space="preserve"> Als extern markierte Artikel sind am Touch-Client nicht verarbeitbar.</w:t>
      </w:r>
    </w:p>
    <w:p>
      <w:pPr>
        <w:pStyle w:val="ListBullet"/>
      </w:pPr>
      <w:r>
        <w:rPr>
          <w:b/>
        </w:rPr>
        <w:t>Große Artikel</w:t>
      </w:r>
      <w:r>
        <w:t xml:space="preserve"> dürfen nicht auf externe Plätze; ihre Einlagerbedarfe gehen nicht am Mobilterminal.</w:t>
      </w:r>
    </w:p>
    <w:p>
      <w:pPr>
        <w:pStyle w:val="ListBullet"/>
      </w:pPr>
      <w:r>
        <w:rPr>
          <w:b/>
        </w:rPr>
        <w:t>LM132-Zuordnungen</w:t>
      </w:r>
      <w:r>
        <w:t xml:space="preserve"> entstehen bei der ersten Einlagerung automatisch; Mengengrenzen danach prüfen.</w:t>
      </w:r>
    </w:p>
    <w:p>
      <w:pPr>
        <w:pStyle w:val="ListBullet"/>
      </w:pPr>
      <w:r>
        <w:rPr>
          <w:b/>
        </w:rPr>
        <w:t>Reihenfolge leer = zuletzt:</w:t>
      </w:r>
      <w:r>
        <w:t xml:space="preserve"> Plätze ohne Einlagerungs-/Kommissionierreihenfolge werden zuletzt berücksichtigt.</w:t>
      </w:r>
    </w:p>
    <w:p>
      <w:pPr>
        <w:pStyle w:val="ListBullet"/>
      </w:pPr>
      <w:r>
        <w:rPr>
          <w:b/>
        </w:rPr>
        <w:t>CSV-Import</w:t>
      </w:r>
      <w:r>
        <w:t xml:space="preserve"> von Plätzen und Beständen: Spaltenformat ist nicht dokumentiert; Namen von Plätzen, Klienten und Varianten müssen vorher angepasst werden.</w:t>
      </w:r>
    </w:p>
    <w:p>
      <w:pPr>
        <w:pStyle w:val="ListBullet"/>
      </w:pPr>
      <w:r>
        <w:rPr>
          <w:b/>
        </w:rPr>
        <w:t>Rücklagerung externer LE</w:t>
      </w:r>
      <w:r>
        <w:t xml:space="preserve"> blockiert den Abschluss des ursprünglichen Kommissionierbedarfs und ist bei bestehenden Kommissionierreservierungen nicht möglich.</w:t>
      </w:r>
    </w:p>
    <w:p>
      <w:pPr>
        <w:pStyle w:val="ListBullet"/>
      </w:pPr>
      <w:r>
        <w:rPr>
          <w:b/>
        </w:rPr>
        <w:t>Dialogname LM045:</w:t>
      </w:r>
      <w:r>
        <w:t xml:space="preserve"> „Ziel-Ladeeinheiten“ in den Abläufen, „Externe Ladeeinheiten“ in Vorbedingungen und Parameterbeschreibung.</w:t>
      </w:r>
    </w:p>
    <w:p>
      <w:pPr>
        <w:pStyle w:val="ListBullet"/>
      </w:pPr>
      <w:r>
        <w:rPr>
          <w:b/>
        </w:rPr>
        <w:t>`externalloc.reserve`:</w:t>
      </w:r>
      <w:r>
        <w:t xml:space="preserve"> „kleine Aufträge“ (Handbuch) vs. „Express“ (Schulung).</w:t>
      </w:r>
    </w:p>
    <w:p>
      <w:pPr>
        <w:pStyle w:val="ListBullet"/>
      </w:pPr>
      <w:r>
        <w:rPr>
          <w:b/>
        </w:rPr>
        <w:t>Begriffe:</w:t>
      </w:r>
      <w:r>
        <w:t xml:space="preserve"> LM044 heißt „Zielplätze“, beschreibt aber „externe Lagerplatzgruppen“; LM107 bucht LE auf Zielplätze.</w:t>
      </w:r>
    </w:p>
    <w:p>
      <w:pPr>
        <w:pStyle w:val="ListBullet"/>
      </w:pPr>
      <w:r>
        <w:rPr>
          <w:b/>
        </w:rPr>
        <w:t>Nachschub LM175</w:t>
      </w:r>
      <w:r>
        <w:t xml:space="preserve"> erst ab 2.8.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den in Kapitel 2–10 genannten Quellen</w:t>
      </w:r>
    </w:p>
    <w:p>
      <w:pPr>
        <w:pStyle w:val="Heading1"/>
      </w:pPr>
      <w:r>
        <w:t>12 Praxisbeispiele</w:t>
      </w:r>
    </w:p>
    <w:p>
      <w:pPr>
        <w:pStyle w:val="Heading2"/>
      </w:pPr>
      <w:r>
        <w:t>12.1 Fachbodenregal neben dem LOGIMAT anlegen und mobil einlagern</w:t>
      </w:r>
    </w:p>
    <w:p>
      <w:r>
        <w:t xml:space="preserve">Beispiel (konstruiert, bitte prüfen): Neben dem SSI LOGIMAT der Zone </w:t>
      </w:r>
      <w:r>
        <w:rPr>
          <w:rFonts w:ascii="Consolas" w:hAnsi="Consolas" w:cs="Consolas" w:eastAsia="Consolas"/>
          <w:sz w:val="18"/>
        </w:rPr>
        <w:t>ZONEA</w:t>
      </w:r>
      <w:r>
        <w:t xml:space="preserve"> steht ein Fachbodenregal mit 5 Spalten und 3 Ebenen für sperrige Ersatzteile. Die Ware wird per Mobilterminal ein- und ausgelagert.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LM125</w:t>
      </w:r>
      <w:r>
        <w:t xml:space="preserve"> → </w:t>
      </w:r>
      <w:r>
        <w:rPr>
          <w:b/>
        </w:rPr>
        <w:t>Externe Lagerplatzgruppe anlegen</w:t>
      </w:r>
      <w:r>
        <w:t xml:space="preserve"> → LM126: Zone </w:t>
      </w:r>
      <w:r>
        <w:rPr>
          <w:rFonts w:ascii="Consolas" w:hAnsi="Consolas" w:cs="Consolas" w:eastAsia="Consolas"/>
          <w:sz w:val="18"/>
        </w:rPr>
        <w:t>ZONEA</w:t>
      </w:r>
      <w:r>
        <w:t xml:space="preserve">, </w:t>
      </w:r>
      <w:r>
        <w:rPr>
          <w:b/>
        </w:rPr>
        <w:t>Fachbodentyp anlegen</w:t>
      </w:r>
      <w:r>
        <w:t xml:space="preserve"> (LM129: </w:t>
      </w:r>
      <w:r>
        <w:rPr>
          <w:rFonts w:ascii="Consolas" w:hAnsi="Consolas" w:cs="Consolas" w:eastAsia="Consolas"/>
          <w:sz w:val="18"/>
        </w:rPr>
        <w:t>FB600</w:t>
      </w:r>
      <w:r>
        <w:t xml:space="preserve">, X 600 mm, Y 1000 mm, Z 400 mm),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 </w:t>
      </w:r>
      <w:r>
        <w:rPr>
          <w:rFonts w:ascii="Consolas" w:hAnsi="Consolas" w:cs="Consolas" w:eastAsia="Consolas"/>
          <w:sz w:val="18"/>
        </w:rPr>
        <w:t>RackA</w:t>
      </w:r>
      <w:r>
        <w:t xml:space="preserve">, </w:t>
      </w:r>
      <w:r>
        <w:rPr>
          <w:rFonts w:ascii="Consolas" w:hAnsi="Consolas" w:cs="Consolas" w:eastAsia="Consolas"/>
          <w:sz w:val="18"/>
        </w:rPr>
        <w:t>Lagerreihenfolge</w:t>
      </w:r>
      <w:r>
        <w:t xml:space="preserve"> 1, </w:t>
      </w:r>
      <w:r>
        <w:rPr>
          <w:rFonts w:ascii="Consolas" w:hAnsi="Consolas" w:cs="Consolas" w:eastAsia="Consolas"/>
          <w:sz w:val="18"/>
        </w:rPr>
        <w:t>Kommissionierreihenfolge</w:t>
      </w:r>
      <w:r>
        <w:t xml:space="preserve"> 1,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 5,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3 → </w:t>
      </w:r>
      <w:r>
        <w:rPr>
          <w:b/>
        </w:rPr>
        <w:t>Lagerplätze generieren</w:t>
      </w:r>
      <w:r>
        <w:t xml:space="preserve">. Ergebnis: 15 Plätze nach dem Muster </w:t>
      </w:r>
      <w:r>
        <w:rPr>
          <w:rFonts w:ascii="Consolas" w:hAnsi="Consolas" w:cs="Consolas" w:eastAsia="Consolas"/>
          <w:sz w:val="18"/>
        </w:rPr>
        <w:t>ZONEA-RackA-001-001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WH025</w:t>
      </w:r>
      <w:r>
        <w:t xml:space="preserve">: Für </w:t>
      </w:r>
      <w:r>
        <w:rPr>
          <w:rFonts w:ascii="Consolas" w:hAnsi="Consolas" w:cs="Consolas" w:eastAsia="Consolas"/>
          <w:sz w:val="18"/>
        </w:rPr>
        <w:t>FB600</w:t>
      </w:r>
      <w:r>
        <w:t xml:space="preserve"> die zulässigen Ladehilfsmittel ergänzen.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WH004 Übersicht Lagerplätze</w:t>
      </w:r>
      <w:r>
        <w:t xml:space="preserve">: die neuen Plätze suchen, Kontextmenü </w:t>
      </w:r>
      <w:r>
        <w:rPr>
          <w:b/>
        </w:rPr>
        <w:t>Lagerplatzetiketten drucken</w:t>
      </w:r>
      <w:r>
        <w:t xml:space="preserve"> → </w:t>
      </w:r>
      <w:r>
        <w:rPr>
          <w:b/>
        </w:rPr>
        <w:t>RM001</w:t>
      </w:r>
      <w:r>
        <w:t>, Etiketten anbringen.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MD002</w:t>
      </w:r>
      <w:r>
        <w:t xml:space="preserve"> → WLS Artikel: Checkbox </w:t>
      </w:r>
      <w:r>
        <w:rPr>
          <w:b/>
        </w:rPr>
        <w:t>Externer Artikel</w:t>
      </w:r>
      <w:r>
        <w:t xml:space="preserve"> für die Ersatzteile setzen (nicht als </w:t>
      </w:r>
      <w:r>
        <w:rPr>
          <w:b/>
        </w:rPr>
        <w:t>Großer Artikel</w:t>
      </w:r>
      <w:r>
        <w:t xml:space="preserve"> markieren).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MD017</w:t>
      </w:r>
      <w:r>
        <w:t xml:space="preserve"> → Warengruppe bzw. Einlagerbedarfstyp: </w:t>
      </w:r>
      <w:r>
        <w:rPr>
          <w:rFonts w:ascii="Consolas" w:hAnsi="Consolas" w:cs="Consolas" w:eastAsia="Consolas"/>
          <w:sz w:val="18"/>
        </w:rPr>
        <w:t>Externe Lagerreservierungsstrategie</w:t>
      </w:r>
      <w:r>
        <w:t xml:space="preserve"> = </w:t>
      </w:r>
      <w:r>
        <w:rPr>
          <w:rFonts w:ascii="Consolas" w:hAnsi="Consolas" w:cs="Consolas" w:eastAsia="Consolas"/>
          <w:sz w:val="18"/>
        </w:rPr>
        <w:t>ASSIGNMENT_EXTERN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LM132</w:t>
      </w:r>
      <w:r>
        <w:t xml:space="preserve">: Je Verpackungsversion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</w:t>
      </w:r>
      <w:r>
        <w:rPr>
          <w:rFonts w:ascii="Consolas" w:hAnsi="Consolas" w:cs="Consolas" w:eastAsia="Consolas"/>
          <w:sz w:val="18"/>
        </w:rPr>
        <w:t>FB600</w:t>
      </w:r>
      <w:r>
        <w:t xml:space="preserve"> und </w:t>
      </w:r>
      <w:r>
        <w:rPr>
          <w:rFonts w:ascii="Consolas" w:hAnsi="Consolas" w:cs="Consolas" w:eastAsia="Consolas"/>
          <w:sz w:val="18"/>
        </w:rPr>
        <w:t># LME (max.)</w:t>
      </w:r>
      <w:r>
        <w:t xml:space="preserve"> pflegen.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Einlagerbedarf mit </w:t>
      </w:r>
      <w:r>
        <w:rPr>
          <w:rFonts w:ascii="Consolas" w:hAnsi="Consolas" w:cs="Consolas" w:eastAsia="Consolas"/>
          <w:sz w:val="18"/>
        </w:rPr>
        <w:t>zone</w:t>
      </w:r>
      <w:r>
        <w:t xml:space="preserve"> = </w:t>
      </w:r>
      <w:r>
        <w:rPr>
          <w:rFonts w:ascii="Consolas" w:hAnsi="Consolas" w:cs="Consolas" w:eastAsia="Consolas"/>
          <w:sz w:val="18"/>
        </w:rPr>
        <w:t>ZONEA</w:t>
      </w:r>
      <w:r>
        <w:t xml:space="preserve"> senden (</w:t>
      </w:r>
      <w:r>
        <w:rPr>
          <w:rFonts w:ascii="Consolas" w:hAnsi="Consolas" w:cs="Consolas" w:eastAsia="Consolas"/>
          <w:sz w:val="18"/>
        </w:rPr>
        <w:t>WLSSD001</w:t>
      </w:r>
      <w:r>
        <w:t>) oder anlegen und freigeben.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Mobilterminal: </w:t>
      </w:r>
      <w:r>
        <w:rPr>
          <w:b/>
        </w:rPr>
        <w:t>WLM001</w:t>
      </w:r>
      <w:r>
        <w:t xml:space="preserve"> → </w:t>
      </w:r>
      <w:r>
        <w:rPr>
          <w:b/>
        </w:rPr>
        <w:t>Einlagerung</w:t>
      </w:r>
      <w:r>
        <w:t xml:space="preserve"> → Artikel scannen → </w:t>
      </w:r>
      <w:r>
        <w:rPr>
          <w:b/>
        </w:rPr>
        <w:t>F2 Ziel vorschlagen</w:t>
      </w:r>
      <w:r>
        <w:t xml:space="preserve"> → Platz bestätigen → </w:t>
      </w:r>
      <w:r>
        <w:rPr>
          <w:b/>
        </w:rPr>
        <w:t>MLS007</w:t>
      </w:r>
      <w:r>
        <w:t xml:space="preserve">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Kontrolle in </w:t>
      </w:r>
      <w:r>
        <w:rPr>
          <w:b/>
        </w:rPr>
        <w:t>SM022</w:t>
      </w:r>
      <w:r>
        <w:t xml:space="preserve"> bzw. </w:t>
      </w:r>
      <w:r>
        <w:rPr>
          <w:b/>
        </w:rPr>
        <w:t>LM127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3.1.13–3.1.15, 3.6.3.7; Benutzerhandbuch 2.7, Kap. 6.3.1; Schnittstellenhandbuch WLS–ERP 2.7, Kap. 6.1.2.1; Werte konstruiert</w:t>
      </w:r>
    </w:p>
    <w:p>
      <w:pPr>
        <w:pStyle w:val="Heading2"/>
      </w:pPr>
      <w:r>
        <w:t>12.2 Versand-LE zwischenlagern, bis der Bestand reicht</w:t>
      </w:r>
    </w:p>
    <w:p>
      <w:r>
        <w:t xml:space="preserve">Beispiel (konstruiert, bitte prüfen): Ein Kommissionierbedarf für Kunde </w:t>
      </w:r>
      <w:r>
        <w:rPr>
          <w:rFonts w:ascii="Consolas" w:hAnsi="Consolas" w:cs="Consolas" w:eastAsia="Consolas"/>
          <w:sz w:val="18"/>
        </w:rPr>
        <w:t>P100</w:t>
      </w:r>
      <w:r>
        <w:t xml:space="preserve"> kann nur teilweise erfüllt werden; die Versand-LE </w:t>
      </w:r>
      <w:r>
        <w:rPr>
          <w:rFonts w:ascii="Consolas" w:hAnsi="Consolas" w:cs="Consolas" w:eastAsia="Consolas"/>
          <w:sz w:val="18"/>
        </w:rPr>
        <w:t>LU4711</w:t>
      </w:r>
      <w:r>
        <w:t xml:space="preserve"> soll bis zum Wareneingang im SSI LOGIMAT warten.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Touch-Client: </w:t>
      </w:r>
      <w:r>
        <w:rPr>
          <w:b/>
        </w:rPr>
        <w:t>Tools</w:t>
      </w:r>
      <w:r>
        <w:t xml:space="preserve"> → </w:t>
      </w:r>
      <w:r>
        <w:rPr>
          <w:b/>
        </w:rPr>
        <w:t>LM045 Ziel-Ladeeinheiten</w:t>
      </w:r>
      <w:r>
        <w:t xml:space="preserve"> → </w:t>
      </w:r>
      <w:r>
        <w:rPr>
          <w:b/>
        </w:rPr>
        <w:t>Suche</w:t>
      </w:r>
      <w:r>
        <w:t xml:space="preserve"> → </w:t>
      </w:r>
      <w:r>
        <w:rPr>
          <w:rFonts w:ascii="Consolas" w:hAnsi="Consolas" w:cs="Consolas" w:eastAsia="Consolas"/>
          <w:sz w:val="18"/>
        </w:rPr>
        <w:t>LU4711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LE für Rücklagerung kennzeichnen</w:t>
      </w:r>
      <w:r>
        <w:t xml:space="preserve"> → </w:t>
      </w:r>
      <w:r>
        <w:rPr>
          <w:b/>
        </w:rPr>
        <w:t>LM109</w:t>
      </w:r>
      <w:r>
        <w:t xml:space="preserve">: passenden </w:t>
      </w:r>
      <w:r>
        <w:rPr>
          <w:rFonts w:ascii="Consolas" w:hAnsi="Consolas" w:cs="Consolas" w:eastAsia="Consolas"/>
          <w:sz w:val="18"/>
        </w:rPr>
        <w:t>Boxtyp</w:t>
      </w:r>
      <w:r>
        <w:t xml:space="preserve"> wählen → bestätigen. WAMAS legt eine Tablaranforderung an; die LE wird eingelagert.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Hinweis: Der Kommissionierbedarf lässt sich nicht abschließen, solange </w:t>
      </w:r>
      <w:r>
        <w:rPr>
          <w:rFonts w:ascii="Consolas" w:hAnsi="Consolas" w:cs="Consolas" w:eastAsia="Consolas"/>
          <w:sz w:val="18"/>
        </w:rPr>
        <w:t>LU4711</w:t>
      </w:r>
      <w:r>
        <w:t xml:space="preserve"> im SSI LOGIMAT liegt. Bestehen noch Kommissionierreservierungen für Artikel der LE, ist die Rücklagerung nicht möglich.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Nach dem Wareneingang: LM045 → </w:t>
      </w:r>
      <w:r>
        <w:rPr>
          <w:rFonts w:ascii="Consolas" w:hAnsi="Consolas" w:cs="Consolas" w:eastAsia="Consolas"/>
          <w:sz w:val="18"/>
        </w:rPr>
        <w:t>LU4711</w:t>
      </w:r>
      <w:r>
        <w:t xml:space="preserve"> → </w:t>
      </w:r>
      <w:r>
        <w:rPr>
          <w:b/>
        </w:rPr>
        <w:t>LE für Auslagerung kennzeichnen</w:t>
      </w:r>
      <w:r>
        <w:t>. Bei Aktivierung der Tablaranforderung zeigt WAMAS LE-ID und Abgabeplatz.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Nach Entnahme wird das Boxlayout entfernt und die LE auf den Kommissionierplatz gebucht; Kommissionierung fortsetzen und abschließen.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6.7.1.3–6.7.1.4 (S. 150–151); Werte konstruiert</w:t>
      </w:r>
    </w:p>
    <w:p>
      <w:pPr>
        <w:pStyle w:val="Heading1"/>
      </w:pPr>
      <w:r>
        <w:t>13 Dokumentationslücken und offene Fragen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Offene Punkte aus der Recherche</w:t>
            </w:r>
          </w:p>
          <w:p>
            <w:pPr>
              <w:spacing w:after="40"/>
            </w:pPr>
            <w:r>
              <w:rPr>
                <w:sz w:val="19"/>
              </w:rPr>
              <w:t>1. Spaltenaufbau der CSV für den Import externer Lagerplätze (LM125) und der Bestands-CSV (LM127) ist nicht dokumentiert.</w:t>
            </w:r>
          </w:p>
          <w:p>
            <w:pPr>
              <w:spacing w:after="40"/>
            </w:pPr>
            <w:r>
              <w:rPr>
                <w:sz w:val="19"/>
              </w:rPr>
              <w:t>2. Zusammenspiel von Gruppen- und Platzreihenfolge bei Einlagerung und Kommissionierung ist nicht beschrieben.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3. </w:t>
            </w:r>
            <w:r>
              <w:rPr>
                <w:rFonts w:ascii="Consolas" w:hAnsi="Consolas" w:cs="Consolas" w:eastAsia="Consolas"/>
                <w:sz w:val="17"/>
              </w:rPr>
              <w:t>logimat.picking.externalloc.reserve</w:t>
            </w:r>
            <w:r>
              <w:rPr>
                <w:sz w:val="19"/>
              </w:rPr>
              <w:t>: kleine Aufträge oder Express-Bedarfe? Und steuert er die freien Plätze am Kommissionierwagen?</w:t>
            </w:r>
          </w:p>
          <w:p>
            <w:pPr>
              <w:spacing w:after="40"/>
            </w:pPr>
            <w:r>
              <w:rPr>
                <w:sz w:val="19"/>
              </w:rPr>
              <w:t>4. Abgrenzung Zielplatz (LM088) und externer Lagerplatz (LM124) im Datenmodell, z. B. ob Zielplätze Bestand externer Artikel aufnehmen dürfen, ist nicht klar beschrieben.</w:t>
            </w:r>
          </w:p>
          <w:p>
            <w:pPr>
              <w:spacing w:after="40"/>
            </w:pPr>
            <w:r>
              <w:rPr>
                <w:sz w:val="19"/>
              </w:rPr>
              <w:t>5. In 2.7 gibt es keinen dokumentierten Nachschub externes Lager ↔ SSI LOGIMAT (erst 2.8, LM175).</w:t>
            </w:r>
          </w:p>
          <w:p>
            <w:pPr>
              <w:spacing w:after="40"/>
            </w:pPr>
            <w:r>
              <w:rPr>
                <w:sz w:val="19"/>
              </w:rPr>
              <w:t>6. Berechtigungen für die Mobil-Tätigkeiten (Zugriffstasks je Tätigkeit) sind nicht einzeln aufgeführt.</w:t>
            </w:r>
          </w:p>
        </w:tc>
      </w:tr>
    </w:tbl>
    <w:p>
      <w:pPr>
        <w:spacing w:after="40"/>
      </w:pPr>
    </w:p>
    <w:p>
      <w:pPr>
        <w:pStyle w:val="Heading1"/>
      </w:pPr>
      <w:r>
        <w:t>14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62"/>
        <w:gridCol w:w="4191"/>
        <w:gridCol w:w="4572"/>
      </w:tblGrid>
      <w:tr>
        <w:trPr>
          <w:tblHeader w:val="true"/>
        </w:trPr>
        <w:tc>
          <w:tcPr>
            <w:tcW w:type="dxa" w:w="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4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Verwendete Kapitel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AH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WAMAS.LS_2.7_man.administrator_V01.0_deDE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3.1.10–3.1.17, 3.3.4.4, 3.4.2, 3.6.1.5, 3.6.1.10–3.6.1.11, 3.6.3.7, 3.11.2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BH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WAMAS.LS_2.7_man.user_V01.0_deDE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4.1, 5.4, 5.5, 6.3, 6.7.1, 6.8.1.3, 6.8.2.2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IH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WAMAS.LS_2.7_man.installation_V01.1_enUS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6.7 Global parameters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SH ERP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WAMAS.LS_2.7_man.interface.wls.erp_V01.0_enUS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5.1.2.1 WLSITEM001 (</w:t>
            </w:r>
            <w:r>
              <w:rPr>
                <w:rFonts w:ascii="Consolas" w:hAnsi="Consolas" w:cs="Consolas" w:eastAsia="Consolas"/>
                <w:sz w:val="15"/>
              </w:rPr>
              <w:t>externalItem</w:t>
            </w:r>
            <w:r>
              <w:rPr>
                <w:sz w:val="17"/>
              </w:rPr>
              <w:t>), 6.1.2.1 WLSSD001 (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AH 2.8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WAMAS.LS_2.8 Administrator Manual (enUS)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3.1.11 Replenishment, 3.1.12–3.1.16 (Abgleich)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BH 2.8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WAMAS.LS_2.8 User Manual (enUS)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6.2.4 Preparing Replenishment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BH R2.4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man_user_WAMAS_LogiMat_R2.4_V5.0_ger „Externe Lagerung“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3.1, 4.3, 4.4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SCH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 LogiMat Consultant Training Part 1 (12.01.2024)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Boxes &amp; Locations, Global parameters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CSV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Import_ExternalLocation_NK_FORUM_example.csv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Ganze Datei</w:t>
            </w:r>
          </w:p>
        </w:tc>
      </w:tr>
    </w:tbl>
    <w:p>
      <w:pPr>
        <w:pStyle w:val="BeschriftungSSI"/>
      </w:pPr>
      <w:r>
        <w:t>Tab. 12: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86"/>
        <w:gridCol w:w="7739"/>
      </w:tblGrid>
      <w:tr>
        <w:trPr>
          <w:tblHeader w:val="true"/>
        </w:trPr>
        <w:tc>
          <w:tcPr>
            <w:tcW w:type="dxa" w:w="17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7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BME / LME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 / Lagermengeneinheit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LE / LP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/ Lagerplatz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PTL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WMS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Warehouse Management System</w:t>
            </w:r>
          </w:p>
        </w:tc>
      </w:tr>
    </w:tbl>
    <w:p>
      <w:pPr>
        <w:pStyle w:val="BeschriftungSSI"/>
      </w:pPr>
      <w:r>
        <w:t>Tab. 13: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Externe Lagerprozesse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Externe Lagerprozesse</dc:title>
  <dc:subject>Externe Lagerplätze, Zielplätze und externe Ladeeinheiten einrichten und bedienen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