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drawing>
          <wp:anchor distT="0" distB="0" distL="0" distR="0" simplePos="0" relativeHeight="251658341" behindDoc="1" locked="0" layoutInCell="1" allowOverlap="1">
            <wp:simplePos x="0" y="0"/>
            <wp:positionH relativeFrom="page">
              <wp:posOffset>0</wp:posOffset>
            </wp:positionH>
            <wp:positionV relativeFrom="page">
              <wp:posOffset>0</wp:posOffset>
            </wp:positionV>
            <wp:extent cx="7560000" cy="10692000"/>
            <wp:effectExtent l="0" t="0" r="0" b="0"/>
            <wp:wrapNone/>
            <wp:docPr id="101" name="Bild 101"/>
            <wp:cNvGraphicFramePr/>
            <a:graphic xmlns:a="http://schemas.openxmlformats.org/drawingml/2006/main" xmlns:pic="http://schemas.openxmlformats.org/drawingml/2006/picture">
              <a:graphicData uri="http://schemas.openxmlformats.org/drawingml/2006/picture">
                <pic:pic>
                  <pic:nvPicPr>
                    <pic:cNvPr id="0" name="logimat_titelfoto.jpg"/>
                    <pic:cNvPicPr/>
                  </pic:nvPicPr>
                  <pic:blipFill>
                    <a:blip r:embed="rId9"/>
                    <a:stretch>
                      <a:fillRect/>
                    </a:stretch>
                  </pic:blipFill>
                  <pic:spPr>
                    <a:xfrm>
                      <a:off x="0" y="0"/>
                      <a:ext cx="7560000" cy="10692000"/>
                    </a:xfrm>
                    <a:prstGeom prst="rect"/>
                  </pic:spPr>
                </pic:pic>
              </a:graphicData>
            </a:graphic>
          </wp:anchor>
        </w:drawing>
      </w:r>
      <w:r>
        <w:drawing>
          <wp:anchor distT="0" distB="0" distL="0" distR="0" simplePos="0" relativeHeight="251658342" behindDoc="0" locked="0" layoutInCell="1" allowOverlap="1">
            <wp:simplePos x="0" y="0"/>
            <wp:positionH relativeFrom="page">
              <wp:posOffset>2736000</wp:posOffset>
            </wp:positionH>
            <wp:positionV relativeFrom="page">
              <wp:posOffset>9846000</wp:posOffset>
            </wp:positionV>
            <wp:extent cx="1655999" cy="246394"/>
            <wp:effectExtent l="0" t="0" r="0" b="0"/>
            <wp:wrapNone/>
            <wp:docPr id="102" name="Bild 102"/>
            <wp:cNvGraphicFramePr/>
            <a:graphic xmlns:a="http://schemas.openxmlformats.org/drawingml/2006/main" xmlns:pic="http://schemas.openxmlformats.org/drawingml/2006/picture">
              <a:graphicData uri="http://schemas.openxmlformats.org/drawingml/2006/picture">
                <pic:pic>
                  <pic:nvPicPr>
                    <pic:cNvPr id="0" name="wamas_logo.png"/>
                    <pic:cNvPicPr/>
                  </pic:nvPicPr>
                  <pic:blipFill>
                    <a:blip r:embed="rId10"/>
                    <a:stretch>
                      <a:fillRect/>
                    </a:stretch>
                  </pic:blipFill>
                  <pic:spPr>
                    <a:xfrm>
                      <a:off x="0" y="0"/>
                      <a:ext cx="1655999" cy="246394"/>
                    </a:xfrm>
                    <a:prstGeom prst="rect"/>
                  </pic:spPr>
                </pic:pic>
              </a:graphicData>
            </a:graphic>
          </wp:anchor>
        </w:drawing>
      </w:r>
      <w:r>
        <w:drawing>
          <wp:anchor distT="0" distB="0" distL="0" distR="0" simplePos="0" relativeHeight="251658343" behindDoc="0" locked="0" layoutInCell="1" allowOverlap="1">
            <wp:simplePos x="0" y="0"/>
            <wp:positionH relativeFrom="page">
              <wp:posOffset>4680000</wp:posOffset>
            </wp:positionH>
            <wp:positionV relativeFrom="page">
              <wp:posOffset>9576000</wp:posOffset>
            </wp:positionV>
            <wp:extent cx="2376000" cy="508527"/>
            <wp:effectExtent l="0" t="0" r="0" b="0"/>
            <wp:wrapNone/>
            <wp:docPr id="103" name="Bild 103"/>
            <wp:cNvGraphicFramePr/>
            <a:graphic xmlns:a="http://schemas.openxmlformats.org/drawingml/2006/main" xmlns:pic="http://schemas.openxmlformats.org/drawingml/2006/picture">
              <a:graphicData uri="http://schemas.openxmlformats.org/drawingml/2006/picture">
                <pic:pic>
                  <pic:nvPicPr>
                    <pic:cNvPr id="0" name="ssi_logo.png"/>
                    <pic:cNvPicPr/>
                  </pic:nvPicPr>
                  <pic:blipFill>
                    <a:blip r:embed="rId11"/>
                    <a:stretch>
                      <a:fillRect/>
                    </a:stretch>
                  </pic:blipFill>
                  <pic:spPr>
                    <a:xfrm>
                      <a:off x="0" y="0"/>
                      <a:ext cx="2376000" cy="508527"/>
                    </a:xfrm>
                    <a:prstGeom prst="rect"/>
                  </pic:spPr>
                </pic:pic>
              </a:graphicData>
            </a:graphic>
          </wp:anchor>
        </w:drawing>
      </w:r>
    </w:p>
    <w:p>
      <w:pPr>
        <w:spacing w:after="0"/>
      </w:pPr>
    </w:p>
    <w:tbl>
      <w:tblPr>
        <w:tblLook w:firstColumn="1" w:firstRow="1" w:lastColumn="0" w:lastRow="0" w:noHBand="0" w:noVBand="1" w:val="04A0"/>
        <w:tblW w:w="7938" w:type="dxa"/>
        <w:tblLayout w:type="fixed"/>
      </w:tblPr>
      <w:tblGrid>
        <w:gridCol w:w="7938"/>
      </w:tblGrid>
      <w:tr>
        <w:tc>
          <w:tcPr>
            <w:tcW w:type="dxa" w:w="7937"/>
            <w:shd w:val="clear" w:color="auto" w:fill="FEEE19"/>
            <w:tcMar>
              <w:top w:w="300" w:type="dxa"/>
              <w:bottom w:w="300" w:type="dxa"/>
              <w:start w:w="300" w:type="dxa"/>
              <w:end w:w="300" w:type="dxa"/>
              <w:left w:w="300" w:type="dxa"/>
              <w:right w:w="300" w:type="dxa"/>
            </w:tcMar>
          </w:tcPr>
          <w:p>
            <w:pPr>
              <w:spacing w:after="360"/>
            </w:pPr>
            <w:r>
              <w:rPr>
                <w:b w:val="0"/>
                <w:sz w:val="40"/>
              </w:rPr>
              <w:t>How-to-Handbuch</w:t>
            </w:r>
          </w:p>
          <w:p>
            <w:pPr>
              <w:spacing w:after="120"/>
            </w:pPr>
            <w:r>
              <w:rPr>
                <w:b/>
                <w:sz w:val="48"/>
              </w:rPr>
              <w:t>Einlager-, Auslager- und Kommissionierstrategien</w:t>
            </w:r>
          </w:p>
          <w:p>
            <w:pPr>
              <w:spacing w:after="360"/>
            </w:pPr>
            <w:r>
              <w:rPr>
                <w:b w:val="0"/>
                <w:sz w:val="32"/>
              </w:rPr>
              <w:t>WAMAS Lift &amp; Store 2.7</w:t>
            </w:r>
          </w:p>
          <w:p>
            <w:pPr>
              <w:spacing w:after="0"/>
            </w:pPr>
            <w:r>
              <w:rPr>
                <w:b w:val="0"/>
                <w:sz w:val="22"/>
              </w:rPr>
              <w:t>Standard  ·  Deutsch (de-DE)</w:t>
            </w:r>
          </w:p>
        </w:tc>
      </w:tr>
    </w:tbl>
    <w:tbl>
      <w:tblPr>
        <w:tblLook w:firstColumn="1" w:firstRow="1" w:lastColumn="0" w:lastRow="0" w:noHBand="0" w:noVBand="1" w:val="04A0"/>
        <w:tblW w:w="7938" w:type="dxa"/>
        <w:tblLayout w:type="fixed"/>
      </w:tblPr>
      <w:tblGrid>
        <w:gridCol w:w="7938"/>
      </w:tblGrid>
      <w:tr>
        <w:tc>
          <w:tcPr>
            <w:tcW w:type="dxa" w:w="7937"/>
            <w:shd w:val="clear" w:color="auto" w:fill="FFFFFF"/>
            <w:tcMar>
              <w:top w:w="200" w:type="dxa"/>
              <w:bottom w:w="400" w:type="dxa"/>
              <w:start w:w="300" w:type="dxa"/>
              <w:end w:w="300" w:type="dxa"/>
              <w:left w:w="300" w:type="dxa"/>
              <w:right w:w="300" w:type="dxa"/>
            </w:tcMar>
          </w:tcPr>
          <w:p>
            <w:pPr>
              <w:spacing w:after="80"/>
            </w:pPr>
            <w:r>
              <w:rPr>
                <w:b w:val="0"/>
                <w:sz w:val="21"/>
              </w:rPr>
              <w:t>Alle Strategien und Parameter in WAMAS Lift &amp; Store – Wirkung, Konfiguration, Beispiele</w:t>
            </w:r>
          </w:p>
          <w:p>
            <w:pPr>
              <w:spacing w:after="0"/>
            </w:pPr>
            <w:r>
              <w:rPr>
                <w:b w:val="0"/>
                <w:color w:val="555555"/>
                <w:sz w:val="18"/>
              </w:rPr>
              <w:t>SSI SCHÄFER</w:t>
            </w:r>
          </w:p>
        </w:tc>
      </w:tr>
    </w:tbl>
    <w:p>
      <w:pPr>
        <w:spacing w:before="8617"/>
      </w:pPr>
      <w:r>
        <w:rPr>
          <w:sz w:val="18"/>
        </w:rPr>
        <w:t>V 1.0  ·  14.10.2026</w:t>
        <w:br w:type="page"/>
      </w:r>
    </w:p>
    <w:p>
      <w:r>
        <w:rPr>
          <w:b/>
          <w:sz w:val="28"/>
        </w:rPr>
        <w:t>Inhaltsverzeichnis</w:t>
      </w:r>
    </w:p>
    <w:p/>
    <w:p>
      <w:pPr>
        <w:pStyle w:val="TOC1"/>
        <w:tabs>
          <w:tab w:pos="9524" w:val="right" w:leader="dot"/>
        </w:tabs>
      </w:pPr>
      <w:r>
        <w:fldChar w:fldCharType="begin"/>
      </w:r>
      <w:r>
        <w:instrText xml:space="preserve"> TOC \o "1-2" \h \z \u </w:instrText>
      </w:r>
      <w:r>
        <w:fldChar w:fldCharType="separate"/>
      </w:r>
      <w:r>
        <w:t>1 Über dieses Dokument</w:t>
        <w:tab/>
        <w:t>5</w:t>
      </w:r>
    </w:p>
    <w:p>
      <w:pPr>
        <w:pStyle w:val="TOC2"/>
        <w:tabs>
          <w:tab w:pos="9524" w:val="right" w:leader="dot"/>
        </w:tabs>
      </w:pPr>
      <w:r>
        <w:t>1.1 Zweck</w:t>
        <w:tab/>
        <w:t>5</w:t>
      </w:r>
    </w:p>
    <w:p>
      <w:pPr>
        <w:pStyle w:val="TOC2"/>
        <w:tabs>
          <w:tab w:pos="9524" w:val="right" w:leader="dot"/>
        </w:tabs>
      </w:pPr>
      <w:r>
        <w:t>1.2 Lesehinweise</w:t>
        <w:tab/>
        <w:t>5</w:t>
      </w:r>
    </w:p>
    <w:p>
      <w:pPr>
        <w:pStyle w:val="TOC2"/>
        <w:tabs>
          <w:tab w:pos="9524" w:val="right" w:leader="dot"/>
        </w:tabs>
      </w:pPr>
      <w:r>
        <w:t>1.3 Begriffsklärung FIFO, LIFO, FEFO</w:t>
        <w:tab/>
        <w:t>5</w:t>
      </w:r>
    </w:p>
    <w:p>
      <w:pPr>
        <w:pStyle w:val="TOC2"/>
        <w:tabs>
          <w:tab w:pos="9524" w:val="right" w:leader="dot"/>
        </w:tabs>
      </w:pPr>
      <w:r>
        <w:t>1.4 Dokumentinformationen</w:t>
        <w:tab/>
        <w:t>5</w:t>
      </w:r>
    </w:p>
    <w:p>
      <w:pPr>
        <w:pStyle w:val="TOC1"/>
        <w:tabs>
          <w:tab w:pos="9524" w:val="right" w:leader="dot"/>
        </w:tabs>
      </w:pPr>
      <w:r>
        <w:t>2 Gesamtbild: Wo fällt welche Entscheidung?</w:t>
        <w:tab/>
        <w:t>6</w:t>
      </w:r>
    </w:p>
    <w:p>
      <w:pPr>
        <w:pStyle w:val="TOC2"/>
        <w:tabs>
          <w:tab w:pos="9524" w:val="right" w:leader="dot"/>
        </w:tabs>
      </w:pPr>
      <w:r>
        <w:t>2.1 Entscheidungsebenen</w:t>
        <w:tab/>
        <w:t>6</w:t>
      </w:r>
    </w:p>
    <w:p>
      <w:pPr>
        <w:pStyle w:val="TOC2"/>
        <w:tabs>
          <w:tab w:pos="9524" w:val="right" w:leader="dot"/>
        </w:tabs>
      </w:pPr>
      <w:r>
        <w:t>2.2 Abgleich mit Version 2.8</w:t>
        <w:tab/>
        <w:t>6</w:t>
      </w:r>
    </w:p>
    <w:p>
      <w:pPr>
        <w:pStyle w:val="TOC1"/>
        <w:tabs>
          <w:tab w:pos="9524" w:val="right" w:leader="dot"/>
        </w:tabs>
      </w:pPr>
      <w:r>
        <w:t>3 Einlagerstrategien (Lagerreservierungsstrategien)</w:t>
        <w:tab/>
        <w:t>7</w:t>
      </w:r>
    </w:p>
    <w:p>
      <w:pPr>
        <w:pStyle w:val="TOC2"/>
        <w:tabs>
          <w:tab w:pos="9524" w:val="right" w:leader="dot"/>
        </w:tabs>
      </w:pPr>
      <w:r>
        <w:t>3.1 Ermittlung der gültigen Strategie</w:t>
        <w:tab/>
        <w:t>7</w:t>
      </w:r>
    </w:p>
    <w:p>
      <w:pPr>
        <w:pStyle w:val="TOC2"/>
        <w:tabs>
          <w:tab w:pos="9524" w:val="right" w:leader="dot"/>
        </w:tabs>
      </w:pPr>
      <w:r>
        <w:t>3.2 Strategien für SSI LOGIMAT</w:t>
        <w:tab/>
        <w:t>7</w:t>
      </w:r>
    </w:p>
    <w:p>
      <w:pPr>
        <w:pStyle w:val="TOC2"/>
        <w:tabs>
          <w:tab w:pos="9524" w:val="right" w:leader="dot"/>
        </w:tabs>
      </w:pPr>
      <w:r>
        <w:t>3.3 Strategien für externe Lagerplätze</w:t>
        <w:tab/>
        <w:t>8</w:t>
      </w:r>
    </w:p>
    <w:p>
      <w:pPr>
        <w:pStyle w:val="TOC2"/>
        <w:tabs>
          <w:tab w:pos="9524" w:val="right" w:leader="dot"/>
        </w:tabs>
      </w:pPr>
      <w:r>
        <w:t>3.4 Eigene Strategien und ABC-Strategie (LM145)</w:t>
        <w:tab/>
        <w:t>8</w:t>
      </w:r>
    </w:p>
    <w:p>
      <w:pPr>
        <w:pStyle w:val="TOC2"/>
        <w:tabs>
          <w:tab w:pos="9524" w:val="right" w:leader="dot"/>
        </w:tabs>
      </w:pPr>
      <w:r>
        <w:t>3.5 Woher kommt der ABC-Wert?</w:t>
        <w:tab/>
        <w:t>9</w:t>
      </w:r>
    </w:p>
    <w:p>
      <w:pPr>
        <w:pStyle w:val="TOC1"/>
        <w:tabs>
          <w:tab w:pos="9524" w:val="right" w:leader="dot"/>
        </w:tabs>
      </w:pPr>
      <w:r>
        <w:t>4 Einflussgrößen der Einlagerung: Boxen, Kapazität, Einschränkungen</w:t>
        <w:tab/>
      </w:r>
    </w:p>
    <w:p>
      <w:pPr>
        <w:pStyle w:val="TOC2"/>
        <w:tabs>
          <w:tab w:pos="9524" w:val="right" w:leader="dot"/>
        </w:tabs>
      </w:pPr>
      <w:r>
        <w:t>4.1 Artikel-zu-Box-Zuordnung und Zuordnungsmodus</w:t>
        <w:tab/>
        <w:t>10</w:t>
      </w:r>
    </w:p>
    <w:p>
      <w:pPr>
        <w:pStyle w:val="TOC2"/>
        <w:tabs>
          <w:tab w:pos="9524" w:val="right" w:leader="dot"/>
        </w:tabs>
      </w:pPr>
      <w:r>
        <w:t>4.2 Boxtypen, Boxtyp-Zuordnungen und Füllgrad</w:t>
        <w:tab/>
        <w:t>10</w:t>
      </w:r>
    </w:p>
    <w:p>
      <w:pPr>
        <w:pStyle w:val="TOC2"/>
        <w:tabs>
          <w:tab w:pos="9524" w:val="right" w:leader="dot"/>
        </w:tabs>
      </w:pPr>
      <w:r>
        <w:t>4.3 Einschränkungen bei der Platzwahl</w:t>
        <w:tab/>
        <w:t>11</w:t>
      </w:r>
    </w:p>
    <w:p>
      <w:pPr>
        <w:pStyle w:val="TOC1"/>
        <w:tabs>
          <w:tab w:pos="9524" w:val="right" w:leader="dot"/>
        </w:tabs>
      </w:pPr>
      <w:r>
        <w:t>5 Bestandshomogenität</w:t>
        <w:tab/>
        <w:t>12</w:t>
      </w:r>
    </w:p>
    <w:p>
      <w:pPr>
        <w:pStyle w:val="TOC2"/>
        <w:tabs>
          <w:tab w:pos="9524" w:val="right" w:leader="dot"/>
        </w:tabs>
      </w:pPr>
      <w:r>
        <w:t>5.1 Homogenitätstyp definieren (SM041)</w:t>
        <w:tab/>
        <w:t>12</w:t>
      </w:r>
    </w:p>
    <w:p>
      <w:pPr>
        <w:pStyle w:val="TOC2"/>
        <w:tabs>
          <w:tab w:pos="9524" w:val="right" w:leader="dot"/>
        </w:tabs>
      </w:pPr>
      <w:r>
        <w:t>5.2 Homogenität zuordnen (SM042) und aktivieren</w:t>
        <w:tab/>
        <w:t>12</w:t>
      </w:r>
    </w:p>
    <w:p>
      <w:pPr>
        <w:pStyle w:val="TOC1"/>
        <w:tabs>
          <w:tab w:pos="9524" w:val="right" w:leader="dot"/>
        </w:tabs>
      </w:pPr>
      <w:r>
        <w:t>6 Auslager- und Kommissionierstrategien</w:t>
        <w:tab/>
        <w:t>13</w:t>
      </w:r>
    </w:p>
    <w:p>
      <w:pPr>
        <w:pStyle w:val="TOC2"/>
        <w:tabs>
          <w:tab w:pos="9524" w:val="right" w:leader="dot"/>
        </w:tabs>
      </w:pPr>
      <w:r>
        <w:t>6.1 Reservierungsstrategie am Kommissionierbedarfstyp</w:t>
        <w:tab/>
        <w:t>13</w:t>
      </w:r>
    </w:p>
    <w:p>
      <w:pPr>
        <w:pStyle w:val="TOC2"/>
        <w:tabs>
          <w:tab w:pos="9524" w:val="right" w:leader="dot"/>
        </w:tabs>
      </w:pPr>
      <w:r>
        <w:t>6.2 FIFO und LIFO: Zeitzugriffsmodus</w:t>
        <w:tab/>
        <w:t>13</w:t>
      </w:r>
    </w:p>
    <w:p>
      <w:pPr>
        <w:pStyle w:val="TOC2"/>
        <w:tabs>
          <w:tab w:pos="9524" w:val="right" w:leader="dot"/>
        </w:tabs>
      </w:pPr>
      <w:r>
        <w:t>6.3 Zeitbezogener Zugriff und Gleichwertigkeitsdauer</w:t>
        <w:tab/>
        <w:t>13</w:t>
      </w:r>
    </w:p>
    <w:p>
      <w:pPr>
        <w:pStyle w:val="TOC2"/>
        <w:tabs>
          <w:tab w:pos="9524" w:val="right" w:leader="dot"/>
        </w:tabs>
      </w:pPr>
      <w:r>
        <w:t>6.4 MHD- und Produktionsdatum-Regeln: Bestandsauswahlmodus (FEFO-Baustein)</w:t>
        <w:tab/>
      </w:r>
    </w:p>
    <w:p>
      <w:pPr>
        <w:pStyle w:val="TOC2"/>
        <w:tabs>
          <w:tab w:pos="9524" w:val="right" w:leader="dot"/>
        </w:tabs>
      </w:pPr>
      <w:r>
        <w:t>6.5 ABIA-Zugriffsmodus: mild oder streng</w:t>
        <w:tab/>
        <w:t>15</w:t>
      </w:r>
    </w:p>
    <w:p>
      <w:pPr>
        <w:pStyle w:val="TOC2"/>
        <w:tabs>
          <w:tab w:pos="9524" w:val="right" w:leader="dot"/>
        </w:tabs>
      </w:pPr>
      <w:r>
        <w:t>6.6 Weitere Kommissionier-Einstellungen am Bedarfstyp</w:t>
        <w:tab/>
        <w:t>15</w:t>
      </w:r>
    </w:p>
    <w:p>
      <w:pPr>
        <w:pStyle w:val="TOC2"/>
        <w:tabs>
          <w:tab w:pos="9524" w:val="right" w:leader="dot"/>
        </w:tabs>
      </w:pPr>
      <w:r>
        <w:t>6.7 Milde Bestandsobjektsuche (WCS-Szenario)</w:t>
        <w:tab/>
        <w:t>16</w:t>
      </w:r>
    </w:p>
    <w:p>
      <w:pPr>
        <w:pStyle w:val="TOC1"/>
        <w:tabs>
          <w:tab w:pos="9524" w:val="right" w:leader="dot"/>
        </w:tabs>
      </w:pPr>
      <w:r>
        <w:t>7 Tablar-, LOGIMAT- und Zonenauswahl, Ausführungssteuerung</w:t>
        <w:tab/>
      </w:r>
    </w:p>
    <w:p>
      <w:pPr>
        <w:pStyle w:val="TOC2"/>
        <w:tabs>
          <w:tab w:pos="9524" w:val="right" w:leader="dot"/>
        </w:tabs>
      </w:pPr>
      <w:r>
        <w:t>7.1 Zone</w:t>
        <w:tab/>
        <w:t>17</w:t>
      </w:r>
    </w:p>
    <w:p>
      <w:pPr>
        <w:pStyle w:val="TOC2"/>
        <w:tabs>
          <w:tab w:pos="9524" w:val="right" w:leader="dot"/>
        </w:tabs>
      </w:pPr>
      <w:r>
        <w:t>7.2 Manuelle Tablarsuche</w:t>
        <w:tab/>
        <w:t>17</w:t>
      </w:r>
    </w:p>
    <w:p>
      <w:pPr>
        <w:pStyle w:val="TOC2"/>
        <w:tabs>
          <w:tab w:pos="9524" w:val="right" w:leader="dot"/>
        </w:tabs>
      </w:pPr>
      <w:r>
        <w:t>7.3 Priorität und Zuteilung von Tablaranforderungen</w:t>
        <w:tab/>
        <w:t>17</w:t>
      </w:r>
    </w:p>
    <w:p>
      <w:pPr>
        <w:pStyle w:val="TOC2"/>
        <w:tabs>
          <w:tab w:pos="9524" w:val="right" w:leader="dot"/>
        </w:tabs>
      </w:pPr>
      <w:r>
        <w:t>7.4 Freigabe, Aktivierung, Abschluss und Benutzerwahl</w:t>
        <w:tab/>
        <w:t>18</w:t>
      </w:r>
    </w:p>
    <w:p>
      <w:pPr>
        <w:pStyle w:val="TOC1"/>
        <w:tabs>
          <w:tab w:pos="9524" w:val="right" w:leader="dot"/>
        </w:tabs>
      </w:pPr>
      <w:r>
        <w:t>8 Konsolidierung</w:t>
        <w:tab/>
        <w:t>19</w:t>
      </w:r>
    </w:p>
    <w:p>
      <w:pPr>
        <w:pStyle w:val="TOC2"/>
        <w:tabs>
          <w:tab w:pos="9524" w:val="right" w:leader="dot"/>
        </w:tabs>
      </w:pPr>
      <w:r>
        <w:t>8.1 Boxen am Touch-Client konsolidieren</w:t>
        <w:tab/>
        <w:t>19</w:t>
      </w:r>
    </w:p>
    <w:p>
      <w:pPr>
        <w:pStyle w:val="TOC2"/>
        <w:tabs>
          <w:tab w:pos="9524" w:val="right" w:leader="dot"/>
        </w:tabs>
      </w:pPr>
      <w:r>
        <w:t>8.2 Konsolidierung durch Einstellungen</w:t>
        <w:tab/>
        <w:t>19</w:t>
      </w:r>
    </w:p>
    <w:p>
      <w:pPr>
        <w:pStyle w:val="TOC1"/>
        <w:tabs>
          <w:tab w:pos="9524" w:val="right" w:leader="dot"/>
        </w:tabs>
      </w:pPr>
      <w:r>
        <w:t>9 Strategien der WMS-Ebene (Lagerstandort)</w:t>
        <w:tab/>
        <w:t>20</w:t>
      </w:r>
    </w:p>
    <w:p>
      <w:pPr>
        <w:pStyle w:val="TOC1"/>
        <w:tabs>
          <w:tab w:pos="9524" w:val="right" w:leader="dot"/>
        </w:tabs>
      </w:pPr>
      <w:r>
        <w:t>10 Vergleichstabelle</w:t>
        <w:tab/>
        <w:t>21</w:t>
      </w:r>
    </w:p>
    <w:p>
      <w:pPr>
        <w:pStyle w:val="TOC2"/>
        <w:tabs>
          <w:tab w:pos="9524" w:val="right" w:leader="dot"/>
        </w:tabs>
      </w:pPr>
      <w:r>
        <w:t>10.1 Einlagerung</w:t>
        <w:tab/>
        <w:t>21</w:t>
      </w:r>
    </w:p>
    <w:p>
      <w:pPr>
        <w:pStyle w:val="TOC2"/>
        <w:tabs>
          <w:tab w:pos="9524" w:val="right" w:leader="dot"/>
        </w:tabs>
      </w:pPr>
      <w:r>
        <w:t>10.2 Auslagerung und Kommissionierung</w:t>
        <w:tab/>
        <w:t>21</w:t>
      </w:r>
    </w:p>
    <w:p>
      <w:pPr>
        <w:pStyle w:val="TOC1"/>
        <w:tabs>
          <w:tab w:pos="9524" w:val="right" w:leader="dot"/>
        </w:tabs>
      </w:pPr>
      <w:r>
        <w:t>11 Stolperfallen</w:t>
        <w:tab/>
        <w:t>22</w:t>
      </w:r>
    </w:p>
    <w:p>
      <w:pPr>
        <w:pStyle w:val="TOC1"/>
        <w:tabs>
          <w:tab w:pos="9524" w:val="right" w:leader="dot"/>
        </w:tabs>
      </w:pPr>
      <w:r>
        <w:t>12 Praxisbeispiele</w:t>
        <w:tab/>
        <w:t>23</w:t>
      </w:r>
    </w:p>
    <w:p>
      <w:pPr>
        <w:pStyle w:val="TOC2"/>
        <w:tabs>
          <w:tab w:pos="9524" w:val="right" w:leader="dot"/>
        </w:tabs>
      </w:pPr>
      <w:r>
        <w:t>12.1 MHD-gesteuerte Auslagerung (FEFO-nah) für einen Lebensmittel-Klienten</w:t>
        <w:tab/>
        <w:t>23</w:t>
      </w:r>
    </w:p>
    <w:p>
      <w:pPr>
        <w:pStyle w:val="TOC2"/>
        <w:tabs>
          <w:tab w:pos="9524" w:val="right" w:leader="dot"/>
        </w:tabs>
      </w:pPr>
      <w:r>
        <w:t>12.2 Drei SSI LOGIMAT gleichmäßig belegen und Schnelldreher bündeln</w:t>
        <w:tab/>
        <w:t>23</w:t>
      </w:r>
    </w:p>
    <w:p>
      <w:pPr>
        <w:pStyle w:val="TOC1"/>
        <w:tabs>
          <w:tab w:pos="9524" w:val="right" w:leader="dot"/>
        </w:tabs>
      </w:pPr>
      <w:r>
        <w:t>13 Dokumentationslücken und offene Fragen</w:t>
        <w:tab/>
        <w:t>25</w:t>
      </w:r>
    </w:p>
    <w:p>
      <w:pPr>
        <w:pStyle w:val="TOC1"/>
        <w:tabs>
          <w:tab w:pos="9524" w:val="right" w:leader="dot"/>
        </w:tabs>
      </w:pPr>
      <w:r>
        <w:t>14 Quellenverzeichnis</w:t>
        <w:tab/>
        <w:t>26</w:t>
      </w:r>
      <w:r>
        <w:fldChar w:fldCharType="end"/>
      </w:r>
    </w:p>
    <w:p>
      <w:pPr>
        <w:pStyle w:val="Heading1"/>
      </w:pPr>
      <w:r>
        <w:t>1 Über dieses Dokument</w:t>
      </w:r>
    </w:p>
    <w:p>
      <w:pPr>
        <w:pStyle w:val="Heading2"/>
      </w:pPr>
      <w:r>
        <w:t>1.1 Zweck</w:t>
      </w:r>
    </w:p>
    <w:p>
      <w:r>
        <w:t xml:space="preserve">Dieses How-to stellt alle in der Dokumentation von </w:t>
      </w:r>
      <w:r>
        <w:rPr>
          <w:b/>
        </w:rPr>
        <w:t>WAMAS Lift &amp; Store 2.7</w:t>
      </w:r>
      <w:r>
        <w:t xml:space="preserve"> beschriebenen Strategien und Parameter zusammen, mit denen gesteuert wird,</w:t>
      </w:r>
    </w:p>
    <w:p>
      <w:pPr>
        <w:pStyle w:val="ListBullet"/>
      </w:pPr>
      <w:r>
        <w:rPr>
          <w:b/>
        </w:rPr>
        <w:t>wohin</w:t>
      </w:r>
      <w:r>
        <w:t xml:space="preserve"> Ware eingelagert wird (Lagerreservierung: Box, Tablar, SSI LOGIMAT, externer Platz),</w:t>
      </w:r>
    </w:p>
    <w:p>
      <w:pPr>
        <w:pStyle w:val="ListBullet"/>
      </w:pPr>
      <w:r>
        <w:rPr>
          <w:b/>
        </w:rPr>
        <w:t>welcher Bestand</w:t>
      </w:r>
      <w:r>
        <w:t xml:space="preserve"> ausgelagert bzw. kommissioniert wird (Kommissionierreservierung: FIFO, MHD, Charge, ABIA),</w:t>
      </w:r>
    </w:p>
    <w:p>
      <w:pPr>
        <w:pStyle w:val="ListBullet"/>
      </w:pPr>
      <w:r>
        <w:rPr>
          <w:b/>
        </w:rPr>
        <w:t>wann, wo und von wem</w:t>
      </w:r>
      <w:r>
        <w:t xml:space="preserve"> Bedarfe ausgeführt werden (Priorität, Zone, Zugriffsöffnung, Benutzer) und</w:t>
      </w:r>
    </w:p>
    <w:p>
      <w:pPr>
        <w:pStyle w:val="ListBullet"/>
      </w:pPr>
      <w:r>
        <w:t xml:space="preserve">wie Bestände </w:t>
      </w:r>
      <w:r>
        <w:rPr>
          <w:b/>
        </w:rPr>
        <w:t>konsolidiert</w:t>
      </w:r>
      <w:r>
        <w:t xml:space="preserve"> werden.</w:t>
      </w:r>
    </w:p>
    <w:p>
      <w:r>
        <w:t>Zu jeder Strategie werden Funktion, Konfigurationsort, Wirkung und ein Beispiel angegeben. Kapitel 10 enthält eine Vergleichstabelle.</w:t>
      </w:r>
    </w:p>
    <w:p>
      <w:pPr>
        <w:pStyle w:val="Heading2"/>
      </w:pPr>
      <w:r>
        <w:t>1.2 Lesehinweise</w:t>
      </w:r>
    </w:p>
    <w:p>
      <w:pPr>
        <w:pStyle w:val="ListBullet"/>
      </w:pPr>
      <w:r>
        <w:t>Kapitel 2 zeigt das Gesamtbild: welche Entscheidung an welcher Stelle fällt.</w:t>
      </w:r>
    </w:p>
    <w:p>
      <w:pPr>
        <w:pStyle w:val="ListBullet"/>
      </w:pPr>
      <w:r>
        <w:t>Kapitel 3 bis 5 behandeln die Einlagerung, Kapitel 6 die Auslagerung und Kommissionierung, Kapitel 7 die Tablar-, LOGIMAT- und Zonenauswahl, Kapitel 8 die Konsolidierung.</w:t>
      </w:r>
    </w:p>
    <w:p>
      <w:pPr>
        <w:pStyle w:val="ListBullet"/>
      </w:pPr>
      <w:r>
        <w:t>Kapitel 9 fasst die Strategien der WMS-Ebene zusammen (nur relevant, wenn WAMAS weitere Lagerbereiche verwaltet).</w:t>
      </w:r>
    </w:p>
    <w:p>
      <w:pPr>
        <w:pStyle w:val="ListBullet"/>
      </w:pPr>
      <w:r>
        <w:t xml:space="preserve">Beschreibungen sind aus den Handbüchern übernommen und mit Quellen belegt. Beispiele sind, sofern nicht anders angegeben, </w:t>
      </w:r>
      <w:r>
        <w:rPr>
          <w:b/>
        </w:rPr>
        <w:t>konstruiert</w:t>
      </w:r>
      <w:r>
        <w:t xml:space="preserve"> und entsprechend gekennzeichnet.</w:t>
      </w:r>
    </w:p>
    <w:p>
      <w:pPr>
        <w:pStyle w:val="ListBullet"/>
      </w:pPr>
      <w:r>
        <w:t xml:space="preserve">Dialognamen und Werte sind </w:t>
      </w:r>
      <w:r>
        <w:rPr>
          <w:b/>
        </w:rPr>
        <w:t>fett</w:t>
      </w:r>
      <w:r>
        <w:t xml:space="preserve">, Felder, Schnittstellenfelder und Systemparameter in </w:t>
      </w:r>
      <w:r>
        <w:rPr>
          <w:rFonts w:ascii="Consolas" w:hAnsi="Consolas" w:cs="Consolas" w:eastAsia="Consolas"/>
          <w:sz w:val="18"/>
        </w:rPr>
        <w:t>Code</w:t>
      </w:r>
      <w:r>
        <w:t>-Schrift gesetzt.</w:t>
      </w:r>
    </w:p>
    <w:p>
      <w:pPr>
        <w:pStyle w:val="Heading2"/>
      </w:pPr>
      <w:r>
        <w:t>1.3 Begriffsklärung FIFO, LIFO, FEFO</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239"/>
        <w:gridCol w:w="3639"/>
        <w:gridCol w:w="4646"/>
      </w:tblGrid>
      <w:tr>
        <w:trPr>
          <w:tblHeader w:val="true"/>
        </w:trPr>
        <w:tc>
          <w:tcPr>
            <w:tcW w:type="dxa" w:w="1239"/>
            <w:shd w:val="clear" w:color="auto" w:fill="FEEE19"/>
          </w:tcPr>
          <w:p>
            <w:pPr>
              <w:spacing w:after="0"/>
            </w:pPr>
            <w:r>
              <w:rPr>
                <w:b/>
                <w:sz w:val="17"/>
              </w:rPr>
              <w:t>Begriff (Kürzel)</w:t>
            </w:r>
          </w:p>
        </w:tc>
        <w:tc>
          <w:tcPr>
            <w:tcW w:type="dxa" w:w="3639"/>
            <w:shd w:val="clear" w:color="auto" w:fill="FEEE19"/>
          </w:tcPr>
          <w:p>
            <w:pPr>
              <w:spacing w:after="0"/>
            </w:pPr>
            <w:r>
              <w:rPr>
                <w:b/>
                <w:sz w:val="17"/>
              </w:rPr>
              <w:t>Bedeutung</w:t>
            </w:r>
          </w:p>
        </w:tc>
        <w:tc>
          <w:tcPr>
            <w:tcW w:type="dxa" w:w="4646"/>
            <w:shd w:val="clear" w:color="auto" w:fill="FEEE19"/>
          </w:tcPr>
          <w:p>
            <w:pPr>
              <w:spacing w:after="0"/>
            </w:pPr>
            <w:r>
              <w:rPr>
                <w:b/>
                <w:sz w:val="17"/>
              </w:rPr>
              <w:t>In WAMAS Lift &amp; Store abgebildet über</w:t>
            </w:r>
          </w:p>
        </w:tc>
      </w:tr>
      <w:tr>
        <w:tc>
          <w:tcPr>
            <w:tcW w:type="dxa" w:w="1239"/>
          </w:tcPr>
          <w:p>
            <w:pPr>
              <w:spacing w:after="0" w:line="252" w:lineRule="auto"/>
            </w:pPr>
            <w:r>
              <w:rPr>
                <w:sz w:val="17"/>
              </w:rPr>
              <w:t>FIFO</w:t>
            </w:r>
          </w:p>
        </w:tc>
        <w:tc>
          <w:tcPr>
            <w:tcW w:type="dxa" w:w="3639"/>
          </w:tcPr>
          <w:p>
            <w:pPr>
              <w:spacing w:after="0" w:line="252" w:lineRule="auto"/>
            </w:pPr>
            <w:r>
              <w:rPr>
                <w:sz w:val="17"/>
              </w:rPr>
              <w:t>First In – First Out: ältester Bestand zuerst</w:t>
            </w:r>
          </w:p>
        </w:tc>
        <w:tc>
          <w:tcPr>
            <w:tcW w:type="dxa" w:w="4646"/>
          </w:tcPr>
          <w:p>
            <w:pPr>
              <w:spacing w:after="0" w:line="252" w:lineRule="auto"/>
            </w:pPr>
            <w:r>
              <w:rPr>
                <w:b/>
                <w:sz w:val="17"/>
              </w:rPr>
              <w:t>Zeitzugriffsmodus</w:t>
            </w:r>
            <w:r>
              <w:rPr>
                <w:sz w:val="17"/>
              </w:rPr>
              <w:t xml:space="preserve"> am Kommissionierbedarfstyp (nach Erfassungszeit), Sortiermodus FIFO in LM040</w:t>
            </w:r>
          </w:p>
        </w:tc>
      </w:tr>
      <w:tr>
        <w:tc>
          <w:tcPr>
            <w:tcW w:type="dxa" w:w="1239"/>
          </w:tcPr>
          <w:p>
            <w:pPr>
              <w:spacing w:after="0" w:line="252" w:lineRule="auto"/>
            </w:pPr>
            <w:r>
              <w:rPr>
                <w:sz w:val="17"/>
              </w:rPr>
              <w:t>LIFO</w:t>
            </w:r>
          </w:p>
        </w:tc>
        <w:tc>
          <w:tcPr>
            <w:tcW w:type="dxa" w:w="3639"/>
          </w:tcPr>
          <w:p>
            <w:pPr>
              <w:spacing w:after="0" w:line="252" w:lineRule="auto"/>
            </w:pPr>
            <w:r>
              <w:rPr>
                <w:sz w:val="17"/>
              </w:rPr>
              <w:t>Last In – First Out: jüngster Bestand zuerst</w:t>
            </w:r>
          </w:p>
        </w:tc>
        <w:tc>
          <w:tcPr>
            <w:tcW w:type="dxa" w:w="4646"/>
          </w:tcPr>
          <w:p>
            <w:pPr>
              <w:spacing w:after="0" w:line="252" w:lineRule="auto"/>
            </w:pPr>
            <w:r>
              <w:rPr>
                <w:b/>
                <w:sz w:val="17"/>
              </w:rPr>
              <w:t>Zeitzugriffsmodus</w:t>
            </w:r>
            <w:r>
              <w:rPr>
                <w:sz w:val="17"/>
              </w:rPr>
              <w:t xml:space="preserve"> am Kommissionierbedarfstyp</w:t>
            </w:r>
          </w:p>
        </w:tc>
      </w:tr>
      <w:tr>
        <w:tc>
          <w:tcPr>
            <w:tcW w:type="dxa" w:w="1239"/>
          </w:tcPr>
          <w:p>
            <w:pPr>
              <w:spacing w:after="0" w:line="252" w:lineRule="auto"/>
            </w:pPr>
            <w:r>
              <w:rPr>
                <w:sz w:val="17"/>
              </w:rPr>
              <w:t>FEFO</w:t>
            </w:r>
          </w:p>
        </w:tc>
        <w:tc>
          <w:tcPr>
            <w:tcW w:type="dxa" w:w="3639"/>
          </w:tcPr>
          <w:p>
            <w:pPr>
              <w:spacing w:after="0" w:line="252" w:lineRule="auto"/>
            </w:pPr>
            <w:r>
              <w:rPr>
                <w:sz w:val="17"/>
              </w:rPr>
              <w:t>First Expired – First Out: kürzestes MHD zuerst</w:t>
            </w:r>
          </w:p>
        </w:tc>
        <w:tc>
          <w:tcPr>
            <w:tcW w:type="dxa" w:w="4646"/>
          </w:tcPr>
          <w:p>
            <w:pPr>
              <w:spacing w:after="0" w:line="252" w:lineRule="auto"/>
            </w:pPr>
            <w:r>
              <w:rPr>
                <w:sz w:val="17"/>
              </w:rPr>
              <w:t xml:space="preserve">Kein eigener Begriff in den Handbüchern; Bausteine: </w:t>
            </w:r>
            <w:r>
              <w:rPr>
                <w:b/>
                <w:sz w:val="17"/>
              </w:rPr>
              <w:t>Zeitbezogener Zugriffsmodus</w:t>
            </w:r>
            <w:r>
              <w:rPr>
                <w:sz w:val="17"/>
              </w:rPr>
              <w:t xml:space="preserve"> = MHD am Artikel, </w:t>
            </w:r>
            <w:r>
              <w:rPr>
                <w:b/>
                <w:sz w:val="17"/>
              </w:rPr>
              <w:t>Bestandsauswahlmodus</w:t>
            </w:r>
            <w:r>
              <w:rPr>
                <w:sz w:val="17"/>
              </w:rPr>
              <w:t xml:space="preserve"> mit MHD-Regel, MHD in der Bedarfszeile (siehe 6.4)</w:t>
            </w:r>
          </w:p>
        </w:tc>
      </w:tr>
    </w:tbl>
    <w:p>
      <w:pPr>
        <w:pStyle w:val="BeschriftungSSI"/>
      </w:pPr>
      <w:r>
        <w:t>Tab. 1: FIFO, LIFO und FEFO in WAMAS Lift &amp; Store</w:t>
      </w:r>
    </w:p>
    <w:p>
      <w:pPr>
        <w:pStyle w:val="Heading2"/>
      </w:pPr>
      <w:r>
        <w:t>1.4 Dokumentinformationen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268"/>
        <w:gridCol w:w="7257"/>
      </w:tblGrid>
      <w:tr>
        <w:trPr>
          <w:tblHeader w:val="true"/>
        </w:trPr>
        <w:tc>
          <w:tcPr>
            <w:tcW w:type="dxa" w:w="2268"/>
            <w:shd w:val="clear" w:color="auto" w:fill="FEEE19"/>
          </w:tcPr>
          <w:p>
            <w:pPr>
              <w:spacing w:after="0"/>
            </w:pPr>
            <w:r>
              <w:rPr>
                <w:b/>
                <w:sz w:val="17"/>
              </w:rPr>
              <w:t>Merkmal</w:t>
            </w:r>
          </w:p>
        </w:tc>
        <w:tc>
          <w:tcPr>
            <w:tcW w:type="dxa" w:w="7257"/>
            <w:shd w:val="clear" w:color="auto" w:fill="FEEE19"/>
          </w:tcPr>
          <w:p>
            <w:pPr>
              <w:spacing w:after="0"/>
            </w:pPr>
            <w:r>
              <w:rPr>
                <w:b/>
                <w:sz w:val="17"/>
              </w:rPr>
              <w:t>Angabe</w:t>
            </w:r>
          </w:p>
        </w:tc>
      </w:tr>
      <w:tr>
        <w:tc>
          <w:tcPr>
            <w:tcW w:type="dxa" w:w="2268"/>
          </w:tcPr>
          <w:p>
            <w:pPr>
              <w:spacing w:after="0" w:line="252" w:lineRule="auto"/>
            </w:pPr>
            <w:r>
              <w:rPr>
                <w:b/>
                <w:sz w:val="17"/>
              </w:rPr>
              <w:t>Titel</w:t>
            </w:r>
          </w:p>
        </w:tc>
        <w:tc>
          <w:tcPr>
            <w:tcW w:type="dxa" w:w="7257"/>
          </w:tcPr>
          <w:p>
            <w:pPr>
              <w:spacing w:after="0" w:line="252" w:lineRule="auto"/>
            </w:pPr>
            <w:r>
              <w:rPr>
                <w:sz w:val="17"/>
              </w:rPr>
              <w:t>Einlager-, Auslager- und Kommissionierstrategien</w:t>
            </w:r>
          </w:p>
        </w:tc>
      </w:tr>
      <w:tr>
        <w:tc>
          <w:tcPr>
            <w:tcW w:type="dxa" w:w="2268"/>
          </w:tcPr>
          <w:p>
            <w:pPr>
              <w:spacing w:after="0" w:line="252" w:lineRule="auto"/>
            </w:pPr>
            <w:r>
              <w:rPr>
                <w:b/>
                <w:sz w:val="17"/>
              </w:rPr>
              <w:t>Produkt / Release</w:t>
            </w:r>
          </w:p>
        </w:tc>
        <w:tc>
          <w:tcPr>
            <w:tcW w:type="dxa" w:w="7257"/>
          </w:tcPr>
          <w:p>
            <w:pPr>
              <w:spacing w:after="0" w:line="252" w:lineRule="auto"/>
            </w:pPr>
            <w:r>
              <w:rPr>
                <w:sz w:val="17"/>
              </w:rPr>
              <w:t>WAMAS Lift &amp; Store 2.7</w:t>
            </w:r>
          </w:p>
        </w:tc>
      </w:tr>
      <w:tr>
        <w:tc>
          <w:tcPr>
            <w:tcW w:type="dxa" w:w="2268"/>
          </w:tcPr>
          <w:p>
            <w:pPr>
              <w:spacing w:after="0" w:line="252" w:lineRule="auto"/>
            </w:pPr>
            <w:r>
              <w:rPr>
                <w:b/>
                <w:sz w:val="17"/>
              </w:rPr>
              <w:t>Dokumentversion</w:t>
            </w:r>
          </w:p>
        </w:tc>
        <w:tc>
          <w:tcPr>
            <w:tcW w:type="dxa" w:w="7257"/>
          </w:tcPr>
          <w:p>
            <w:pPr>
              <w:spacing w:after="0" w:line="252" w:lineRule="auto"/>
            </w:pPr>
            <w:r>
              <w:rPr>
                <w:sz w:val="17"/>
              </w:rPr>
              <w:t>1.0</w:t>
            </w:r>
          </w:p>
        </w:tc>
      </w:tr>
      <w:tr>
        <w:tc>
          <w:tcPr>
            <w:tcW w:type="dxa" w:w="2268"/>
          </w:tcPr>
          <w:p>
            <w:pPr>
              <w:spacing w:after="0" w:line="252" w:lineRule="auto"/>
            </w:pPr>
            <w:r>
              <w:rPr>
                <w:b/>
                <w:sz w:val="17"/>
              </w:rPr>
              <w:t>Stand</w:t>
            </w:r>
          </w:p>
        </w:tc>
        <w:tc>
          <w:tcPr>
            <w:tcW w:type="dxa" w:w="7257"/>
          </w:tcPr>
          <w:p>
            <w:pPr>
              <w:spacing w:after="0" w:line="252" w:lineRule="auto"/>
            </w:pPr>
            <w:r>
              <w:rPr>
                <w:sz w:val="17"/>
              </w:rPr>
              <w:t>14.10.2026</w:t>
            </w:r>
          </w:p>
        </w:tc>
      </w:tr>
      <w:tr>
        <w:tc>
          <w:tcPr>
            <w:tcW w:type="dxa" w:w="2268"/>
          </w:tcPr>
          <w:p>
            <w:pPr>
              <w:spacing w:after="0" w:line="252" w:lineRule="auto"/>
            </w:pPr>
            <w:r>
              <w:rPr>
                <w:b/>
                <w:sz w:val="17"/>
              </w:rPr>
              <w:t>Autor</w:t>
            </w:r>
          </w:p>
        </w:tc>
        <w:tc>
          <w:tcPr>
            <w:tcW w:type="dxa" w:w="7257"/>
          </w:tcPr>
          <w:p>
            <w:pPr>
              <w:spacing w:after="0" w:line="252" w:lineRule="auto"/>
            </w:pPr>
            <w:r>
              <w:rPr>
                <w:sz w:val="17"/>
              </w:rPr>
              <w:t>SSI SCHÄFER</w:t>
            </w:r>
          </w:p>
        </w:tc>
      </w:tr>
      <w:tr>
        <w:tc>
          <w:tcPr>
            <w:tcW w:type="dxa" w:w="2268"/>
          </w:tcPr>
          <w:p>
            <w:pPr>
              <w:spacing w:after="0" w:line="252" w:lineRule="auto"/>
            </w:pPr>
            <w:r>
              <w:rPr>
                <w:b/>
                <w:sz w:val="17"/>
              </w:rPr>
              <w:t>Zielgruppe</w:t>
            </w:r>
          </w:p>
        </w:tc>
        <w:tc>
          <w:tcPr>
            <w:tcW w:type="dxa" w:w="7257"/>
          </w:tcPr>
          <w:p>
            <w:pPr>
              <w:spacing w:after="0" w:line="252" w:lineRule="auto"/>
            </w:pPr>
            <w:r>
              <w:rPr>
                <w:sz w:val="17"/>
              </w:rPr>
              <w:t>Projektingenieure, Berater, Key-User, Administratoren</w:t>
            </w:r>
          </w:p>
        </w:tc>
      </w:tr>
      <w:tr>
        <w:tc>
          <w:tcPr>
            <w:tcW w:type="dxa" w:w="2268"/>
          </w:tcPr>
          <w:p>
            <w:pPr>
              <w:spacing w:after="0" w:line="252" w:lineRule="auto"/>
            </w:pPr>
            <w:r>
              <w:rPr>
                <w:b/>
                <w:sz w:val="17"/>
              </w:rPr>
              <w:t>Grundlage</w:t>
            </w:r>
          </w:p>
        </w:tc>
        <w:tc>
          <w:tcPr>
            <w:tcW w:type="dxa" w:w="7257"/>
          </w:tcPr>
          <w:p>
            <w:pPr>
              <w:spacing w:after="0" w:line="252" w:lineRule="auto"/>
            </w:pPr>
            <w:r>
              <w:rPr>
                <w:sz w:val="17"/>
              </w:rPr>
              <w:t>Administratorhandbuch 2.7 (deDE), Benutzerhandbuch 2.7 (deDE), Installationshandbuch 2.7, Schnittstellenhandbuch WLS–ERP 2.7, Consultant Training 2024, Abgleich mit Handbüchern 2.8 (enUS)</w:t>
            </w:r>
          </w:p>
        </w:tc>
      </w:tr>
    </w:tbl>
    <w:p>
      <w:pPr>
        <w:spacing w:after="40"/>
      </w:pP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865"/>
        <w:gridCol w:w="1237"/>
        <w:gridCol w:w="7422"/>
      </w:tblGrid>
      <w:tr>
        <w:trPr>
          <w:tblHeader w:val="true"/>
        </w:trPr>
        <w:tc>
          <w:tcPr>
            <w:tcW w:type="dxa" w:w="866"/>
            <w:shd w:val="clear" w:color="auto" w:fill="FEEE19"/>
          </w:tcPr>
          <w:p>
            <w:pPr>
              <w:spacing w:after="0"/>
            </w:pPr>
            <w:r>
              <w:rPr>
                <w:b/>
                <w:sz w:val="17"/>
              </w:rPr>
              <w:t>Version</w:t>
            </w:r>
          </w:p>
        </w:tc>
        <w:tc>
          <w:tcPr>
            <w:tcW w:type="dxa" w:w="1237"/>
            <w:shd w:val="clear" w:color="auto" w:fill="FEEE19"/>
          </w:tcPr>
          <w:p>
            <w:pPr>
              <w:spacing w:after="0"/>
            </w:pPr>
            <w:r>
              <w:rPr>
                <w:b/>
                <w:sz w:val="17"/>
              </w:rPr>
              <w:t>Datum</w:t>
            </w:r>
          </w:p>
        </w:tc>
        <w:tc>
          <w:tcPr>
            <w:tcW w:type="dxa" w:w="7422"/>
            <w:shd w:val="clear" w:color="auto" w:fill="FEEE19"/>
          </w:tcPr>
          <w:p>
            <w:pPr>
              <w:spacing w:after="0"/>
            </w:pPr>
            <w:r>
              <w:rPr>
                <w:b/>
                <w:sz w:val="17"/>
              </w:rPr>
              <w:t>Änderung</w:t>
            </w:r>
          </w:p>
        </w:tc>
      </w:tr>
      <w:tr>
        <w:tc>
          <w:tcPr>
            <w:tcW w:type="dxa" w:w="866"/>
          </w:tcPr>
          <w:p>
            <w:pPr>
              <w:spacing w:after="0" w:line="252" w:lineRule="auto"/>
            </w:pPr>
            <w:r>
              <w:rPr>
                <w:sz w:val="17"/>
              </w:rPr>
              <w:t>1.0</w:t>
            </w:r>
          </w:p>
        </w:tc>
        <w:tc>
          <w:tcPr>
            <w:tcW w:type="dxa" w:w="1237"/>
          </w:tcPr>
          <w:p>
            <w:pPr>
              <w:spacing w:after="0" w:line="252" w:lineRule="auto"/>
            </w:pPr>
            <w:r>
              <w:rPr>
                <w:sz w:val="17"/>
              </w:rPr>
              <w:t>14.10.2026</w:t>
            </w:r>
          </w:p>
        </w:tc>
        <w:tc>
          <w:tcPr>
            <w:tcW w:type="dxa" w:w="7422"/>
          </w:tcPr>
          <w:p>
            <w:pPr>
              <w:spacing w:after="0" w:line="252" w:lineRule="auto"/>
            </w:pPr>
            <w:r>
              <w:rPr>
                <w:sz w:val="17"/>
              </w:rPr>
              <w:t>Erstausgabe auf Basis der Handbücher 2.7, abgeglichen mit 2.8</w:t>
            </w:r>
          </w:p>
        </w:tc>
      </w:tr>
    </w:tbl>
    <w:p>
      <w:pPr>
        <w:pStyle w:val="BeschriftungSSI"/>
      </w:pPr>
      <w:r>
        <w:t>Tab. 2: Änderungshistorie</w:t>
      </w:r>
    </w:p>
    <w:p>
      <w:pPr>
        <w:pStyle w:val="Heading1"/>
      </w:pPr>
      <w:r>
        <w:t>2 Gesamtbild: Wo fällt welche Entscheidung?</w:t>
      </w:r>
    </w:p>
    <w:p>
      <w:pPr>
        <w:pStyle w:val="Heading2"/>
      </w:pPr>
      <w:r>
        <w:t>2.1 Entscheidungsebenen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175"/>
        <w:gridCol w:w="3175"/>
        <w:gridCol w:w="3175"/>
      </w:tblGrid>
      <w:tr>
        <w:trPr>
          <w:tblHeader w:val="true"/>
        </w:trPr>
        <w:tc>
          <w:tcPr>
            <w:tcW w:type="dxa" w:w="3175"/>
            <w:shd w:val="clear" w:color="auto" w:fill="FEEE19"/>
          </w:tcPr>
          <w:p>
            <w:pPr>
              <w:spacing w:after="0"/>
            </w:pPr>
            <w:r>
              <w:rPr>
                <w:b/>
                <w:sz w:val="17"/>
              </w:rPr>
              <w:t>Entscheidung</w:t>
            </w:r>
          </w:p>
        </w:tc>
        <w:tc>
          <w:tcPr>
            <w:tcW w:type="dxa" w:w="3175"/>
            <w:shd w:val="clear" w:color="auto" w:fill="FEEE19"/>
          </w:tcPr>
          <w:p>
            <w:pPr>
              <w:spacing w:after="0"/>
            </w:pPr>
            <w:r>
              <w:rPr>
                <w:b/>
                <w:sz w:val="17"/>
              </w:rPr>
              <w:t>Mechanismus</w:t>
            </w:r>
          </w:p>
        </w:tc>
        <w:tc>
          <w:tcPr>
            <w:tcW w:type="dxa" w:w="3175"/>
            <w:shd w:val="clear" w:color="auto" w:fill="FEEE19"/>
          </w:tcPr>
          <w:p>
            <w:pPr>
              <w:spacing w:after="0"/>
            </w:pPr>
            <w:r>
              <w:rPr>
                <w:b/>
                <w:sz w:val="17"/>
              </w:rPr>
              <w:t>Wichtigste Einstellorte</w:t>
            </w:r>
          </w:p>
        </w:tc>
      </w:tr>
      <w:tr>
        <w:tc>
          <w:tcPr>
            <w:tcW w:type="dxa" w:w="3175"/>
          </w:tcPr>
          <w:p>
            <w:pPr>
              <w:spacing w:after="0" w:line="252" w:lineRule="auto"/>
            </w:pPr>
            <w:r>
              <w:rPr>
                <w:sz w:val="17"/>
              </w:rPr>
              <w:t>In welche Box / welchen Tablar / welchen SSI LOGIMAT wird eingelagert?</w:t>
            </w:r>
          </w:p>
        </w:tc>
        <w:tc>
          <w:tcPr>
            <w:tcW w:type="dxa" w:w="3175"/>
          </w:tcPr>
          <w:p>
            <w:pPr>
              <w:spacing w:after="0" w:line="252" w:lineRule="auto"/>
            </w:pPr>
            <w:r>
              <w:rPr>
                <w:sz w:val="17"/>
              </w:rPr>
              <w:t xml:space="preserve">Lagerreservierung mit </w:t>
            </w:r>
            <w:r>
              <w:rPr>
                <w:b/>
                <w:sz w:val="17"/>
              </w:rPr>
              <w:t>Lagerreservierungsstrategie</w:t>
            </w:r>
          </w:p>
        </w:tc>
        <w:tc>
          <w:tcPr>
            <w:tcW w:type="dxa" w:w="3175"/>
          </w:tcPr>
          <w:p>
            <w:pPr>
              <w:spacing w:after="0" w:line="252" w:lineRule="auto"/>
            </w:pPr>
            <w:r>
              <w:rPr>
                <w:sz w:val="17"/>
              </w:rPr>
              <w:t>MD002 › WLS Artikel; MD017 › Warengruppe; MD017 › Einlagerbedarfstyp; LM145</w:t>
            </w:r>
          </w:p>
        </w:tc>
      </w:tr>
      <w:tr>
        <w:tc>
          <w:tcPr>
            <w:tcW w:type="dxa" w:w="3175"/>
          </w:tcPr>
          <w:p>
            <w:pPr>
              <w:spacing w:after="0" w:line="252" w:lineRule="auto"/>
            </w:pPr>
            <w:r>
              <w:rPr>
                <w:sz w:val="17"/>
              </w:rPr>
              <w:t>Darf der Artikel in diese Box? Wie viel passt?</w:t>
            </w:r>
          </w:p>
        </w:tc>
        <w:tc>
          <w:tcPr>
            <w:tcW w:type="dxa" w:w="3175"/>
          </w:tcPr>
          <w:p>
            <w:pPr>
              <w:spacing w:after="0" w:line="252" w:lineRule="auto"/>
            </w:pPr>
            <w:r>
              <w:rPr>
                <w:sz w:val="17"/>
              </w:rPr>
              <w:t>Boxtyp- und Artikel-zu-Box-Zuordnung, Kapazität, Füllgrad</w:t>
            </w:r>
          </w:p>
        </w:tc>
        <w:tc>
          <w:tcPr>
            <w:tcW w:type="dxa" w:w="3175"/>
          </w:tcPr>
          <w:p>
            <w:pPr>
              <w:spacing w:after="0" w:line="252" w:lineRule="auto"/>
            </w:pPr>
            <w:r>
              <w:rPr>
                <w:sz w:val="17"/>
              </w:rPr>
              <w:t>LM058, LM084, LM144, MD031, Touch LM002</w:t>
            </w:r>
          </w:p>
        </w:tc>
      </w:tr>
      <w:tr>
        <w:tc>
          <w:tcPr>
            <w:tcW w:type="dxa" w:w="3175"/>
          </w:tcPr>
          <w:p>
            <w:pPr>
              <w:spacing w:after="0" w:line="252" w:lineRule="auto"/>
            </w:pPr>
            <w:r>
              <w:rPr>
                <w:sz w:val="17"/>
              </w:rPr>
              <w:t>Darf Bestand gemischt werden?</w:t>
            </w:r>
          </w:p>
        </w:tc>
        <w:tc>
          <w:tcPr>
            <w:tcW w:type="dxa" w:w="3175"/>
          </w:tcPr>
          <w:p>
            <w:pPr>
              <w:spacing w:after="0" w:line="252" w:lineRule="auto"/>
            </w:pPr>
            <w:r>
              <w:rPr>
                <w:sz w:val="17"/>
              </w:rPr>
              <w:t>Bestandshomogenität, Gleichwertigkeitsdauer, Sicherheitsgruppen, Tablar-zu-Klient</w:t>
            </w:r>
          </w:p>
        </w:tc>
        <w:tc>
          <w:tcPr>
            <w:tcW w:type="dxa" w:w="3175"/>
          </w:tcPr>
          <w:p>
            <w:pPr>
              <w:spacing w:after="0" w:line="252" w:lineRule="auto"/>
            </w:pPr>
            <w:r>
              <w:rPr>
                <w:sz w:val="17"/>
              </w:rPr>
              <w:t>SM041, SM042, LM069, MD017, FW028</w:t>
            </w:r>
          </w:p>
        </w:tc>
      </w:tr>
      <w:tr>
        <w:tc>
          <w:tcPr>
            <w:tcW w:type="dxa" w:w="3175"/>
          </w:tcPr>
          <w:p>
            <w:pPr>
              <w:spacing w:after="0" w:line="252" w:lineRule="auto"/>
            </w:pPr>
            <w:r>
              <w:rPr>
                <w:sz w:val="17"/>
              </w:rPr>
              <w:t>Welcher Bestand wird kommissioniert?</w:t>
            </w:r>
          </w:p>
        </w:tc>
        <w:tc>
          <w:tcPr>
            <w:tcW w:type="dxa" w:w="3175"/>
          </w:tcPr>
          <w:p>
            <w:pPr>
              <w:spacing w:after="0" w:line="252" w:lineRule="auto"/>
            </w:pPr>
            <w:r>
              <w:rPr>
                <w:sz w:val="17"/>
              </w:rPr>
              <w:t>Kommissionierreservierung: Zeitzugriffsmodus (FIFO/LIFO), Bestandsauswahlmodus (MHD/Produktionsdatum), Bestandseinschränkungen der Bedarfszeile, ABIA-Zugriffsmodus</w:t>
            </w:r>
          </w:p>
        </w:tc>
        <w:tc>
          <w:tcPr>
            <w:tcW w:type="dxa" w:w="3175"/>
          </w:tcPr>
          <w:p>
            <w:pPr>
              <w:spacing w:after="0" w:line="252" w:lineRule="auto"/>
            </w:pPr>
            <w:r>
              <w:rPr>
                <w:sz w:val="17"/>
              </w:rPr>
              <w:t>MD017 › Kommissionierbedarfstyp; LM053; MD002; MD017 › Anpassbare BIA</w:t>
            </w:r>
          </w:p>
        </w:tc>
      </w:tr>
      <w:tr>
        <w:tc>
          <w:tcPr>
            <w:tcW w:type="dxa" w:w="3175"/>
          </w:tcPr>
          <w:p>
            <w:pPr>
              <w:spacing w:after="0" w:line="252" w:lineRule="auto"/>
            </w:pPr>
            <w:r>
              <w:rPr>
                <w:sz w:val="17"/>
              </w:rPr>
              <w:t>Aus welchen Boxen wird bevorzugt entnommen?</w:t>
            </w:r>
          </w:p>
        </w:tc>
        <w:tc>
          <w:tcPr>
            <w:tcW w:type="dxa" w:w="3175"/>
          </w:tcPr>
          <w:p>
            <w:pPr>
              <w:spacing w:after="0" w:line="252" w:lineRule="auto"/>
            </w:pPr>
            <w:r>
              <w:rPr>
                <w:b/>
                <w:sz w:val="17"/>
              </w:rPr>
              <w:t>Reservierungsstrategie</w:t>
            </w:r>
            <w:r>
              <w:rPr>
                <w:sz w:val="17"/>
              </w:rPr>
              <w:t xml:space="preserve"> Transport / Belegung / Fast leer</w:t>
            </w:r>
          </w:p>
        </w:tc>
        <w:tc>
          <w:tcPr>
            <w:tcW w:type="dxa" w:w="3175"/>
          </w:tcPr>
          <w:p>
            <w:pPr>
              <w:spacing w:after="0" w:line="252" w:lineRule="auto"/>
            </w:pPr>
            <w:r>
              <w:rPr>
                <w:sz w:val="17"/>
              </w:rPr>
              <w:t>MD017 › Kommissionierbedarfstyp</w:t>
            </w:r>
          </w:p>
        </w:tc>
      </w:tr>
      <w:tr>
        <w:tc>
          <w:tcPr>
            <w:tcW w:type="dxa" w:w="3175"/>
          </w:tcPr>
          <w:p>
            <w:pPr>
              <w:spacing w:after="0" w:line="252" w:lineRule="auto"/>
            </w:pPr>
            <w:r>
              <w:rPr>
                <w:sz w:val="17"/>
              </w:rPr>
              <w:t>Wann, wo, von wem wird ausgeführt?</w:t>
            </w:r>
          </w:p>
        </w:tc>
        <w:tc>
          <w:tcPr>
            <w:tcW w:type="dxa" w:w="3175"/>
          </w:tcPr>
          <w:p>
            <w:pPr>
              <w:spacing w:after="0" w:line="252" w:lineRule="auto"/>
            </w:pPr>
            <w:r>
              <w:rPr>
                <w:sz w:val="17"/>
              </w:rPr>
              <w:t>Priorität, Zone, Freigabe-/Aktivierungs-/Abschlussmodus, Aktivierungsstrategie, Zuteilungs- und Arbeitsmodus</w:t>
            </w:r>
          </w:p>
        </w:tc>
        <w:tc>
          <w:tcPr>
            <w:tcW w:type="dxa" w:w="3175"/>
          </w:tcPr>
          <w:p>
            <w:pPr>
              <w:spacing w:after="0" w:line="252" w:lineRule="auto"/>
            </w:pPr>
            <w:r>
              <w:rPr>
                <w:sz w:val="17"/>
              </w:rPr>
              <w:t>Bedarf (LM072/LM081/LM086/LM087), MD017, LM053, FW028</w:t>
            </w:r>
          </w:p>
        </w:tc>
      </w:tr>
      <w:tr>
        <w:tc>
          <w:tcPr>
            <w:tcW w:type="dxa" w:w="3175"/>
          </w:tcPr>
          <w:p>
            <w:pPr>
              <w:spacing w:after="0" w:line="252" w:lineRule="auto"/>
            </w:pPr>
            <w:r>
              <w:rPr>
                <w:sz w:val="17"/>
              </w:rPr>
              <w:t>Wie werden Boxen zusammengeführt?</w:t>
            </w:r>
          </w:p>
        </w:tc>
        <w:tc>
          <w:tcPr>
            <w:tcW w:type="dxa" w:w="3175"/>
          </w:tcPr>
          <w:p>
            <w:pPr>
              <w:spacing w:after="0" w:line="252" w:lineRule="auto"/>
            </w:pPr>
            <w:r>
              <w:rPr>
                <w:sz w:val="17"/>
              </w:rPr>
              <w:t>Konsolidieren am Touch-Client, WCS-Arbeitsmodus, Konsolidierung Kommissionier-Plan-LE</w:t>
            </w:r>
          </w:p>
        </w:tc>
        <w:tc>
          <w:tcPr>
            <w:tcW w:type="dxa" w:w="3175"/>
          </w:tcPr>
          <w:p>
            <w:pPr>
              <w:spacing w:after="0" w:line="252" w:lineRule="auto"/>
            </w:pPr>
            <w:r>
              <w:rPr>
                <w:sz w:val="17"/>
              </w:rPr>
              <w:t>LM002, FW028, Systempartner</w:t>
            </w:r>
          </w:p>
        </w:tc>
      </w:tr>
    </w:tbl>
    <w:p>
      <w:pPr>
        <w:pStyle w:val="BeschriftungSSI"/>
      </w:pPr>
      <w:r>
        <w:t>Tab. 3: Entscheidungsebenen und Einstellorte</w:t>
      </w:r>
    </w:p>
    <w:p>
      <w:pPr>
        <w:pStyle w:val="Quelle"/>
      </w:pPr>
      <w:r>
        <w:rPr>
          <w:b/>
        </w:rPr>
        <w:t xml:space="preserve">Quelle: </w:t>
      </w:r>
      <w:r>
        <w:rPr>
          <w:sz w:val="17"/>
        </w:rPr>
        <w:t>Zusammenstellung aus Administratorhandbuch 2.7, Kap. 3.1, 3.6, 3.11.2; Benutzerhandbuch 2.7, Kap. 5.6 und 6</w:t>
      </w:r>
    </w:p>
    <w:p>
      <w:pPr>
        <w:pStyle w:val="Heading2"/>
      </w:pPr>
      <w:r>
        <w:t>2.2 Abgleich mit Version 2.8</w:t>
      </w:r>
    </w:p>
    <w:p>
      <w:r>
        <w:t xml:space="preserve">Die relevanten Kapitel des Administratorhandbuchs 2.8 (System Parameters, Stock Selection Mode, Storage Reservation Strategies, Picking/Storage Demand Type, WLS Item, Global Parameters) sind inhaltlich identisch mit 2.7, einschließlich der Werte für Reservierungsstrategie, Aktivierungsstrategie, Zeitzugriffsmodus (FIFO/LIFO) und Lagerreservierungsstrategien. Auch die Fehler (Verweis „LM040 Bestandshomogenitätstypen“, MHD statt Produktionsdatum) sind übernommen. Neu in 2.8 ist die Nachschubkonfiguration </w:t>
      </w:r>
      <w:r>
        <w:rPr>
          <w:b/>
        </w:rPr>
        <w:t>LM175</w:t>
      </w:r>
      <w:r>
        <w:t xml:space="preserve"> zwischen externem Lager und SSI LOGIMAT (siehe How-to „Externe Lagerprozesse“).</w:t>
      </w:r>
    </w:p>
    <w:p>
      <w:pPr>
        <w:pStyle w:val="Quelle"/>
      </w:pPr>
      <w:r>
        <w:rPr>
          <w:b/>
        </w:rPr>
        <w:t xml:space="preserve">Quelle: </w:t>
      </w:r>
      <w:r>
        <w:rPr>
          <w:sz w:val="17"/>
        </w:rPr>
        <w:t>Administrator Manual 2.8, Kap. 3.1.3, 3.1.17, 3.6.1.10–3.6.1.11, 3.11.2</w:t>
      </w:r>
    </w:p>
    <w:p>
      <w:pPr>
        <w:pStyle w:val="Heading1"/>
      </w:pPr>
      <w:r>
        <w:t>3 Einlagerstrategien (Lagerreservierungsstrategien)</w:t>
      </w:r>
    </w:p>
    <w:p>
      <w:pPr>
        <w:pStyle w:val="Heading2"/>
      </w:pPr>
      <w:r>
        <w:t>3.1 Ermittlung der gültigen Strategie</w:t>
      </w:r>
    </w:p>
    <w:p>
      <w:r>
        <w:t>Lagerreservierungsstrategien sortieren die verfügbaren Boxen mit dem Ziel einer optimierten Einlagerung. Da sich nicht alle Kriterien gleichzeitig optimieren lassen, werden sie nach Wichtigkeit gereiht und schrittweise verarbeitet.</w:t>
      </w:r>
    </w:p>
    <w:p>
      <w:pPr>
        <w:tabs>
          <w:tab w:pos="425" w:val="left"/>
        </w:tabs>
        <w:spacing w:after="60"/>
        <w:ind w:left="425" w:hanging="425"/>
      </w:pPr>
      <w:r>
        <w:rPr>
          <w:b/>
        </w:rPr>
        <w:t>1.</w:t>
        <w:tab/>
      </w:r>
      <w:r>
        <w:t xml:space="preserve">WAMAS prüft, ob dem </w:t>
      </w:r>
      <w:r>
        <w:rPr>
          <w:b/>
        </w:rPr>
        <w:t>Artikel</w:t>
      </w:r>
      <w:r>
        <w:t xml:space="preserve"> eine Strategie zugeordnet ist (</w:t>
      </w:r>
      <w:r>
        <w:rPr>
          <w:b/>
        </w:rPr>
        <w:t>MD002</w:t>
      </w:r>
      <w:r>
        <w:t xml:space="preserve">, Registerkarte </w:t>
      </w:r>
      <w:r>
        <w:rPr>
          <w:b/>
        </w:rPr>
        <w:t>WLS Artikel</w:t>
      </w:r>
      <w:r>
        <w:t xml:space="preserve">, Feld </w:t>
      </w:r>
      <w:r>
        <w:rPr>
          <w:rFonts w:ascii="Consolas" w:hAnsi="Consolas" w:cs="Consolas" w:eastAsia="Consolas"/>
          <w:sz w:val="18"/>
        </w:rPr>
        <w:t>Lagerreservierungsstrategie</w:t>
      </w:r>
      <w:r>
        <w:t>).</w:t>
      </w:r>
    </w:p>
    <w:p>
      <w:pPr>
        <w:tabs>
          <w:tab w:pos="425" w:val="left"/>
        </w:tabs>
        <w:spacing w:after="60"/>
        <w:ind w:left="425" w:hanging="425"/>
      </w:pPr>
      <w:r>
        <w:rPr>
          <w:b/>
        </w:rPr>
        <w:t>2.</w:t>
        <w:tab/>
      </w:r>
      <w:r>
        <w:t xml:space="preserve">Wenn nicht, gilt die Strategie der </w:t>
      </w:r>
      <w:r>
        <w:rPr>
          <w:b/>
        </w:rPr>
        <w:t>Warengruppe</w:t>
      </w:r>
      <w:r>
        <w:t xml:space="preserve"> (</w:t>
      </w:r>
      <w:r>
        <w:rPr>
          <w:b/>
        </w:rPr>
        <w:t>MD017</w:t>
      </w:r>
      <w:r>
        <w:t xml:space="preserve">, Registerkarte </w:t>
      </w:r>
      <w:r>
        <w:rPr>
          <w:b/>
        </w:rPr>
        <w:t>Warengruppe</w:t>
      </w:r>
      <w:r>
        <w:t xml:space="preserve">, Feld </w:t>
      </w:r>
      <w:r>
        <w:rPr>
          <w:rFonts w:ascii="Consolas" w:hAnsi="Consolas" w:cs="Consolas" w:eastAsia="Consolas"/>
          <w:sz w:val="18"/>
        </w:rPr>
        <w:t>Lagerreservierungsstrategie</w:t>
      </w:r>
      <w:r>
        <w:t xml:space="preserve"> bzw. </w:t>
      </w:r>
      <w:r>
        <w:rPr>
          <w:rFonts w:ascii="Consolas" w:hAnsi="Consolas" w:cs="Consolas" w:eastAsia="Consolas"/>
          <w:sz w:val="18"/>
        </w:rPr>
        <w:t>Externe Lagerreservierungsstrategie</w:t>
      </w:r>
      <w:r>
        <w:t>).</w:t>
      </w:r>
    </w:p>
    <w:p>
      <w:pPr>
        <w:tabs>
          <w:tab w:pos="425" w:val="left"/>
        </w:tabs>
        <w:spacing w:after="60"/>
        <w:ind w:left="425" w:hanging="425"/>
      </w:pPr>
      <w:r>
        <w:rPr>
          <w:b/>
        </w:rPr>
        <w:t>3.</w:t>
        <w:tab/>
      </w:r>
      <w:r>
        <w:t xml:space="preserve">Wenn auch dort keine hinterlegt ist, gilt die </w:t>
      </w:r>
      <w:r>
        <w:rPr>
          <w:b/>
        </w:rPr>
        <w:t>obligatorische</w:t>
      </w:r>
      <w:r>
        <w:t xml:space="preserve"> Strategie des </w:t>
      </w:r>
      <w:r>
        <w:rPr>
          <w:b/>
        </w:rPr>
        <w:t>Einlagerbedarfstyps</w:t>
      </w:r>
      <w:r>
        <w:t xml:space="preserve"> (</w:t>
      </w:r>
      <w:r>
        <w:rPr>
          <w:b/>
        </w:rPr>
        <w:t>MD017</w:t>
      </w:r>
      <w:r>
        <w:t xml:space="preserve">, Registerkarte </w:t>
      </w:r>
      <w:r>
        <w:rPr>
          <w:b/>
        </w:rPr>
        <w:t>Einlagerbedarfstyp</w:t>
      </w:r>
      <w:r>
        <w:t xml:space="preserve">, Felder </w:t>
      </w:r>
      <w:r>
        <w:rPr>
          <w:rFonts w:ascii="Consolas" w:hAnsi="Consolas" w:cs="Consolas" w:eastAsia="Consolas"/>
          <w:sz w:val="18"/>
        </w:rPr>
        <w:t>Lagerreservierungsstrategie</w:t>
      </w:r>
      <w:r>
        <w:t xml:space="preserve"> und </w:t>
      </w:r>
      <w:r>
        <w:rPr>
          <w:rFonts w:ascii="Consolas" w:hAnsi="Consolas" w:cs="Consolas" w:eastAsia="Consolas"/>
          <w:sz w:val="18"/>
        </w:rPr>
        <w:t>Externe Lagerreservierungsstrategie</w:t>
      </w:r>
      <w:r>
        <w:t>).</w:t>
      </w:r>
    </w:p>
    <w:p>
      <w:r>
        <w:t xml:space="preserve">Die Standardstrategien sind schreibgeschützt (Strategieart </w:t>
      </w:r>
      <w:r>
        <w:rPr>
          <w:rFonts w:ascii="Consolas" w:hAnsi="Consolas" w:cs="Consolas" w:eastAsia="Consolas"/>
          <w:sz w:val="18"/>
        </w:rPr>
        <w:t>PRODUCT</w:t>
      </w:r>
      <w:r>
        <w:t xml:space="preserve">). Für Änderungen muss in </w:t>
      </w:r>
      <w:r>
        <w:rPr>
          <w:b/>
        </w:rPr>
        <w:t>LM145</w:t>
      </w:r>
      <w:r>
        <w:t xml:space="preserve"> eine neue Strategie angelegt werden (Strategieart </w:t>
      </w:r>
      <w:r>
        <w:rPr>
          <w:rFonts w:ascii="Consolas" w:hAnsi="Consolas" w:cs="Consolas" w:eastAsia="Consolas"/>
          <w:sz w:val="18"/>
        </w:rPr>
        <w:t>CUSTOM</w:t>
      </w:r>
      <w:r>
        <w:t>).</w:t>
      </w:r>
    </w:p>
    <w:p>
      <w:pPr>
        <w:pStyle w:val="Quelle"/>
      </w:pPr>
      <w:r>
        <w:rPr>
          <w:b/>
        </w:rPr>
        <w:t xml:space="preserve">Quelle: </w:t>
      </w:r>
      <w:r>
        <w:rPr>
          <w:sz w:val="17"/>
        </w:rPr>
        <w:t>Administratorhandbuch 2.7, Kap. 3.1.16 (S. 32–33)</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Beispiel (konstruiert, bitte prüfen)</w:t>
            </w:r>
          </w:p>
          <w:p>
            <w:pPr>
              <w:spacing w:after="40"/>
            </w:pPr>
            <w:r>
              <w:rPr>
                <w:sz w:val="19"/>
              </w:rPr>
              <w:t xml:space="preserve">Artikel </w:t>
            </w:r>
            <w:r>
              <w:rPr>
                <w:rFonts w:ascii="Consolas" w:hAnsi="Consolas" w:cs="Consolas" w:eastAsia="Consolas"/>
                <w:sz w:val="17"/>
              </w:rPr>
              <w:t>A-100</w:t>
            </w:r>
            <w:r>
              <w:rPr>
                <w:sz w:val="19"/>
              </w:rPr>
              <w:t xml:space="preserve"> hat keine eigene Strategie, gehört zur Warengruppe </w:t>
            </w:r>
            <w:r>
              <w:rPr>
                <w:rFonts w:ascii="Consolas" w:hAnsi="Consolas" w:cs="Consolas" w:eastAsia="Consolas"/>
                <w:sz w:val="17"/>
              </w:rPr>
              <w:t>KLEINTEILE</w:t>
            </w:r>
            <w:r>
              <w:rPr>
                <w:sz w:val="19"/>
              </w:rPr>
              <w:t xml:space="preserve"> mit </w:t>
            </w:r>
            <w:r>
              <w:rPr>
                <w:rFonts w:ascii="Consolas" w:hAnsi="Consolas" w:cs="Consolas" w:eastAsia="Consolas"/>
                <w:sz w:val="17"/>
              </w:rPr>
              <w:t>STORAGE</w:t>
            </w:r>
            <w:r>
              <w:rPr>
                <w:sz w:val="19"/>
              </w:rPr>
              <w:t xml:space="preserve">; der Einlagerbedarfstyp </w:t>
            </w:r>
            <w:r>
              <w:rPr>
                <w:rFonts w:ascii="Consolas" w:hAnsi="Consolas" w:cs="Consolas" w:eastAsia="Consolas"/>
                <w:sz w:val="17"/>
              </w:rPr>
              <w:t>RECV</w:t>
            </w:r>
            <w:r>
              <w:rPr>
                <w:sz w:val="19"/>
              </w:rPr>
              <w:t xml:space="preserve"> hat </w:t>
            </w:r>
            <w:r>
              <w:rPr>
                <w:rFonts w:ascii="Consolas" w:hAnsi="Consolas" w:cs="Consolas" w:eastAsia="Consolas"/>
                <w:sz w:val="17"/>
              </w:rPr>
              <w:t>TRANSPORT</w:t>
            </w:r>
            <w:r>
              <w:rPr>
                <w:sz w:val="19"/>
              </w:rPr>
              <w:t xml:space="preserve">. Ergebnis: </w:t>
            </w:r>
            <w:r>
              <w:rPr>
                <w:rFonts w:ascii="Consolas" w:hAnsi="Consolas" w:cs="Consolas" w:eastAsia="Consolas"/>
                <w:sz w:val="17"/>
              </w:rPr>
              <w:t>A-100</w:t>
            </w:r>
            <w:r>
              <w:rPr>
                <w:sz w:val="19"/>
              </w:rPr>
              <w:t xml:space="preserve"> wird nach </w:t>
            </w:r>
            <w:r>
              <w:rPr>
                <w:rFonts w:ascii="Consolas" w:hAnsi="Consolas" w:cs="Consolas" w:eastAsia="Consolas"/>
                <w:sz w:val="17"/>
              </w:rPr>
              <w:t>STORAGE</w:t>
            </w:r>
            <w:r>
              <w:rPr>
                <w:sz w:val="19"/>
              </w:rPr>
              <w:t xml:space="preserve"> eingelagert. Bekommt </w:t>
            </w:r>
            <w:r>
              <w:rPr>
                <w:rFonts w:ascii="Consolas" w:hAnsi="Consolas" w:cs="Consolas" w:eastAsia="Consolas"/>
                <w:sz w:val="17"/>
              </w:rPr>
              <w:t>A-100</w:t>
            </w:r>
            <w:r>
              <w:rPr>
                <w:sz w:val="19"/>
              </w:rPr>
              <w:t xml:space="preserve"> am Artikel </w:t>
            </w:r>
            <w:r>
              <w:rPr>
                <w:rFonts w:ascii="Consolas" w:hAnsi="Consolas" w:cs="Consolas" w:eastAsia="Consolas"/>
                <w:sz w:val="17"/>
              </w:rPr>
              <w:t>ASSIGNMENT</w:t>
            </w:r>
            <w:r>
              <w:rPr>
                <w:sz w:val="19"/>
              </w:rPr>
              <w:t xml:space="preserve">, gilt für ihn </w:t>
            </w:r>
            <w:r>
              <w:rPr>
                <w:rFonts w:ascii="Consolas" w:hAnsi="Consolas" w:cs="Consolas" w:eastAsia="Consolas"/>
                <w:sz w:val="17"/>
              </w:rPr>
              <w:t>ASSIGNMENT</w:t>
            </w:r>
            <w:r>
              <w:rPr>
                <w:sz w:val="19"/>
              </w:rPr>
              <w:t xml:space="preserve">, für die übrigen Artikel der Warengruppe weiter </w:t>
            </w:r>
            <w:r>
              <w:rPr>
                <w:rFonts w:ascii="Consolas" w:hAnsi="Consolas" w:cs="Consolas" w:eastAsia="Consolas"/>
                <w:sz w:val="17"/>
              </w:rPr>
              <w:t>STORAGE</w:t>
            </w:r>
            <w:r>
              <w:rPr>
                <w:sz w:val="19"/>
              </w:rPr>
              <w:t>.</w:t>
            </w:r>
          </w:p>
        </w:tc>
      </w:tr>
    </w:tbl>
    <w:p>
      <w:pPr>
        <w:spacing w:after="40"/>
      </w:pPr>
    </w:p>
    <w:p>
      <w:pPr>
        <w:pStyle w:val="Heading2"/>
      </w:pPr>
      <w:r>
        <w:t>3.2 Strategien für SSI LOGIMAT</w:t>
      </w:r>
    </w:p>
    <w:p>
      <w:r>
        <w:t xml:space="preserve">Die folgenden Strategien sind für den Zweck </w:t>
      </w:r>
      <w:r>
        <w:rPr>
          <w:b/>
        </w:rPr>
        <w:t>SSI LOGIMAT</w:t>
      </w:r>
      <w:r>
        <w:t xml:space="preserve"> auswählbar. Die Beschreibung ist aus dem Administratorhandbuch übernommen und gekürzt.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731"/>
        <w:gridCol w:w="2597"/>
        <w:gridCol w:w="2597"/>
        <w:gridCol w:w="2597"/>
      </w:tblGrid>
      <w:tr>
        <w:trPr>
          <w:tblHeader w:val="true"/>
        </w:trPr>
        <w:tc>
          <w:tcPr>
            <w:tcW w:type="dxa" w:w="1732"/>
            <w:shd w:val="clear" w:color="auto" w:fill="FEEE19"/>
          </w:tcPr>
          <w:p>
            <w:pPr>
              <w:spacing w:after="0"/>
            </w:pPr>
            <w:r>
              <w:rPr>
                <w:b/>
                <w:sz w:val="17"/>
              </w:rPr>
              <w:t>Strategie (Feldwert in der Auswahlliste)</w:t>
            </w:r>
          </w:p>
        </w:tc>
        <w:tc>
          <w:tcPr>
            <w:tcW w:type="dxa" w:w="2598"/>
            <w:shd w:val="clear" w:color="auto" w:fill="FEEE19"/>
          </w:tcPr>
          <w:p>
            <w:pPr>
              <w:spacing w:after="0"/>
            </w:pPr>
            <w:r>
              <w:rPr>
                <w:b/>
                <w:sz w:val="17"/>
              </w:rPr>
              <w:t>Was sie tut (laut Handbuch)</w:t>
            </w:r>
          </w:p>
        </w:tc>
        <w:tc>
          <w:tcPr>
            <w:tcW w:type="dxa" w:w="2598"/>
            <w:shd w:val="clear" w:color="auto" w:fill="FEEE19"/>
          </w:tcPr>
          <w:p>
            <w:pPr>
              <w:spacing w:after="0"/>
            </w:pPr>
            <w:r>
              <w:rPr>
                <w:b/>
                <w:sz w:val="17"/>
              </w:rPr>
              <w:t>Wirkung / Ziel</w:t>
            </w:r>
          </w:p>
        </w:tc>
        <w:tc>
          <w:tcPr>
            <w:tcW w:type="dxa" w:w="2598"/>
            <w:shd w:val="clear" w:color="auto" w:fill="FEEE19"/>
          </w:tcPr>
          <w:p>
            <w:pPr>
              <w:spacing w:after="0"/>
            </w:pPr>
            <w:r>
              <w:rPr>
                <w:b/>
                <w:sz w:val="17"/>
              </w:rPr>
              <w:t>Beispiel (konstruiert, bitte prüfen)</w:t>
            </w:r>
          </w:p>
        </w:tc>
      </w:tr>
      <w:tr>
        <w:tc>
          <w:tcPr>
            <w:tcW w:type="dxa" w:w="1732"/>
          </w:tcPr>
          <w:p>
            <w:pPr>
              <w:spacing w:after="0" w:line="252" w:lineRule="auto"/>
            </w:pPr>
            <w:r>
              <w:rPr>
                <w:rFonts w:ascii="Consolas" w:hAnsi="Consolas" w:cs="Consolas" w:eastAsia="Consolas"/>
                <w:sz w:val="15"/>
              </w:rPr>
              <w:t>TRANSPORT</w:t>
            </w:r>
          </w:p>
        </w:tc>
        <w:tc>
          <w:tcPr>
            <w:tcW w:type="dxa" w:w="2598"/>
          </w:tcPr>
          <w:p>
            <w:pPr>
              <w:spacing w:after="0" w:line="252" w:lineRule="auto"/>
            </w:pPr>
            <w:r>
              <w:rPr>
                <w:sz w:val="17"/>
              </w:rPr>
              <w:t>Reserviert bevorzugt Boxen auf dem Tablar, das bereits in der Zugriffsöffnung ist; berücksichtigt Boxreservierungen, freien Platz und Boxtyp-Zuordnung</w:t>
            </w:r>
          </w:p>
        </w:tc>
        <w:tc>
          <w:tcPr>
            <w:tcW w:type="dxa" w:w="2598"/>
          </w:tcPr>
          <w:p>
            <w:pPr>
              <w:spacing w:after="0" w:line="252" w:lineRule="auto"/>
            </w:pPr>
            <w:r>
              <w:rPr>
                <w:sz w:val="17"/>
              </w:rPr>
              <w:t>Möglichst wenige Tablarbewegungen</w:t>
            </w:r>
          </w:p>
        </w:tc>
        <w:tc>
          <w:tcPr>
            <w:tcW w:type="dxa" w:w="2598"/>
          </w:tcPr>
          <w:p>
            <w:pPr>
              <w:spacing w:after="0" w:line="252" w:lineRule="auto"/>
            </w:pPr>
            <w:r>
              <w:rPr>
                <w:sz w:val="17"/>
              </w:rPr>
              <w:t>Ein Wareneingang mit 8 Zeilen wird möglichst auf die Boxen eines Tablars verteilt, statt 8 Tablare anzufordern</w:t>
            </w:r>
          </w:p>
        </w:tc>
      </w:tr>
      <w:tr>
        <w:tc>
          <w:tcPr>
            <w:tcW w:type="dxa" w:w="1732"/>
          </w:tcPr>
          <w:p>
            <w:pPr>
              <w:spacing w:after="0" w:line="252" w:lineRule="auto"/>
            </w:pPr>
            <w:r>
              <w:rPr>
                <w:rFonts w:ascii="Consolas" w:hAnsi="Consolas" w:cs="Consolas" w:eastAsia="Consolas"/>
                <w:sz w:val="15"/>
              </w:rPr>
              <w:t>STORAGE</w:t>
            </w:r>
          </w:p>
        </w:tc>
        <w:tc>
          <w:tcPr>
            <w:tcW w:type="dxa" w:w="2598"/>
          </w:tcPr>
          <w:p>
            <w:pPr>
              <w:spacing w:after="0" w:line="252" w:lineRule="auto"/>
            </w:pPr>
            <w:r>
              <w:rPr>
                <w:sz w:val="17"/>
              </w:rPr>
              <w:t xml:space="preserve">Wählt Boxen mit dem </w:t>
            </w:r>
            <w:r>
              <w:rPr>
                <w:b/>
                <w:sz w:val="17"/>
              </w:rPr>
              <w:t>geringsten</w:t>
            </w:r>
            <w:r>
              <w:rPr>
                <w:sz w:val="17"/>
              </w:rPr>
              <w:t xml:space="preserve"> freien Platz, in den die Restmenge noch passt</w:t>
            </w:r>
          </w:p>
        </w:tc>
        <w:tc>
          <w:tcPr>
            <w:tcW w:type="dxa" w:w="2598"/>
          </w:tcPr>
          <w:p>
            <w:pPr>
              <w:spacing w:after="0" w:line="252" w:lineRule="auto"/>
            </w:pPr>
            <w:r>
              <w:rPr>
                <w:sz w:val="17"/>
              </w:rPr>
              <w:t>Möglichst wenige belegte Boxen, hohe Raumnutzung</w:t>
            </w:r>
          </w:p>
        </w:tc>
        <w:tc>
          <w:tcPr>
            <w:tcW w:type="dxa" w:w="2598"/>
          </w:tcPr>
          <w:p>
            <w:pPr>
              <w:spacing w:after="0" w:line="252" w:lineRule="auto"/>
            </w:pPr>
            <w:r>
              <w:rPr>
                <w:sz w:val="17"/>
              </w:rPr>
              <w:t>30 Stück gehen in die Box mit 35 freien Plätzen, nicht in die leere Box mit 200</w:t>
            </w:r>
          </w:p>
        </w:tc>
      </w:tr>
      <w:tr>
        <w:tc>
          <w:tcPr>
            <w:tcW w:type="dxa" w:w="1732"/>
          </w:tcPr>
          <w:p>
            <w:pPr>
              <w:spacing w:after="0" w:line="252" w:lineRule="auto"/>
            </w:pPr>
            <w:r>
              <w:rPr>
                <w:rFonts w:ascii="Consolas" w:hAnsi="Consolas" w:cs="Consolas" w:eastAsia="Consolas"/>
                <w:sz w:val="15"/>
              </w:rPr>
              <w:t>OPERATIONS</w:t>
            </w:r>
          </w:p>
        </w:tc>
        <w:tc>
          <w:tcPr>
            <w:tcW w:type="dxa" w:w="2598"/>
          </w:tcPr>
          <w:p>
            <w:pPr>
              <w:spacing w:after="0" w:line="252" w:lineRule="auto"/>
            </w:pPr>
            <w:r>
              <w:rPr>
                <w:sz w:val="17"/>
              </w:rPr>
              <w:t xml:space="preserve">Wählt Boxen mit dem </w:t>
            </w:r>
            <w:r>
              <w:rPr>
                <w:b/>
                <w:sz w:val="17"/>
              </w:rPr>
              <w:t>meisten</w:t>
            </w:r>
            <w:r>
              <w:rPr>
                <w:sz w:val="17"/>
              </w:rPr>
              <w:t xml:space="preserve"> freien Platz, damit die Restmenge effizient in eine Box bzw. einen Tablar passt</w:t>
            </w:r>
          </w:p>
        </w:tc>
        <w:tc>
          <w:tcPr>
            <w:tcW w:type="dxa" w:w="2598"/>
          </w:tcPr>
          <w:p>
            <w:pPr>
              <w:spacing w:after="0" w:line="252" w:lineRule="auto"/>
            </w:pPr>
            <w:r>
              <w:rPr>
                <w:sz w:val="17"/>
              </w:rPr>
              <w:t>Möglichst wenige Bedienhandlungen</w:t>
            </w:r>
          </w:p>
        </w:tc>
        <w:tc>
          <w:tcPr>
            <w:tcW w:type="dxa" w:w="2598"/>
          </w:tcPr>
          <w:p>
            <w:pPr>
              <w:spacing w:after="0" w:line="252" w:lineRule="auto"/>
            </w:pPr>
            <w:r>
              <w:rPr>
                <w:sz w:val="17"/>
              </w:rPr>
              <w:t>Die 30 Stück gehen in einem Schritt in die leere Box statt auf zwei teilbelegte Boxen verteilt</w:t>
            </w:r>
          </w:p>
        </w:tc>
      </w:tr>
      <w:tr>
        <w:tc>
          <w:tcPr>
            <w:tcW w:type="dxa" w:w="1732"/>
          </w:tcPr>
          <w:p>
            <w:pPr>
              <w:spacing w:after="0" w:line="252" w:lineRule="auto"/>
            </w:pPr>
            <w:r>
              <w:rPr>
                <w:rFonts w:ascii="Consolas" w:hAnsi="Consolas" w:cs="Consolas" w:eastAsia="Consolas"/>
                <w:sz w:val="15"/>
              </w:rPr>
              <w:t>ASSIGNMENT</w:t>
            </w:r>
          </w:p>
        </w:tc>
        <w:tc>
          <w:tcPr>
            <w:tcW w:type="dxa" w:w="2598"/>
          </w:tcPr>
          <w:p>
            <w:pPr>
              <w:spacing w:after="0" w:line="252" w:lineRule="auto"/>
            </w:pPr>
            <w:r>
              <w:rPr>
                <w:sz w:val="17"/>
              </w:rPr>
              <w:t>Bevorzugt Boxen mit bestehender Artikel-zu-Box-Zuordnung; berücksichtigt Boxtyp-Zuordnung, Kapazität und Tablare in der Zugriffsöffnung</w:t>
            </w:r>
          </w:p>
        </w:tc>
        <w:tc>
          <w:tcPr>
            <w:tcW w:type="dxa" w:w="2598"/>
          </w:tcPr>
          <w:p>
            <w:pPr>
              <w:spacing w:after="0" w:line="252" w:lineRule="auto"/>
            </w:pPr>
            <w:r>
              <w:rPr>
                <w:sz w:val="17"/>
              </w:rPr>
              <w:t>Feste/übliche Plätze, geringer Raumverlust</w:t>
            </w:r>
          </w:p>
        </w:tc>
        <w:tc>
          <w:tcPr>
            <w:tcW w:type="dxa" w:w="2598"/>
          </w:tcPr>
          <w:p>
            <w:pPr>
              <w:spacing w:after="0" w:line="252" w:lineRule="auto"/>
            </w:pPr>
            <w:r>
              <w:rPr>
                <w:sz w:val="17"/>
              </w:rPr>
              <w:t>Schrauben M6 werden immer in die drei ihnen zugeordneten Boxen gelegt</w:t>
            </w:r>
          </w:p>
        </w:tc>
      </w:tr>
      <w:tr>
        <w:tc>
          <w:tcPr>
            <w:tcW w:type="dxa" w:w="1732"/>
          </w:tcPr>
          <w:p>
            <w:pPr>
              <w:spacing w:after="0" w:line="252" w:lineRule="auto"/>
            </w:pPr>
            <w:r>
              <w:rPr>
                <w:rFonts w:ascii="Consolas" w:hAnsi="Consolas" w:cs="Consolas" w:eastAsia="Consolas"/>
                <w:sz w:val="15"/>
              </w:rPr>
              <w:t>BALANCE</w:t>
            </w:r>
          </w:p>
        </w:tc>
        <w:tc>
          <w:tcPr>
            <w:tcW w:type="dxa" w:w="2598"/>
          </w:tcPr>
          <w:p>
            <w:pPr>
              <w:spacing w:after="0" w:line="252" w:lineRule="auto"/>
            </w:pPr>
            <w:r>
              <w:rPr>
                <w:sz w:val="17"/>
              </w:rPr>
              <w:t xml:space="preserve">Verteilt den Bestand zwischen mehreren SSI LOGIMAT, indem Bedarfszeilenmengen </w:t>
            </w:r>
            <w:r>
              <w:rPr>
                <w:b/>
                <w:sz w:val="17"/>
              </w:rPr>
              <w:t>gesplittet</w:t>
            </w:r>
            <w:r>
              <w:rPr>
                <w:sz w:val="17"/>
              </w:rPr>
              <w:t xml:space="preserve"> werden; priorisiert den bevorzugten LOGIMAT</w:t>
            </w:r>
          </w:p>
        </w:tc>
        <w:tc>
          <w:tcPr>
            <w:tcW w:type="dxa" w:w="2598"/>
          </w:tcPr>
          <w:p>
            <w:pPr>
              <w:spacing w:after="0" w:line="252" w:lineRule="auto"/>
            </w:pPr>
            <w:r>
              <w:rPr>
                <w:sz w:val="17"/>
              </w:rPr>
              <w:t>Ausfallsicherheit, gleichmäßige Verteilung</w:t>
            </w:r>
          </w:p>
        </w:tc>
        <w:tc>
          <w:tcPr>
            <w:tcW w:type="dxa" w:w="2598"/>
          </w:tcPr>
          <w:p>
            <w:pPr>
              <w:spacing w:after="0" w:line="252" w:lineRule="auto"/>
            </w:pPr>
            <w:r>
              <w:rPr>
                <w:sz w:val="17"/>
              </w:rPr>
              <w:t>100 Stück werden als 50 + 50 auf LOGIMAT 1 und 2 verteilt</w:t>
            </w:r>
          </w:p>
        </w:tc>
      </w:tr>
      <w:tr>
        <w:tc>
          <w:tcPr>
            <w:tcW w:type="dxa" w:w="1732"/>
          </w:tcPr>
          <w:p>
            <w:pPr>
              <w:spacing w:after="0" w:line="252" w:lineRule="auto"/>
            </w:pPr>
            <w:r>
              <w:rPr>
                <w:rFonts w:ascii="Consolas" w:hAnsi="Consolas" w:cs="Consolas" w:eastAsia="Consolas"/>
                <w:sz w:val="15"/>
              </w:rPr>
              <w:t>LOWEST_STOCK</w:t>
            </w:r>
          </w:p>
        </w:tc>
        <w:tc>
          <w:tcPr>
            <w:tcW w:type="dxa" w:w="2598"/>
          </w:tcPr>
          <w:p>
            <w:pPr>
              <w:spacing w:after="0" w:line="252" w:lineRule="auto"/>
            </w:pPr>
            <w:r>
              <w:rPr>
                <w:sz w:val="17"/>
              </w:rPr>
              <w:t xml:space="preserve">Priorisiert Boxen des SSI LOGIMAT mit dem </w:t>
            </w:r>
            <w:r>
              <w:rPr>
                <w:b/>
                <w:sz w:val="17"/>
              </w:rPr>
              <w:t>geringsten Bestand</w:t>
            </w:r>
            <w:r>
              <w:rPr>
                <w:sz w:val="17"/>
              </w:rPr>
              <w:t>; andere LOGIMAT nur, wenn dort keine Box passt</w:t>
            </w:r>
          </w:p>
        </w:tc>
        <w:tc>
          <w:tcPr>
            <w:tcW w:type="dxa" w:w="2598"/>
          </w:tcPr>
          <w:p>
            <w:pPr>
              <w:spacing w:after="0" w:line="252" w:lineRule="auto"/>
            </w:pPr>
            <w:r>
              <w:rPr>
                <w:sz w:val="17"/>
              </w:rPr>
              <w:t>Bestandsausgleich ohne Splitten</w:t>
            </w:r>
          </w:p>
        </w:tc>
        <w:tc>
          <w:tcPr>
            <w:tcW w:type="dxa" w:w="2598"/>
          </w:tcPr>
          <w:p>
            <w:pPr>
              <w:spacing w:after="0" w:line="252" w:lineRule="auto"/>
            </w:pPr>
            <w:r>
              <w:rPr>
                <w:sz w:val="17"/>
              </w:rPr>
              <w:t>100 Stück gehen komplett in LOGIMAT 2, weil dort weniger Bestand liegt</w:t>
            </w:r>
          </w:p>
        </w:tc>
      </w:tr>
      <w:tr>
        <w:tc>
          <w:tcPr>
            <w:tcW w:type="dxa" w:w="1732"/>
          </w:tcPr>
          <w:p>
            <w:pPr>
              <w:spacing w:after="0" w:line="252" w:lineRule="auto"/>
            </w:pPr>
            <w:r>
              <w:rPr>
                <w:rFonts w:ascii="Consolas" w:hAnsi="Consolas" w:cs="Consolas" w:eastAsia="Consolas"/>
                <w:sz w:val="15"/>
              </w:rPr>
              <w:t>ABC</w:t>
            </w:r>
          </w:p>
        </w:tc>
        <w:tc>
          <w:tcPr>
            <w:tcW w:type="dxa" w:w="2598"/>
          </w:tcPr>
          <w:p>
            <w:pPr>
              <w:spacing w:after="0" w:line="252" w:lineRule="auto"/>
            </w:pPr>
            <w:r>
              <w:rPr>
                <w:sz w:val="17"/>
              </w:rPr>
              <w:t>Wählt dynamisch eine Strategie aus LM145 anhand des ABC-Werts des Artikels</w:t>
            </w:r>
          </w:p>
        </w:tc>
        <w:tc>
          <w:tcPr>
            <w:tcW w:type="dxa" w:w="2598"/>
          </w:tcPr>
          <w:p>
            <w:pPr>
              <w:spacing w:after="0" w:line="252" w:lineRule="auto"/>
            </w:pPr>
            <w:r>
              <w:rPr>
                <w:sz w:val="17"/>
              </w:rPr>
              <w:t>Schnell-, Mittel- und Langsamdreher unterschiedlich behandeln</w:t>
            </w:r>
          </w:p>
        </w:tc>
        <w:tc>
          <w:tcPr>
            <w:tcW w:type="dxa" w:w="2598"/>
          </w:tcPr>
          <w:p>
            <w:pPr>
              <w:spacing w:after="0" w:line="252" w:lineRule="auto"/>
            </w:pPr>
            <w:r>
              <w:rPr>
                <w:sz w:val="17"/>
              </w:rPr>
              <w:t xml:space="preserve">ABC 1–333 → </w:t>
            </w:r>
            <w:r>
              <w:rPr>
                <w:rFonts w:ascii="Consolas" w:hAnsi="Consolas" w:cs="Consolas" w:eastAsia="Consolas"/>
                <w:sz w:val="15"/>
              </w:rPr>
              <w:t>TRANSPORT</w:t>
            </w:r>
            <w:r>
              <w:rPr>
                <w:sz w:val="17"/>
              </w:rPr>
              <w:t xml:space="preserve">, 334–999 → </w:t>
            </w:r>
            <w:r>
              <w:rPr>
                <w:rFonts w:ascii="Consolas" w:hAnsi="Consolas" w:cs="Consolas" w:eastAsia="Consolas"/>
                <w:sz w:val="15"/>
              </w:rPr>
              <w:t>STORAGE</w:t>
            </w:r>
            <w:r>
              <w:rPr>
                <w:sz w:val="17"/>
              </w:rPr>
              <w:t xml:space="preserve"> (siehe 3.4)</w:t>
            </w:r>
          </w:p>
        </w:tc>
      </w:tr>
    </w:tbl>
    <w:p>
      <w:pPr>
        <w:pStyle w:val="BeschriftungSSI"/>
      </w:pPr>
      <w:r>
        <w:t>Tab. 4: Lagerreservierungsstrategien für SSI LOGIMAT</w:t>
      </w:r>
    </w:p>
    <w:p>
      <w:pPr>
        <w:pStyle w:val="Quelle"/>
      </w:pPr>
      <w:r>
        <w:rPr>
          <w:b/>
        </w:rPr>
        <w:t xml:space="preserve">Quelle: </w:t>
      </w:r>
      <w:r>
        <w:rPr>
          <w:sz w:val="17"/>
        </w:rPr>
        <w:t>Administratorhandbuch 2.7, Kap. 3.6.1.5 (S. 102–104), 3.6.1.11 (S. 112–113), 3.6.3.7 (S. 125)</w:t>
      </w:r>
    </w:p>
    <w:p>
      <w:r>
        <w:t xml:space="preserve">Die Schulungsunterlage 2024 fasst die Ziele so zusammen: </w:t>
      </w:r>
      <w:r>
        <w:rPr>
          <w:b/>
        </w:rPr>
        <w:t>Transport</w:t>
      </w:r>
      <w:r>
        <w:t xml:space="preserve"> – Tablarbewegungen optimieren; </w:t>
      </w:r>
      <w:r>
        <w:rPr>
          <w:b/>
        </w:rPr>
        <w:t>Storage</w:t>
      </w:r>
      <w:r>
        <w:t xml:space="preserve"> – Platzverbrauch minimieren; </w:t>
      </w:r>
      <w:r>
        <w:rPr>
          <w:b/>
        </w:rPr>
        <w:t>Assignment</w:t>
      </w:r>
      <w:r>
        <w:t xml:space="preserve"> – Plätze mit Artikel-zu-Box-Zuordnung bevorzugen; </w:t>
      </w:r>
      <w:r>
        <w:rPr>
          <w:b/>
        </w:rPr>
        <w:t>Balance</w:t>
      </w:r>
      <w:r>
        <w:t xml:space="preserve"> – Bestand je Artikel über die Zone ausgleichen; </w:t>
      </w:r>
      <w:r>
        <w:rPr>
          <w:b/>
        </w:rPr>
        <w:t>Operations</w:t>
      </w:r>
      <w:r>
        <w:t xml:space="preserve"> – Bedienerinteraktionen minimieren.</w:t>
      </w:r>
    </w:p>
    <w:p>
      <w:pPr>
        <w:pStyle w:val="Quelle"/>
      </w:pPr>
      <w:r>
        <w:rPr>
          <w:b/>
        </w:rPr>
        <w:t xml:space="preserve">Quelle: </w:t>
      </w:r>
      <w:r>
        <w:rPr>
          <w:sz w:val="17"/>
        </w:rPr>
        <w:t>WAMAS LogiMat Consultant Training Part 1 (12.01.2024), Folie „Client Configuration (3) – Storage demand“</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Ältere Parameter im Installationshandbuch</w:t>
            </w:r>
          </w:p>
          <w:p>
            <w:pPr>
              <w:spacing w:after="40"/>
            </w:pPr>
            <w:r>
              <w:rPr>
                <w:sz w:val="19"/>
              </w:rPr>
              <w:t xml:space="preserve">Das Installationshandbuch 2.7 (Kap. 6.7) führt noch den globalen Parameter </w:t>
            </w:r>
            <w:r>
              <w:rPr>
                <w:rFonts w:ascii="Consolas" w:hAnsi="Consolas" w:cs="Consolas" w:eastAsia="Consolas"/>
                <w:sz w:val="17"/>
              </w:rPr>
              <w:t>logimat.storageOptimization</w:t>
            </w:r>
            <w:r>
              <w:rPr>
                <w:sz w:val="19"/>
              </w:rPr>
              <w:t xml:space="preserve"> (Standard </w:t>
            </w:r>
            <w:r>
              <w:rPr>
                <w:rFonts w:ascii="Consolas" w:hAnsi="Consolas" w:cs="Consolas" w:eastAsia="Consolas"/>
                <w:sz w:val="17"/>
              </w:rPr>
              <w:t>TRANSPORT</w:t>
            </w:r>
            <w:r>
              <w:rPr>
                <w:sz w:val="19"/>
              </w:rPr>
              <w:t>, „Defines the type of storage optimization“). Er fehlt in der Parameterliste der Administratorhandbücher 2.7 und 2.8. Ob er neben der Lagerreservierungsstrategie noch wirkt, ist nicht dokumentiert.</w:t>
            </w:r>
          </w:p>
        </w:tc>
      </w:tr>
    </w:tbl>
    <w:p>
      <w:pPr>
        <w:spacing w:after="40"/>
      </w:pPr>
    </w:p>
    <w:p>
      <w:pPr>
        <w:pStyle w:val="Heading2"/>
      </w:pPr>
      <w:r>
        <w:t>3.3 Strategien für externe Lagerplätze</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876"/>
        <w:gridCol w:w="2815"/>
        <w:gridCol w:w="2017"/>
        <w:gridCol w:w="2815"/>
      </w:tblGrid>
      <w:tr>
        <w:trPr>
          <w:tblHeader w:val="true"/>
        </w:trPr>
        <w:tc>
          <w:tcPr>
            <w:tcW w:type="dxa" w:w="1877"/>
            <w:shd w:val="clear" w:color="auto" w:fill="FEEE19"/>
          </w:tcPr>
          <w:p>
            <w:pPr>
              <w:spacing w:after="0"/>
            </w:pPr>
            <w:r>
              <w:rPr>
                <w:b/>
                <w:sz w:val="17"/>
              </w:rPr>
              <w:t>Strategie (Feldwert in der Auswahlliste)</w:t>
            </w:r>
          </w:p>
        </w:tc>
        <w:tc>
          <w:tcPr>
            <w:tcW w:type="dxa" w:w="2815"/>
            <w:shd w:val="clear" w:color="auto" w:fill="FEEE19"/>
          </w:tcPr>
          <w:p>
            <w:pPr>
              <w:spacing w:after="0"/>
            </w:pPr>
            <w:r>
              <w:rPr>
                <w:b/>
                <w:sz w:val="17"/>
              </w:rPr>
              <w:t>Was sie tut (laut Handbuch)</w:t>
            </w:r>
          </w:p>
        </w:tc>
        <w:tc>
          <w:tcPr>
            <w:tcW w:type="dxa" w:w="2017"/>
            <w:shd w:val="clear" w:color="auto" w:fill="FEEE19"/>
          </w:tcPr>
          <w:p>
            <w:pPr>
              <w:spacing w:after="0"/>
            </w:pPr>
            <w:r>
              <w:rPr>
                <w:b/>
                <w:sz w:val="17"/>
              </w:rPr>
              <w:t>Wirkung / Ziel</w:t>
            </w:r>
          </w:p>
        </w:tc>
        <w:tc>
          <w:tcPr>
            <w:tcW w:type="dxa" w:w="2815"/>
            <w:shd w:val="clear" w:color="auto" w:fill="FEEE19"/>
          </w:tcPr>
          <w:p>
            <w:pPr>
              <w:spacing w:after="0"/>
            </w:pPr>
            <w:r>
              <w:rPr>
                <w:b/>
                <w:sz w:val="17"/>
              </w:rPr>
              <w:t>Beispiel (konstruiert, bitte prüfen)</w:t>
            </w:r>
          </w:p>
        </w:tc>
      </w:tr>
      <w:tr>
        <w:tc>
          <w:tcPr>
            <w:tcW w:type="dxa" w:w="1877"/>
          </w:tcPr>
          <w:p>
            <w:pPr>
              <w:spacing w:after="0" w:line="252" w:lineRule="auto"/>
            </w:pPr>
            <w:r>
              <w:rPr>
                <w:rFonts w:ascii="Consolas" w:hAnsi="Consolas" w:cs="Consolas" w:eastAsia="Consolas"/>
                <w:sz w:val="15"/>
              </w:rPr>
              <w:t>ASSIGNMENT_EXTERN</w:t>
            </w:r>
          </w:p>
        </w:tc>
        <w:tc>
          <w:tcPr>
            <w:tcW w:type="dxa" w:w="2815"/>
          </w:tcPr>
          <w:p>
            <w:pPr>
              <w:spacing w:after="0" w:line="252" w:lineRule="auto"/>
            </w:pPr>
            <w:r>
              <w:rPr>
                <w:sz w:val="17"/>
              </w:rPr>
              <w:t>Reserviert externe Plätze nach Lagerplatzgruppe und Reihenfolge; berücksichtigt Verpackungsversion, Artikelbeschränkungen, begrenzte Kapazität, Bestandsniveaus</w:t>
            </w:r>
          </w:p>
        </w:tc>
        <w:tc>
          <w:tcPr>
            <w:tcW w:type="dxa" w:w="2017"/>
          </w:tcPr>
          <w:p>
            <w:pPr>
              <w:spacing w:after="0" w:line="252" w:lineRule="auto"/>
            </w:pPr>
            <w:r>
              <w:rPr>
                <w:sz w:val="17"/>
              </w:rPr>
              <w:t>Feste Laufwege, Reihenfolge der Regalplätze</w:t>
            </w:r>
          </w:p>
        </w:tc>
        <w:tc>
          <w:tcPr>
            <w:tcW w:type="dxa" w:w="2815"/>
          </w:tcPr>
          <w:p>
            <w:pPr>
              <w:spacing w:after="0" w:line="252" w:lineRule="auto"/>
            </w:pPr>
            <w:r>
              <w:rPr>
                <w:sz w:val="17"/>
              </w:rPr>
              <w:t xml:space="preserve">Einlagerung beginnt am Platz mit Einlagerungsreihenfolge 1 der Gruppe </w:t>
            </w:r>
            <w:r>
              <w:rPr>
                <w:rFonts w:ascii="Consolas" w:hAnsi="Consolas" w:cs="Consolas" w:eastAsia="Consolas"/>
                <w:sz w:val="15"/>
              </w:rPr>
              <w:t>RackA</w:t>
            </w:r>
          </w:p>
        </w:tc>
      </w:tr>
      <w:tr>
        <w:tc>
          <w:tcPr>
            <w:tcW w:type="dxa" w:w="1877"/>
          </w:tcPr>
          <w:p>
            <w:pPr>
              <w:spacing w:after="0" w:line="252" w:lineRule="auto"/>
            </w:pPr>
            <w:r>
              <w:rPr>
                <w:rFonts w:ascii="Consolas" w:hAnsi="Consolas" w:cs="Consolas" w:eastAsia="Consolas"/>
                <w:sz w:val="15"/>
              </w:rPr>
              <w:t>LOWEST_STOCK_EXTERN</w:t>
            </w:r>
          </w:p>
        </w:tc>
        <w:tc>
          <w:tcPr>
            <w:tcW w:type="dxa" w:w="2815"/>
          </w:tcPr>
          <w:p>
            <w:pPr>
              <w:spacing w:after="0" w:line="252" w:lineRule="auto"/>
            </w:pPr>
            <w:r>
              <w:rPr>
                <w:sz w:val="17"/>
              </w:rPr>
              <w:t>Gleicht den Bestand über externe Lagerplatzgruppen aus; priorisiert die Gruppe mit dem geringsten Bestand, möglichst ganze Bedarfszeile in einer Gruppe</w:t>
            </w:r>
          </w:p>
        </w:tc>
        <w:tc>
          <w:tcPr>
            <w:tcW w:type="dxa" w:w="2017"/>
          </w:tcPr>
          <w:p>
            <w:pPr>
              <w:spacing w:after="0" w:line="252" w:lineRule="auto"/>
            </w:pPr>
            <w:r>
              <w:rPr>
                <w:sz w:val="17"/>
              </w:rPr>
              <w:t>Gleichmäßige Belegung mehrerer Regale</w:t>
            </w:r>
          </w:p>
        </w:tc>
        <w:tc>
          <w:tcPr>
            <w:tcW w:type="dxa" w:w="2815"/>
          </w:tcPr>
          <w:p>
            <w:pPr>
              <w:spacing w:after="0" w:line="252" w:lineRule="auto"/>
            </w:pPr>
            <w:r>
              <w:rPr>
                <w:sz w:val="17"/>
              </w:rPr>
              <w:t xml:space="preserve">Zwei Regale </w:t>
            </w:r>
            <w:r>
              <w:rPr>
                <w:rFonts w:ascii="Consolas" w:hAnsi="Consolas" w:cs="Consolas" w:eastAsia="Consolas"/>
                <w:sz w:val="15"/>
              </w:rPr>
              <w:t>RackA</w:t>
            </w:r>
            <w:r>
              <w:rPr>
                <w:sz w:val="17"/>
              </w:rPr>
              <w:t xml:space="preserve"> und </w:t>
            </w:r>
            <w:r>
              <w:rPr>
                <w:rFonts w:ascii="Consolas" w:hAnsi="Consolas" w:cs="Consolas" w:eastAsia="Consolas"/>
                <w:sz w:val="15"/>
              </w:rPr>
              <w:t>RackB</w:t>
            </w:r>
            <w:r>
              <w:rPr>
                <w:sz w:val="17"/>
              </w:rPr>
              <w:t>: die Zeile geht vollständig ins leerere Regal</w:t>
            </w:r>
          </w:p>
        </w:tc>
      </w:tr>
      <w:tr>
        <w:tc>
          <w:tcPr>
            <w:tcW w:type="dxa" w:w="1877"/>
          </w:tcPr>
          <w:p>
            <w:pPr>
              <w:spacing w:after="0" w:line="252" w:lineRule="auto"/>
            </w:pPr>
            <w:r>
              <w:rPr>
                <w:rFonts w:ascii="Consolas" w:hAnsi="Consolas" w:cs="Consolas" w:eastAsia="Consolas"/>
                <w:sz w:val="15"/>
              </w:rPr>
              <w:t>ABC_EXTERNAL</w:t>
            </w:r>
          </w:p>
        </w:tc>
        <w:tc>
          <w:tcPr>
            <w:tcW w:type="dxa" w:w="2815"/>
          </w:tcPr>
          <w:p>
            <w:pPr>
              <w:spacing w:after="0" w:line="252" w:lineRule="auto"/>
            </w:pPr>
            <w:r>
              <w:rPr>
                <w:sz w:val="17"/>
              </w:rPr>
              <w:t xml:space="preserve">Wie </w:t>
            </w:r>
            <w:r>
              <w:rPr>
                <w:rFonts w:ascii="Consolas" w:hAnsi="Consolas" w:cs="Consolas" w:eastAsia="Consolas"/>
                <w:sz w:val="15"/>
              </w:rPr>
              <w:t>ABC</w:t>
            </w:r>
            <w:r>
              <w:rPr>
                <w:sz w:val="17"/>
              </w:rPr>
              <w:t>, für externe Plätze</w:t>
            </w:r>
          </w:p>
        </w:tc>
        <w:tc>
          <w:tcPr>
            <w:tcW w:type="dxa" w:w="2017"/>
          </w:tcPr>
          <w:p>
            <w:pPr>
              <w:spacing w:after="0" w:line="252" w:lineRule="auto"/>
            </w:pPr>
            <w:r>
              <w:rPr>
                <w:sz w:val="17"/>
              </w:rPr>
              <w:t>ABC-abhängige Platzwahl im Regal</w:t>
            </w:r>
          </w:p>
        </w:tc>
        <w:tc>
          <w:tcPr>
            <w:tcW w:type="dxa" w:w="2815"/>
          </w:tcPr>
          <w:p>
            <w:pPr>
              <w:spacing w:after="0" w:line="252" w:lineRule="auto"/>
            </w:pPr>
            <w:r>
              <w:rPr>
                <w:sz w:val="17"/>
              </w:rPr>
              <w:t xml:space="preserve">Schnelldreher nach </w:t>
            </w:r>
            <w:r>
              <w:rPr>
                <w:rFonts w:ascii="Consolas" w:hAnsi="Consolas" w:cs="Consolas" w:eastAsia="Consolas"/>
                <w:sz w:val="15"/>
              </w:rPr>
              <w:t>ASSIGNMENT_EXTERN</w:t>
            </w:r>
            <w:r>
              <w:rPr>
                <w:sz w:val="17"/>
              </w:rPr>
              <w:t xml:space="preserve"> in die vorderen Plätze</w:t>
            </w:r>
          </w:p>
        </w:tc>
      </w:tr>
    </w:tbl>
    <w:p>
      <w:pPr>
        <w:pStyle w:val="BeschriftungSSI"/>
      </w:pPr>
      <w:r>
        <w:t>Tab. 5: Lagerreservierungsstrategien für externe Lagerplätze</w:t>
      </w:r>
    </w:p>
    <w:p>
      <w:r>
        <w:t xml:space="preserve">Konfiguration: Feld </w:t>
      </w:r>
      <w:r>
        <w:rPr>
          <w:rFonts w:ascii="Consolas" w:hAnsi="Consolas" w:cs="Consolas" w:eastAsia="Consolas"/>
          <w:sz w:val="18"/>
        </w:rPr>
        <w:t>Externe Lagerreservierungsstrategie</w:t>
      </w:r>
      <w:r>
        <w:t xml:space="preserve"> an Warengruppe und Einlagerbedarfstyp; am Artikel in der gemeinsamen Liste. Eigene externe Strategien in LM145 mit </w:t>
      </w:r>
      <w:r>
        <w:rPr>
          <w:rFonts w:ascii="Consolas" w:hAnsi="Consolas" w:cs="Consolas" w:eastAsia="Consolas"/>
          <w:sz w:val="18"/>
        </w:rPr>
        <w:t>Zweck</w:t>
      </w:r>
      <w:r>
        <w:t xml:space="preserve"> = </w:t>
      </w:r>
      <w:r>
        <w:rPr>
          <w:b/>
        </w:rPr>
        <w:t>EXTERNAL</w:t>
      </w:r>
      <w:r>
        <w:t>. Details zur Einrichtung externer Plätze: How-to „Externe Lagerprozesse“.</w:t>
      </w:r>
    </w:p>
    <w:p>
      <w:pPr>
        <w:pStyle w:val="Quelle"/>
      </w:pPr>
      <w:r>
        <w:rPr>
          <w:b/>
        </w:rPr>
        <w:t xml:space="preserve">Quelle: </w:t>
      </w:r>
      <w:r>
        <w:rPr>
          <w:sz w:val="17"/>
        </w:rPr>
        <w:t>Administratorhandbuch 2.7, Kap. 3.1.16, 3.6.1.5, 3.6.1.11, 3.6.3.7</w:t>
      </w:r>
    </w:p>
    <w:p>
      <w:pPr>
        <w:pStyle w:val="Heading2"/>
      </w:pPr>
      <w:r>
        <w:t>3.4 Eigene Strategien und ABC-Strategie (LM145)</w:t>
      </w:r>
    </w:p>
    <w:p>
      <w:pPr>
        <w:tabs>
          <w:tab w:pos="425" w:val="left"/>
        </w:tabs>
        <w:spacing w:after="60"/>
        <w:ind w:left="425" w:hanging="425"/>
      </w:pPr>
      <w:r>
        <w:rPr>
          <w:b/>
        </w:rPr>
        <w:t>1.</w:t>
        <w:tab/>
      </w:r>
      <w:r>
        <w:rPr>
          <w:b/>
        </w:rPr>
        <w:t>LM145 Lagerreservierungsstrategie pflegen</w:t>
      </w:r>
      <w:r>
        <w:t xml:space="preserve"> öffnen, </w:t>
      </w:r>
      <w:r>
        <w:rPr>
          <w:b/>
        </w:rPr>
        <w:t>Datensatz anlegen</w:t>
      </w:r>
      <w:r>
        <w:t>.</w:t>
      </w:r>
    </w:p>
    <w:p>
      <w:pPr>
        <w:tabs>
          <w:tab w:pos="425" w:val="left"/>
        </w:tabs>
        <w:spacing w:after="60"/>
        <w:ind w:left="425" w:hanging="425"/>
      </w:pPr>
      <w:r>
        <w:rPr>
          <w:b/>
        </w:rPr>
        <w:t>2.</w:t>
        <w:tab/>
      </w:r>
      <w:r>
        <w:rPr>
          <w:rFonts w:ascii="Consolas" w:hAnsi="Consolas" w:cs="Consolas" w:eastAsia="Consolas"/>
          <w:sz w:val="18"/>
        </w:rPr>
        <w:t>Lagerreservierungsstrategie ID</w:t>
      </w:r>
      <w:r>
        <w:t xml:space="preserve"> eindeutig vergeben. </w:t>
      </w:r>
      <w:r>
        <w:rPr>
          <w:rFonts w:ascii="Consolas" w:hAnsi="Consolas" w:cs="Consolas" w:eastAsia="Consolas"/>
          <w:sz w:val="18"/>
        </w:rPr>
        <w:t>Strategieart</w:t>
      </w:r>
      <w:r>
        <w:t xml:space="preserve"> ist schreibgeschützt (</w:t>
      </w:r>
      <w:r>
        <w:rPr>
          <w:rFonts w:ascii="Consolas" w:hAnsi="Consolas" w:cs="Consolas" w:eastAsia="Consolas"/>
          <w:sz w:val="18"/>
        </w:rPr>
        <w:t>CUSTOM</w:t>
      </w:r>
      <w:r>
        <w:t>).</w:t>
      </w:r>
    </w:p>
    <w:p>
      <w:pPr>
        <w:tabs>
          <w:tab w:pos="425" w:val="left"/>
        </w:tabs>
        <w:spacing w:after="60"/>
        <w:ind w:left="425" w:hanging="425"/>
      </w:pPr>
      <w:r>
        <w:rPr>
          <w:b/>
        </w:rPr>
        <w:t>3.</w:t>
        <w:tab/>
      </w:r>
      <w:r>
        <w:rPr>
          <w:rFonts w:ascii="Consolas" w:hAnsi="Consolas" w:cs="Consolas" w:eastAsia="Consolas"/>
          <w:sz w:val="18"/>
        </w:rPr>
        <w:t>Zweck</w:t>
      </w:r>
      <w:r>
        <w:t xml:space="preserve">: </w:t>
      </w:r>
      <w:r>
        <w:rPr>
          <w:b/>
        </w:rPr>
        <w:t>SSI LOGIMAT</w:t>
      </w:r>
      <w:r>
        <w:t xml:space="preserve"> (Plätze im LOGIMAT) oder </w:t>
      </w:r>
      <w:r>
        <w:rPr>
          <w:b/>
        </w:rPr>
        <w:t>EXTERNAL</w:t>
      </w:r>
      <w:r>
        <w:t xml:space="preserve"> (externe Plätze).</w:t>
      </w:r>
    </w:p>
    <w:p>
      <w:pPr>
        <w:tabs>
          <w:tab w:pos="425" w:val="left"/>
        </w:tabs>
        <w:spacing w:after="60"/>
        <w:ind w:left="425" w:hanging="425"/>
      </w:pPr>
      <w:r>
        <w:rPr>
          <w:b/>
        </w:rPr>
        <w:t>4.</w:t>
        <w:tab/>
      </w:r>
      <w:r>
        <w:t>Optionen:</w:t>
      </w:r>
    </w:p>
    <w:p>
      <w:pPr>
        <w:pStyle w:val="ListBullet2"/>
      </w:pPr>
      <w:r>
        <w:rPr>
          <w:rFonts w:ascii="Consolas" w:hAnsi="Consolas" w:cs="Consolas" w:eastAsia="Consolas"/>
          <w:sz w:val="18"/>
        </w:rPr>
        <w:t>ABC</w:t>
      </w:r>
      <w:r>
        <w:t xml:space="preserve">: Artikel nach ABC-Wert priorisieren; schaltet die Registerkarte </w:t>
      </w:r>
      <w:r>
        <w:rPr>
          <w:b/>
        </w:rPr>
        <w:t>ABC-Lagerreservierungsstrategie</w:t>
      </w:r>
      <w:r>
        <w:t xml:space="preserve"> frei.</w:t>
      </w:r>
    </w:p>
    <w:p>
      <w:pPr>
        <w:pStyle w:val="ListBullet2"/>
      </w:pPr>
      <w:r>
        <w:rPr>
          <w:rFonts w:ascii="Consolas" w:hAnsi="Consolas" w:cs="Consolas" w:eastAsia="Consolas"/>
          <w:sz w:val="18"/>
        </w:rPr>
        <w:t>Niedrigste Bestandsniveaus berechnen</w:t>
      </w:r>
      <w:r>
        <w:t xml:space="preserve">: priorisiert den Vertikallagerlift mit dem geringsten Bestand, sodass die </w:t>
      </w:r>
      <w:r>
        <w:rPr>
          <w:b/>
        </w:rPr>
        <w:t>gesamte</w:t>
      </w:r>
      <w:r>
        <w:t xml:space="preserve"> Einlagerbedarfszeile im LOGIMAT mit dem geringsten Bestand eingelagert wird. Minimiert Splits und Transporte zwischen LOGIMAT.</w:t>
      </w:r>
    </w:p>
    <w:p>
      <w:pPr>
        <w:pStyle w:val="ListBullet2"/>
      </w:pPr>
      <w:r>
        <w:rPr>
          <w:rFonts w:ascii="Consolas" w:hAnsi="Consolas" w:cs="Consolas" w:eastAsia="Consolas"/>
          <w:sz w:val="18"/>
        </w:rPr>
        <w:t>Durchschnittliche Bestandsniveaus berechnen</w:t>
      </w:r>
      <w:r>
        <w:t>: evaluiert die Bestandsniveaus einer Verpackungsversion und priorisiert den LOGIMAT mit dem geringsten Bestand, um gleiche Niveaus in allen LOGIMAT zu erreichen.</w:t>
      </w:r>
    </w:p>
    <w:p>
      <w:pPr>
        <w:tabs>
          <w:tab w:pos="425" w:val="left"/>
        </w:tabs>
        <w:spacing w:after="60"/>
        <w:ind w:left="425" w:hanging="425"/>
      </w:pPr>
      <w:r>
        <w:rPr>
          <w:b/>
        </w:rPr>
        <w:t>5.</w:t>
        <w:tab/>
      </w:r>
      <w:r>
        <w:t xml:space="preserve">Registerkarte </w:t>
      </w:r>
      <w:r>
        <w:rPr>
          <w:b/>
        </w:rPr>
        <w:t>Lagerreservierungsstrategiekriterien</w:t>
      </w:r>
      <w:r>
        <w:t xml:space="preserve">: </w:t>
      </w:r>
      <w:r>
        <w:rPr>
          <w:rFonts w:ascii="Consolas" w:hAnsi="Consolas" w:cs="Consolas" w:eastAsia="Consolas"/>
          <w:sz w:val="18"/>
        </w:rPr>
        <w:t>Kriterium</w:t>
      </w:r>
      <w:r>
        <w:t xml:space="preserve"> wählen; </w:t>
      </w:r>
      <w:r>
        <w:rPr>
          <w:rFonts w:ascii="Consolas" w:hAnsi="Consolas" w:cs="Consolas" w:eastAsia="Consolas"/>
          <w:sz w:val="18"/>
        </w:rPr>
        <w:t>Sequenznummer</w:t>
      </w:r>
      <w:r>
        <w:t xml:space="preserve"> (schreibgeschützt) gibt die Reihenfolge an; </w:t>
      </w:r>
      <w:r>
        <w:rPr>
          <w:rFonts w:ascii="Consolas" w:hAnsi="Consolas" w:cs="Consolas" w:eastAsia="Consolas"/>
          <w:sz w:val="18"/>
        </w:rPr>
        <w:t>Sortierreihenfolge</w:t>
      </w:r>
      <w:r>
        <w:t xml:space="preserve"> auf- oder absteigend.</w:t>
      </w:r>
    </w:p>
    <w:p>
      <w:pPr>
        <w:tabs>
          <w:tab w:pos="425" w:val="left"/>
        </w:tabs>
        <w:spacing w:after="60"/>
        <w:ind w:left="425" w:hanging="425"/>
      </w:pPr>
      <w:r>
        <w:rPr>
          <w:b/>
        </w:rPr>
        <w:t>6.</w:t>
        <w:tab/>
      </w:r>
      <w:r>
        <w:t xml:space="preserve">Registerkarte </w:t>
      </w:r>
      <w:r>
        <w:rPr>
          <w:b/>
        </w:rPr>
        <w:t>Beschreibung Lagerreservierungsstrategiekriterien</w:t>
      </w:r>
      <w:r>
        <w:t>: mehrsprachige Beschreibungen.</w:t>
      </w:r>
    </w:p>
    <w:p>
      <w:pPr>
        <w:tabs>
          <w:tab w:pos="425" w:val="left"/>
        </w:tabs>
        <w:spacing w:after="60"/>
        <w:ind w:left="425" w:hanging="425"/>
      </w:pPr>
      <w:r>
        <w:rPr>
          <w:b/>
        </w:rPr>
        <w:t>7.</w:t>
        <w:tab/>
      </w:r>
      <w:r>
        <w:t xml:space="preserve">Registerkarte </w:t>
      </w:r>
      <w:r>
        <w:rPr>
          <w:b/>
        </w:rPr>
        <w:t>ABC-Lagerreservierungsstrategie</w:t>
      </w:r>
      <w:r>
        <w:t xml:space="preserve"> (nur mit </w:t>
      </w:r>
      <w:r>
        <w:rPr>
          <w:rFonts w:ascii="Consolas" w:hAnsi="Consolas" w:cs="Consolas" w:eastAsia="Consolas"/>
          <w:sz w:val="18"/>
        </w:rPr>
        <w:t>ABC</w:t>
      </w:r>
      <w:r>
        <w:t xml:space="preserve">): Zeilen mit </w:t>
      </w:r>
      <w:r>
        <w:rPr>
          <w:rFonts w:ascii="Consolas" w:hAnsi="Consolas" w:cs="Consolas" w:eastAsia="Consolas"/>
          <w:sz w:val="18"/>
        </w:rPr>
        <w:t>ABC-Nummernkreis</w:t>
      </w:r>
      <w:r>
        <w:t xml:space="preserve">, </w:t>
      </w:r>
      <w:r>
        <w:rPr>
          <w:rFonts w:ascii="Consolas" w:hAnsi="Consolas" w:cs="Consolas" w:eastAsia="Consolas"/>
          <w:sz w:val="18"/>
        </w:rPr>
        <w:t>ABC-Wert (min.)</w:t>
      </w:r>
      <w:r>
        <w:t xml:space="preserve">, </w:t>
      </w:r>
      <w:r>
        <w:rPr>
          <w:rFonts w:ascii="Consolas" w:hAnsi="Consolas" w:cs="Consolas" w:eastAsia="Consolas"/>
          <w:sz w:val="18"/>
        </w:rPr>
        <w:t>ABC-Wert (max.)</w:t>
      </w:r>
      <w:r>
        <w:t xml:space="preserve"> und zugehöriger </w:t>
      </w:r>
      <w:r>
        <w:rPr>
          <w:rFonts w:ascii="Consolas" w:hAnsi="Consolas" w:cs="Consolas" w:eastAsia="Consolas"/>
          <w:sz w:val="18"/>
        </w:rPr>
        <w:t>Lagerreservierungsstrategie</w:t>
      </w:r>
      <w:r>
        <w:t xml:space="preserve">. Der gesamte Bereich </w:t>
      </w:r>
      <w:r>
        <w:rPr>
          <w:b/>
        </w:rPr>
        <w:t>0 bis 999</w:t>
      </w:r>
      <w:r>
        <w:t xml:space="preserve"> muss lückenlos abgedeckt sein.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087"/>
        <w:gridCol w:w="1957"/>
        <w:gridCol w:w="1957"/>
        <w:gridCol w:w="3523"/>
      </w:tblGrid>
      <w:tr>
        <w:trPr>
          <w:tblHeader w:val="true"/>
        </w:trPr>
        <w:tc>
          <w:tcPr>
            <w:tcW w:type="dxa" w:w="2088"/>
            <w:shd w:val="clear" w:color="auto" w:fill="FEEE19"/>
          </w:tcPr>
          <w:p>
            <w:pPr>
              <w:spacing w:after="0"/>
            </w:pPr>
            <w:r>
              <w:rPr>
                <w:b/>
                <w:sz w:val="17"/>
              </w:rPr>
              <w:t>ABC-Nummernkreis</w:t>
            </w:r>
          </w:p>
        </w:tc>
        <w:tc>
          <w:tcPr>
            <w:tcW w:type="dxa" w:w="1957"/>
            <w:shd w:val="clear" w:color="auto" w:fill="FEEE19"/>
          </w:tcPr>
          <w:p>
            <w:pPr>
              <w:spacing w:after="0"/>
            </w:pPr>
            <w:r>
              <w:rPr>
                <w:b/>
                <w:sz w:val="17"/>
              </w:rPr>
              <w:t>ABC-Wert (min.)</w:t>
            </w:r>
          </w:p>
        </w:tc>
        <w:tc>
          <w:tcPr>
            <w:tcW w:type="dxa" w:w="1957"/>
            <w:shd w:val="clear" w:color="auto" w:fill="FEEE19"/>
          </w:tcPr>
          <w:p>
            <w:pPr>
              <w:spacing w:after="0"/>
            </w:pPr>
            <w:r>
              <w:rPr>
                <w:b/>
                <w:sz w:val="17"/>
              </w:rPr>
              <w:t>ABC-Wert (max.)</w:t>
            </w:r>
          </w:p>
        </w:tc>
        <w:tc>
          <w:tcPr>
            <w:tcW w:type="dxa" w:w="3523"/>
            <w:shd w:val="clear" w:color="auto" w:fill="FEEE19"/>
          </w:tcPr>
          <w:p>
            <w:pPr>
              <w:spacing w:after="0"/>
            </w:pPr>
            <w:r>
              <w:rPr>
                <w:b/>
                <w:sz w:val="17"/>
              </w:rPr>
              <w:t>Lagerreservierungsstrategie</w:t>
            </w:r>
          </w:p>
        </w:tc>
      </w:tr>
      <w:tr>
        <w:tc>
          <w:tcPr>
            <w:tcW w:type="dxa" w:w="2088"/>
          </w:tcPr>
          <w:p>
            <w:pPr>
              <w:spacing w:after="0" w:line="252" w:lineRule="auto"/>
            </w:pPr>
            <w:r>
              <w:rPr>
                <w:sz w:val="17"/>
              </w:rPr>
              <w:t>SCHNELL</w:t>
            </w:r>
          </w:p>
        </w:tc>
        <w:tc>
          <w:tcPr>
            <w:tcW w:type="dxa" w:w="1957"/>
          </w:tcPr>
          <w:p>
            <w:pPr>
              <w:spacing w:after="0" w:line="252" w:lineRule="auto"/>
            </w:pPr>
            <w:r>
              <w:rPr>
                <w:sz w:val="17"/>
              </w:rPr>
              <w:t>0</w:t>
            </w:r>
          </w:p>
        </w:tc>
        <w:tc>
          <w:tcPr>
            <w:tcW w:type="dxa" w:w="1957"/>
          </w:tcPr>
          <w:p>
            <w:pPr>
              <w:spacing w:after="0" w:line="252" w:lineRule="auto"/>
            </w:pPr>
            <w:r>
              <w:rPr>
                <w:sz w:val="17"/>
              </w:rPr>
              <w:t>333</w:t>
            </w:r>
          </w:p>
        </w:tc>
        <w:tc>
          <w:tcPr>
            <w:tcW w:type="dxa" w:w="3523"/>
          </w:tcPr>
          <w:p>
            <w:pPr>
              <w:spacing w:after="0" w:line="252" w:lineRule="auto"/>
            </w:pPr>
            <w:r>
              <w:rPr>
                <w:rFonts w:ascii="Consolas" w:hAnsi="Consolas" w:cs="Consolas" w:eastAsia="Consolas"/>
                <w:sz w:val="15"/>
              </w:rPr>
              <w:t>TRANSPORT</w:t>
            </w:r>
          </w:p>
        </w:tc>
      </w:tr>
      <w:tr>
        <w:tc>
          <w:tcPr>
            <w:tcW w:type="dxa" w:w="2088"/>
          </w:tcPr>
          <w:p>
            <w:pPr>
              <w:spacing w:after="0" w:line="252" w:lineRule="auto"/>
            </w:pPr>
            <w:r>
              <w:rPr>
                <w:sz w:val="17"/>
              </w:rPr>
              <w:t>MITTEL</w:t>
            </w:r>
          </w:p>
        </w:tc>
        <w:tc>
          <w:tcPr>
            <w:tcW w:type="dxa" w:w="1957"/>
          </w:tcPr>
          <w:p>
            <w:pPr>
              <w:spacing w:after="0" w:line="252" w:lineRule="auto"/>
            </w:pPr>
            <w:r>
              <w:rPr>
                <w:sz w:val="17"/>
              </w:rPr>
              <w:t>334</w:t>
            </w:r>
          </w:p>
        </w:tc>
        <w:tc>
          <w:tcPr>
            <w:tcW w:type="dxa" w:w="1957"/>
          </w:tcPr>
          <w:p>
            <w:pPr>
              <w:spacing w:after="0" w:line="252" w:lineRule="auto"/>
            </w:pPr>
            <w:r>
              <w:rPr>
                <w:sz w:val="17"/>
              </w:rPr>
              <w:t>666</w:t>
            </w:r>
          </w:p>
        </w:tc>
        <w:tc>
          <w:tcPr>
            <w:tcW w:type="dxa" w:w="3523"/>
          </w:tcPr>
          <w:p>
            <w:pPr>
              <w:spacing w:after="0" w:line="252" w:lineRule="auto"/>
            </w:pPr>
            <w:r>
              <w:rPr>
                <w:rFonts w:ascii="Consolas" w:hAnsi="Consolas" w:cs="Consolas" w:eastAsia="Consolas"/>
                <w:sz w:val="15"/>
              </w:rPr>
              <w:t>OPERATIONS</w:t>
            </w:r>
          </w:p>
        </w:tc>
      </w:tr>
      <w:tr>
        <w:tc>
          <w:tcPr>
            <w:tcW w:type="dxa" w:w="2088"/>
          </w:tcPr>
          <w:p>
            <w:pPr>
              <w:spacing w:after="0" w:line="252" w:lineRule="auto"/>
            </w:pPr>
            <w:r>
              <w:rPr>
                <w:sz w:val="17"/>
              </w:rPr>
              <w:t>LANGSAM</w:t>
            </w:r>
          </w:p>
        </w:tc>
        <w:tc>
          <w:tcPr>
            <w:tcW w:type="dxa" w:w="1957"/>
          </w:tcPr>
          <w:p>
            <w:pPr>
              <w:spacing w:after="0" w:line="252" w:lineRule="auto"/>
            </w:pPr>
            <w:r>
              <w:rPr>
                <w:sz w:val="17"/>
              </w:rPr>
              <w:t>667</w:t>
            </w:r>
          </w:p>
        </w:tc>
        <w:tc>
          <w:tcPr>
            <w:tcW w:type="dxa" w:w="1957"/>
          </w:tcPr>
          <w:p>
            <w:pPr>
              <w:spacing w:after="0" w:line="252" w:lineRule="auto"/>
            </w:pPr>
            <w:r>
              <w:rPr>
                <w:sz w:val="17"/>
              </w:rPr>
              <w:t>999</w:t>
            </w:r>
          </w:p>
        </w:tc>
        <w:tc>
          <w:tcPr>
            <w:tcW w:type="dxa" w:w="3523"/>
          </w:tcPr>
          <w:p>
            <w:pPr>
              <w:spacing w:after="0" w:line="252" w:lineRule="auto"/>
            </w:pPr>
            <w:r>
              <w:rPr>
                <w:rFonts w:ascii="Consolas" w:hAnsi="Consolas" w:cs="Consolas" w:eastAsia="Consolas"/>
                <w:sz w:val="15"/>
              </w:rPr>
              <w:t>STORAGE</w:t>
            </w:r>
          </w:p>
        </w:tc>
      </w:tr>
    </w:tbl>
    <w:p>
      <w:pPr>
        <w:pStyle w:val="BeschriftungSSI"/>
      </w:pPr>
      <w:r>
        <w:t>Tab. 6: Beispiel (konstruiert, bitte prüfen) für eine ABC-Lagerreservierungsstrategie</w:t>
      </w:r>
    </w:p>
    <w:p>
      <w:pPr>
        <w:pStyle w:val="Quelle"/>
      </w:pPr>
      <w:r>
        <w:rPr>
          <w:b/>
        </w:rPr>
        <w:t xml:space="preserve">Quelle: </w:t>
      </w:r>
      <w:r>
        <w:rPr>
          <w:sz w:val="17"/>
        </w:rPr>
        <w:t>Administratorhandbuch 2.7, Kap. 3.1.16–3.1.16.3 (S. 32–34)</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Kriterienliste fehlt</w:t>
            </w:r>
          </w:p>
          <w:p>
            <w:pPr>
              <w:spacing w:after="40"/>
            </w:pPr>
            <w:r>
              <w:rPr>
                <w:sz w:val="19"/>
              </w:rPr>
              <w:t xml:space="preserve">Welche Werte im Feld </w:t>
            </w:r>
            <w:r>
              <w:rPr>
                <w:rFonts w:ascii="Consolas" w:hAnsi="Consolas" w:cs="Consolas" w:eastAsia="Consolas"/>
                <w:sz w:val="17"/>
              </w:rPr>
              <w:t>Kriterium</w:t>
            </w:r>
            <w:r>
              <w:rPr>
                <w:sz w:val="19"/>
              </w:rPr>
              <w:t xml:space="preserve"> (Registerkarte Lagerreservierungsstrategiekriterien) auswählbar sind und welche Kriterien die Standardstrategien intern in welcher Reihenfolge verwenden, ist weder in 2.7 noch in 2.8 dokumentiert. Eine eigene Strategie lässt sich daher nur mit Blick in das System oder Rückfrage beim Produktmanagement sinnvoll aufbauen.</w:t>
            </w:r>
          </w:p>
        </w:tc>
      </w:tr>
    </w:tbl>
    <w:p>
      <w:pPr>
        <w:spacing w:after="40"/>
      </w:pPr>
    </w:p>
    <w:p>
      <w:pPr>
        <w:pStyle w:val="Heading2"/>
      </w:pPr>
      <w:r>
        <w:t>3.5 Woher kommt der ABC-Wert?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336"/>
        <w:gridCol w:w="3594"/>
        <w:gridCol w:w="3594"/>
      </w:tblGrid>
      <w:tr>
        <w:trPr>
          <w:tblHeader w:val="true"/>
        </w:trPr>
        <w:tc>
          <w:tcPr>
            <w:tcW w:type="dxa" w:w="2336"/>
            <w:shd w:val="clear" w:color="auto" w:fill="FEEE19"/>
          </w:tcPr>
          <w:p>
            <w:pPr>
              <w:spacing w:after="0"/>
            </w:pPr>
            <w:r>
              <w:rPr>
                <w:b/>
                <w:sz w:val="17"/>
              </w:rPr>
              <w:t>Einstellung</w:t>
            </w:r>
          </w:p>
        </w:tc>
        <w:tc>
          <w:tcPr>
            <w:tcW w:type="dxa" w:w="3594"/>
            <w:shd w:val="clear" w:color="auto" w:fill="FEEE19"/>
          </w:tcPr>
          <w:p>
            <w:pPr>
              <w:spacing w:after="0"/>
            </w:pPr>
            <w:r>
              <w:rPr>
                <w:b/>
                <w:sz w:val="17"/>
              </w:rPr>
              <w:t>Ort</w:t>
            </w:r>
          </w:p>
        </w:tc>
        <w:tc>
          <w:tcPr>
            <w:tcW w:type="dxa" w:w="3594"/>
            <w:shd w:val="clear" w:color="auto" w:fill="FEEE19"/>
          </w:tcPr>
          <w:p>
            <w:pPr>
              <w:spacing w:after="0"/>
            </w:pPr>
            <w:r>
              <w:rPr>
                <w:b/>
                <w:sz w:val="17"/>
              </w:rPr>
              <w:t>Wirkung</w:t>
            </w:r>
          </w:p>
        </w:tc>
      </w:tr>
      <w:tr>
        <w:tc>
          <w:tcPr>
            <w:tcW w:type="dxa" w:w="2336"/>
          </w:tcPr>
          <w:p>
            <w:pPr>
              <w:spacing w:after="0" w:line="252" w:lineRule="auto"/>
            </w:pPr>
            <w:r>
              <w:rPr>
                <w:sz w:val="17"/>
              </w:rPr>
              <w:t>ABC-Wert 1–999</w:t>
            </w:r>
          </w:p>
        </w:tc>
        <w:tc>
          <w:tcPr>
            <w:tcW w:type="dxa" w:w="3594"/>
          </w:tcPr>
          <w:p>
            <w:pPr>
              <w:spacing w:after="0" w:line="252" w:lineRule="auto"/>
            </w:pPr>
            <w:r>
              <w:rPr>
                <w:sz w:val="17"/>
              </w:rPr>
              <w:t xml:space="preserve">MD002 › </w:t>
            </w:r>
            <w:r>
              <w:rPr>
                <w:b/>
                <w:sz w:val="17"/>
              </w:rPr>
              <w:t>Artikel ABC-Klassifizierung</w:t>
            </w:r>
            <w:r>
              <w:rPr>
                <w:sz w:val="17"/>
              </w:rPr>
              <w:t xml:space="preserve"> (je Lagerstandort, optional strategischer Lagerbereich)</w:t>
            </w:r>
          </w:p>
        </w:tc>
        <w:tc>
          <w:tcPr>
            <w:tcW w:type="dxa" w:w="3594"/>
          </w:tcPr>
          <w:p>
            <w:pPr>
              <w:spacing w:after="0" w:line="252" w:lineRule="auto"/>
            </w:pPr>
            <w:r>
              <w:rPr>
                <w:sz w:val="17"/>
              </w:rPr>
              <w:t>1–333 Schnelldreher, 334–666 Mitteldreher, 667–999 Langsamdreher</w:t>
            </w:r>
          </w:p>
        </w:tc>
      </w:tr>
      <w:tr>
        <w:tc>
          <w:tcPr>
            <w:tcW w:type="dxa" w:w="2336"/>
          </w:tcPr>
          <w:p>
            <w:pPr>
              <w:spacing w:after="0" w:line="252" w:lineRule="auto"/>
            </w:pPr>
            <w:r>
              <w:rPr>
                <w:rFonts w:ascii="Consolas" w:hAnsi="Consolas" w:cs="Consolas" w:eastAsia="Consolas"/>
                <w:sz w:val="15"/>
              </w:rPr>
              <w:t>ABC-Berechnungsart</w:t>
            </w:r>
          </w:p>
        </w:tc>
        <w:tc>
          <w:tcPr>
            <w:tcW w:type="dxa" w:w="3594"/>
          </w:tcPr>
          <w:p>
            <w:pPr>
              <w:spacing w:after="0" w:line="252" w:lineRule="auto"/>
            </w:pPr>
            <w:r>
              <w:rPr>
                <w:sz w:val="17"/>
              </w:rPr>
              <w:t>MD002 › Artikel</w:t>
            </w:r>
          </w:p>
        </w:tc>
        <w:tc>
          <w:tcPr>
            <w:tcW w:type="dxa" w:w="3594"/>
          </w:tcPr>
          <w:p>
            <w:pPr>
              <w:spacing w:after="0" w:line="252" w:lineRule="auto"/>
            </w:pPr>
            <w:r>
              <w:rPr>
                <w:b/>
                <w:sz w:val="17"/>
              </w:rPr>
              <w:t>Keine</w:t>
            </w:r>
            <w:r>
              <w:rPr>
                <w:sz w:val="17"/>
              </w:rPr>
              <w:t xml:space="preserve">, </w:t>
            </w:r>
            <w:r>
              <w:rPr>
                <w:b/>
                <w:sz w:val="17"/>
              </w:rPr>
              <w:t>Automatisch</w:t>
            </w:r>
            <w:r>
              <w:rPr>
                <w:sz w:val="17"/>
              </w:rPr>
              <w:t xml:space="preserve"> oder </w:t>
            </w:r>
            <w:r>
              <w:rPr>
                <w:b/>
                <w:sz w:val="17"/>
              </w:rPr>
              <w:t>Warengruppe</w:t>
            </w:r>
          </w:p>
        </w:tc>
      </w:tr>
      <w:tr>
        <w:tc>
          <w:tcPr>
            <w:tcW w:type="dxa" w:w="2336"/>
          </w:tcPr>
          <w:p>
            <w:pPr>
              <w:spacing w:after="0" w:line="252" w:lineRule="auto"/>
            </w:pPr>
            <w:r>
              <w:rPr>
                <w:rFonts w:ascii="Consolas" w:hAnsi="Consolas" w:cs="Consolas" w:eastAsia="Consolas"/>
                <w:sz w:val="15"/>
              </w:rPr>
              <w:t>Artikel-ABC-Berechnung</w:t>
            </w:r>
          </w:p>
        </w:tc>
        <w:tc>
          <w:tcPr>
            <w:tcW w:type="dxa" w:w="3594"/>
          </w:tcPr>
          <w:p>
            <w:pPr>
              <w:spacing w:after="0" w:line="252" w:lineRule="auto"/>
            </w:pPr>
            <w:r>
              <w:rPr>
                <w:sz w:val="17"/>
              </w:rPr>
              <w:t>MD017 › Warengruppe</w:t>
            </w:r>
          </w:p>
        </w:tc>
        <w:tc>
          <w:tcPr>
            <w:tcW w:type="dxa" w:w="3594"/>
          </w:tcPr>
          <w:p>
            <w:pPr>
              <w:spacing w:after="0" w:line="252" w:lineRule="auto"/>
            </w:pPr>
            <w:r>
              <w:rPr>
                <w:sz w:val="17"/>
              </w:rPr>
              <w:t>ABC-Berechnung für die Artikel der Warengruppe</w:t>
            </w:r>
          </w:p>
        </w:tc>
      </w:tr>
      <w:tr>
        <w:tc>
          <w:tcPr>
            <w:tcW w:type="dxa" w:w="2336"/>
          </w:tcPr>
          <w:p>
            <w:pPr>
              <w:spacing w:after="0" w:line="252" w:lineRule="auto"/>
            </w:pPr>
            <w:r>
              <w:rPr>
                <w:sz w:val="17"/>
              </w:rPr>
              <w:t>ABC-Wertberechnungen</w:t>
            </w:r>
          </w:p>
        </w:tc>
        <w:tc>
          <w:tcPr>
            <w:tcW w:type="dxa" w:w="3594"/>
          </w:tcPr>
          <w:p>
            <w:pPr>
              <w:spacing w:after="0" w:line="252" w:lineRule="auto"/>
            </w:pPr>
            <w:r>
              <w:rPr>
                <w:sz w:val="17"/>
              </w:rPr>
              <w:t>LM069 › Zone</w:t>
            </w:r>
          </w:p>
        </w:tc>
        <w:tc>
          <w:tcPr>
            <w:tcW w:type="dxa" w:w="3594"/>
          </w:tcPr>
          <w:p>
            <w:pPr>
              <w:spacing w:after="0" w:line="252" w:lineRule="auto"/>
            </w:pPr>
            <w:r>
              <w:rPr>
                <w:sz w:val="17"/>
              </w:rPr>
              <w:t xml:space="preserve">Strategien </w:t>
            </w:r>
            <w:r>
              <w:rPr>
                <w:b/>
                <w:sz w:val="17"/>
              </w:rPr>
              <w:t># Picks</w:t>
            </w:r>
            <w:r>
              <w:rPr>
                <w:sz w:val="17"/>
              </w:rPr>
              <w:t xml:space="preserve">, </w:t>
            </w:r>
            <w:r>
              <w:rPr>
                <w:b/>
                <w:sz w:val="17"/>
              </w:rPr>
              <w:t># Transportaufträge</w:t>
            </w:r>
            <w:r>
              <w:rPr>
                <w:sz w:val="17"/>
              </w:rPr>
              <w:t xml:space="preserve">, </w:t>
            </w:r>
            <w:r>
              <w:rPr>
                <w:b/>
                <w:sz w:val="17"/>
              </w:rPr>
              <w:t>Kommissionierte Artikelmenge</w:t>
            </w:r>
            <w:r>
              <w:rPr>
                <w:sz w:val="17"/>
              </w:rPr>
              <w:t xml:space="preserve"> mit </w:t>
            </w:r>
            <w:r>
              <w:rPr>
                <w:rFonts w:ascii="Consolas" w:hAnsi="Consolas" w:cs="Consolas" w:eastAsia="Consolas"/>
                <w:sz w:val="15"/>
              </w:rPr>
              <w:t>Gewichtung</w:t>
            </w:r>
          </w:p>
        </w:tc>
      </w:tr>
      <w:tr>
        <w:tc>
          <w:tcPr>
            <w:tcW w:type="dxa" w:w="2336"/>
          </w:tcPr>
          <w:p>
            <w:pPr>
              <w:spacing w:after="0" w:line="252" w:lineRule="auto"/>
            </w:pPr>
            <w:r>
              <w:rPr>
                <w:sz w:val="17"/>
              </w:rPr>
              <w:t>ABC-Wertberechnung für externen Artikel</w:t>
            </w:r>
          </w:p>
        </w:tc>
        <w:tc>
          <w:tcPr>
            <w:tcW w:type="dxa" w:w="3594"/>
          </w:tcPr>
          <w:p>
            <w:pPr>
              <w:spacing w:after="0" w:line="252" w:lineRule="auto"/>
            </w:pPr>
            <w:r>
              <w:rPr>
                <w:sz w:val="17"/>
              </w:rPr>
              <w:t>LM069 › Zone</w:t>
            </w:r>
          </w:p>
        </w:tc>
        <w:tc>
          <w:tcPr>
            <w:tcW w:type="dxa" w:w="3594"/>
          </w:tcPr>
          <w:p>
            <w:pPr>
              <w:spacing w:after="0" w:line="252" w:lineRule="auto"/>
            </w:pPr>
            <w:r>
              <w:rPr>
                <w:b/>
                <w:sz w:val="17"/>
              </w:rPr>
              <w:t># Picks</w:t>
            </w:r>
            <w:r>
              <w:rPr>
                <w:sz w:val="17"/>
              </w:rPr>
              <w:t xml:space="preserve">, </w:t>
            </w:r>
            <w:r>
              <w:rPr>
                <w:b/>
                <w:sz w:val="17"/>
              </w:rPr>
              <w:t>Kommissionierte Artikelmenge</w:t>
            </w:r>
            <w:r>
              <w:rPr>
                <w:sz w:val="17"/>
              </w:rPr>
              <w:t xml:space="preserve"> mit </w:t>
            </w:r>
            <w:r>
              <w:rPr>
                <w:rFonts w:ascii="Consolas" w:hAnsi="Consolas" w:cs="Consolas" w:eastAsia="Consolas"/>
                <w:sz w:val="15"/>
              </w:rPr>
              <w:t>Gewichtung</w:t>
            </w:r>
          </w:p>
        </w:tc>
      </w:tr>
      <w:tr>
        <w:tc>
          <w:tcPr>
            <w:tcW w:type="dxa" w:w="2336"/>
          </w:tcPr>
          <w:p>
            <w:pPr>
              <w:spacing w:after="0" w:line="252" w:lineRule="auto"/>
            </w:pPr>
            <w:r>
              <w:rPr>
                <w:rFonts w:ascii="Consolas" w:hAnsi="Consolas" w:cs="Consolas" w:eastAsia="Consolas"/>
                <w:sz w:val="15"/>
              </w:rPr>
              <w:t>ABC-Wertberechnung</w:t>
            </w:r>
            <w:r>
              <w:rPr>
                <w:sz w:val="17"/>
              </w:rPr>
              <w:t xml:space="preserve"> (Standard)</w:t>
            </w:r>
          </w:p>
        </w:tc>
        <w:tc>
          <w:tcPr>
            <w:tcW w:type="dxa" w:w="3594"/>
          </w:tcPr>
          <w:p>
            <w:pPr>
              <w:spacing w:after="0" w:line="252" w:lineRule="auto"/>
            </w:pPr>
            <w:r>
              <w:rPr>
                <w:sz w:val="17"/>
              </w:rPr>
              <w:t>LM053 › Systemparameter</w:t>
            </w:r>
          </w:p>
        </w:tc>
        <w:tc>
          <w:tcPr>
            <w:tcW w:type="dxa" w:w="3594"/>
          </w:tcPr>
          <w:p>
            <w:pPr>
              <w:spacing w:after="0" w:line="252" w:lineRule="auto"/>
            </w:pPr>
            <w:r>
              <w:rPr>
                <w:sz w:val="17"/>
              </w:rPr>
              <w:t>Standardstrategie, auch für externe Artikel</w:t>
            </w:r>
          </w:p>
        </w:tc>
      </w:tr>
      <w:tr>
        <w:tc>
          <w:tcPr>
            <w:tcW w:type="dxa" w:w="2336"/>
          </w:tcPr>
          <w:p>
            <w:pPr>
              <w:spacing w:after="0" w:line="252" w:lineRule="auto"/>
            </w:pPr>
            <w:r>
              <w:rPr>
                <w:sz w:val="17"/>
              </w:rPr>
              <w:t>Manuelle Berechnung</w:t>
            </w:r>
          </w:p>
        </w:tc>
        <w:tc>
          <w:tcPr>
            <w:tcW w:type="dxa" w:w="3594"/>
          </w:tcPr>
          <w:p>
            <w:pPr>
              <w:spacing w:after="0" w:line="252" w:lineRule="auto"/>
            </w:pPr>
            <w:r>
              <w:rPr>
                <w:b/>
                <w:sz w:val="17"/>
              </w:rPr>
              <w:t>MD081</w:t>
            </w:r>
            <w:r>
              <w:rPr>
                <w:sz w:val="17"/>
              </w:rPr>
              <w:t xml:space="preserve"> / </w:t>
            </w:r>
            <w:r>
              <w:rPr>
                <w:b/>
                <w:sz w:val="17"/>
              </w:rPr>
              <w:t>MD082</w:t>
            </w:r>
          </w:p>
        </w:tc>
        <w:tc>
          <w:tcPr>
            <w:tcW w:type="dxa" w:w="3594"/>
          </w:tcPr>
          <w:p>
            <w:pPr>
              <w:spacing w:after="0" w:line="252" w:lineRule="auto"/>
            </w:pPr>
            <w:r>
              <w:rPr>
                <w:sz w:val="17"/>
              </w:rPr>
              <w:t>Vorschläge berechnen, bearbeiten, annehmen oder ablehnen; optional automatisch aktualisieren</w:t>
            </w:r>
          </w:p>
        </w:tc>
      </w:tr>
    </w:tbl>
    <w:p>
      <w:pPr>
        <w:pStyle w:val="BeschriftungSSI"/>
      </w:pPr>
      <w:r>
        <w:t>Tab. 7: Quellen des ABC-Werts</w:t>
      </w:r>
    </w:p>
    <w:p>
      <w:pPr>
        <w:pStyle w:val="Quelle"/>
      </w:pPr>
      <w:r>
        <w:rPr>
          <w:b/>
        </w:rPr>
        <w:t xml:space="preserve">Quelle: </w:t>
      </w:r>
      <w:r>
        <w:rPr>
          <w:sz w:val="17"/>
        </w:rPr>
        <w:t>Administratorhandbuch 2.7, Kap. 3.1.3.1 (S. 15), 3.1.10.3–3.1.10.4 (S. 26–27), 3.6.1.5, 3.6.3.1 (S. 117), 3.6.3.6 (S. 124), 3.6.11 (S. 140)</w:t>
      </w:r>
    </w:p>
    <w:p>
      <w:pPr>
        <w:pStyle w:val="Heading1"/>
      </w:pPr>
      <w:r>
        <w:t>4 Einflussgrößen der Einlagerung: Boxen, Kapazität, Einschränkungen</w:t>
      </w:r>
    </w:p>
    <w:p>
      <w:pPr>
        <w:pStyle w:val="Heading2"/>
      </w:pPr>
      <w:r>
        <w:t>4.1 Artikel-zu-Box-Zuordnung und Zuordnungsmodus</w:t>
      </w:r>
    </w:p>
    <w:p>
      <w:r>
        <w:t xml:space="preserve">Artikel können nur in eine Box eingelagert werden, wenn sie ihr zugeordnet sind. Die Zuordnung wird am Touch-Client in </w:t>
      </w:r>
      <w:r>
        <w:rPr>
          <w:b/>
        </w:rPr>
        <w:t>LM002</w:t>
      </w:r>
      <w:r>
        <w:t xml:space="preserve"> gepflegt (Box wählen, Artikel suchen oder spontan in </w:t>
      </w:r>
      <w:r>
        <w:rPr>
          <w:b/>
        </w:rPr>
        <w:t>LM041</w:t>
      </w:r>
      <w:r>
        <w:t xml:space="preserve"> anlegen, </w:t>
      </w:r>
      <w:r>
        <w:rPr>
          <w:rFonts w:ascii="Consolas" w:hAnsi="Consolas" w:cs="Consolas" w:eastAsia="Consolas"/>
          <w:sz w:val="18"/>
        </w:rPr>
        <w:t># Basismengeneinheiten (max.)</w:t>
      </w:r>
      <w:r>
        <w:t xml:space="preserve"> oder unbegrenzt, </w:t>
      </w:r>
      <w:r>
        <w:rPr>
          <w:b/>
        </w:rPr>
        <w:t>Artikelzuordnung bestätigen</w:t>
      </w:r>
      <w:r>
        <w:t xml:space="preserve">). Eine Zuordnung kann nicht aufgehoben werden, solange die Box Bestand des Artikels enthält. Was mit der Zuordnung passiert, wenn die Box leer wird, regelt der </w:t>
      </w:r>
      <w:r>
        <w:rPr>
          <w:b/>
        </w:rPr>
        <w:t>Zuordnungsmodus</w:t>
      </w:r>
      <w:r>
        <w: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400"/>
        <w:gridCol w:w="4295"/>
        <w:gridCol w:w="3828"/>
      </w:tblGrid>
      <w:tr>
        <w:trPr>
          <w:tblHeader w:val="true"/>
        </w:trPr>
        <w:tc>
          <w:tcPr>
            <w:tcW w:type="dxa" w:w="1401"/>
            <w:shd w:val="clear" w:color="auto" w:fill="FEEE19"/>
          </w:tcPr>
          <w:p>
            <w:pPr>
              <w:spacing w:after="0"/>
            </w:pPr>
            <w:r>
              <w:rPr>
                <w:b/>
                <w:sz w:val="17"/>
              </w:rPr>
              <w:t>Zuordnungsmodus</w:t>
            </w:r>
          </w:p>
        </w:tc>
        <w:tc>
          <w:tcPr>
            <w:tcW w:type="dxa" w:w="4295"/>
            <w:shd w:val="clear" w:color="auto" w:fill="FEEE19"/>
          </w:tcPr>
          <w:p>
            <w:pPr>
              <w:spacing w:after="0"/>
            </w:pPr>
            <w:r>
              <w:rPr>
                <w:b/>
                <w:sz w:val="17"/>
              </w:rPr>
              <w:t>Wirkung</w:t>
            </w:r>
          </w:p>
        </w:tc>
        <w:tc>
          <w:tcPr>
            <w:tcW w:type="dxa" w:w="3828"/>
            <w:shd w:val="clear" w:color="auto" w:fill="FEEE19"/>
          </w:tcPr>
          <w:p>
            <w:pPr>
              <w:spacing w:after="0"/>
            </w:pPr>
            <w:r>
              <w:rPr>
                <w:b/>
                <w:sz w:val="17"/>
              </w:rPr>
              <w:t>Wann sinnvoll</w:t>
            </w:r>
          </w:p>
        </w:tc>
      </w:tr>
      <w:tr>
        <w:tc>
          <w:tcPr>
            <w:tcW w:type="dxa" w:w="1401"/>
          </w:tcPr>
          <w:p>
            <w:pPr>
              <w:spacing w:after="0" w:line="252" w:lineRule="auto"/>
            </w:pPr>
            <w:r>
              <w:rPr>
                <w:sz w:val="17"/>
              </w:rPr>
              <w:t>Standard</w:t>
            </w:r>
          </w:p>
        </w:tc>
        <w:tc>
          <w:tcPr>
            <w:tcW w:type="dxa" w:w="4295"/>
          </w:tcPr>
          <w:p>
            <w:pPr>
              <w:spacing w:after="0" w:line="252" w:lineRule="auto"/>
            </w:pPr>
            <w:r>
              <w:rPr>
                <w:sz w:val="17"/>
              </w:rPr>
              <w:t>Benutzer wird gefragt, ob die Zuordnung bleibt</w:t>
            </w:r>
          </w:p>
        </w:tc>
        <w:tc>
          <w:tcPr>
            <w:tcW w:type="dxa" w:w="3828"/>
          </w:tcPr>
          <w:p>
            <w:pPr>
              <w:spacing w:after="0" w:line="252" w:lineRule="auto"/>
            </w:pPr>
            <w:r>
              <w:rPr>
                <w:sz w:val="17"/>
              </w:rPr>
              <w:t>Gemischte Nutzung, Entscheidung vor Ort</w:t>
            </w:r>
          </w:p>
        </w:tc>
      </w:tr>
      <w:tr>
        <w:tc>
          <w:tcPr>
            <w:tcW w:type="dxa" w:w="1401"/>
          </w:tcPr>
          <w:p>
            <w:pPr>
              <w:spacing w:after="0" w:line="252" w:lineRule="auto"/>
            </w:pPr>
            <w:r>
              <w:rPr>
                <w:sz w:val="17"/>
              </w:rPr>
              <w:t>Fixiert</w:t>
            </w:r>
          </w:p>
        </w:tc>
        <w:tc>
          <w:tcPr>
            <w:tcW w:type="dxa" w:w="4295"/>
          </w:tcPr>
          <w:p>
            <w:pPr>
              <w:spacing w:after="0" w:line="252" w:lineRule="auto"/>
            </w:pPr>
            <w:r>
              <w:rPr>
                <w:sz w:val="17"/>
              </w:rPr>
              <w:t>Zuordnung bleibt aktiv</w:t>
            </w:r>
          </w:p>
        </w:tc>
        <w:tc>
          <w:tcPr>
            <w:tcW w:type="dxa" w:w="3828"/>
          </w:tcPr>
          <w:p>
            <w:pPr>
              <w:spacing w:after="0" w:line="252" w:lineRule="auto"/>
            </w:pPr>
            <w:r>
              <w:rPr>
                <w:sz w:val="17"/>
              </w:rPr>
              <w:t xml:space="preserve">Feste Lagerplätze, Strategie </w:t>
            </w:r>
            <w:r>
              <w:rPr>
                <w:rFonts w:ascii="Consolas" w:hAnsi="Consolas" w:cs="Consolas" w:eastAsia="Consolas"/>
                <w:sz w:val="15"/>
              </w:rPr>
              <w:t>ASSIGNMENT</w:t>
            </w:r>
          </w:p>
        </w:tc>
      </w:tr>
      <w:tr>
        <w:tc>
          <w:tcPr>
            <w:tcW w:type="dxa" w:w="1401"/>
          </w:tcPr>
          <w:p>
            <w:pPr>
              <w:spacing w:after="0" w:line="252" w:lineRule="auto"/>
            </w:pPr>
            <w:r>
              <w:rPr>
                <w:sz w:val="17"/>
              </w:rPr>
              <w:t>Float</w:t>
            </w:r>
          </w:p>
        </w:tc>
        <w:tc>
          <w:tcPr>
            <w:tcW w:type="dxa" w:w="4295"/>
          </w:tcPr>
          <w:p>
            <w:pPr>
              <w:spacing w:after="0" w:line="252" w:lineRule="auto"/>
            </w:pPr>
            <w:r>
              <w:rPr>
                <w:sz w:val="17"/>
              </w:rPr>
              <w:t>Zuordnung wird automatisch entfernt</w:t>
            </w:r>
          </w:p>
        </w:tc>
        <w:tc>
          <w:tcPr>
            <w:tcW w:type="dxa" w:w="3828"/>
          </w:tcPr>
          <w:p>
            <w:pPr>
              <w:spacing w:after="0" w:line="252" w:lineRule="auto"/>
            </w:pPr>
            <w:r>
              <w:rPr>
                <w:sz w:val="17"/>
              </w:rPr>
              <w:t>Chaotische Lagerung, hohe Raumnutzung</w:t>
            </w:r>
          </w:p>
        </w:tc>
      </w:tr>
    </w:tbl>
    <w:p>
      <w:pPr>
        <w:pStyle w:val="BeschriftungSSI"/>
      </w:pPr>
      <w:r>
        <w:t>Tab. 8: Zuordnungsmodus Artikel-zu-Box</w:t>
      </w:r>
    </w:p>
    <w:p>
      <w:r>
        <w:t xml:space="preserve">Konfiguration: Standardwert in </w:t>
      </w:r>
      <w:r>
        <w:rPr>
          <w:b/>
        </w:rPr>
        <w:t>LM053</w:t>
      </w:r>
      <w:r>
        <w:t xml:space="preserve"> › Systemparameter › Artikeleigenschaften; je Artikel und strategischem Lagerbereich (mit </w:t>
      </w:r>
      <w:r>
        <w:rPr>
          <w:rFonts w:ascii="Consolas" w:hAnsi="Consolas" w:cs="Consolas" w:eastAsia="Consolas"/>
          <w:sz w:val="18"/>
        </w:rPr>
        <w:t>Priorität</w:t>
      </w:r>
      <w:r>
        <w:t xml:space="preserve">) in </w:t>
      </w:r>
      <w:r>
        <w:rPr>
          <w:b/>
        </w:rPr>
        <w:t>MD002</w:t>
      </w:r>
      <w:r>
        <w:t xml:space="preserve"> › </w:t>
      </w:r>
      <w:r>
        <w:rPr>
          <w:b/>
        </w:rPr>
        <w:t>WLS Artikel</w:t>
      </w:r>
      <w:r>
        <w:t xml:space="preserve"> › Bereich </w:t>
      </w:r>
      <w:r>
        <w:rPr>
          <w:b/>
        </w:rPr>
        <w:t>Artikelzuordnung</w:t>
      </w:r>
      <w:r>
        <w:t>.</w:t>
      </w:r>
    </w:p>
    <w:p>
      <w:pPr>
        <w:pStyle w:val="Quelle"/>
      </w:pPr>
      <w:r>
        <w:rPr>
          <w:b/>
        </w:rPr>
        <w:t xml:space="preserve">Quelle: </w:t>
      </w:r>
      <w:r>
        <w:rPr>
          <w:sz w:val="17"/>
        </w:rPr>
        <w:t>Administratorhandbuch 2.7, Kap. 3.1.3.1 und 3.6.3.7 (S. 126–127); Benutzerhandbuch 2.7, Kap. 5.6 (S. 73–75); Consultant Training Part 1, Folie „Create Item (4)“</w:t>
      </w:r>
    </w:p>
    <w:p>
      <w:pPr>
        <w:pStyle w:val="Heading2"/>
      </w:pPr>
      <w:r>
        <w:t>4.2 Boxtypen, Boxtyp-Zuordnungen und Füllgrad</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4111"/>
        <w:gridCol w:w="1302"/>
        <w:gridCol w:w="4111"/>
      </w:tblGrid>
      <w:tr>
        <w:trPr>
          <w:tblHeader w:val="true"/>
        </w:trPr>
        <w:tc>
          <w:tcPr>
            <w:tcW w:type="dxa" w:w="4111"/>
            <w:shd w:val="clear" w:color="auto" w:fill="FEEE19"/>
          </w:tcPr>
          <w:p>
            <w:pPr>
              <w:spacing w:after="0"/>
            </w:pPr>
            <w:r>
              <w:rPr>
                <w:b/>
                <w:sz w:val="17"/>
              </w:rPr>
              <w:t>Einstellung</w:t>
            </w:r>
          </w:p>
        </w:tc>
        <w:tc>
          <w:tcPr>
            <w:tcW w:type="dxa" w:w="1302"/>
            <w:shd w:val="clear" w:color="auto" w:fill="FEEE19"/>
          </w:tcPr>
          <w:p>
            <w:pPr>
              <w:spacing w:after="0"/>
            </w:pPr>
            <w:r>
              <w:rPr>
                <w:b/>
                <w:sz w:val="17"/>
              </w:rPr>
              <w:t>Dialog</w:t>
            </w:r>
          </w:p>
        </w:tc>
        <w:tc>
          <w:tcPr>
            <w:tcW w:type="dxa" w:w="4111"/>
            <w:shd w:val="clear" w:color="auto" w:fill="FEEE19"/>
          </w:tcPr>
          <w:p>
            <w:pPr>
              <w:spacing w:after="0"/>
            </w:pPr>
            <w:r>
              <w:rPr>
                <w:b/>
                <w:sz w:val="17"/>
              </w:rPr>
              <w:t>Wirkung auf die Einlagerung</w:t>
            </w:r>
          </w:p>
        </w:tc>
      </w:tr>
      <w:tr>
        <w:tc>
          <w:tcPr>
            <w:tcW w:type="dxa" w:w="4111"/>
          </w:tcPr>
          <w:p>
            <w:pPr>
              <w:spacing w:after="0" w:line="252" w:lineRule="auto"/>
            </w:pPr>
            <w:r>
              <w:rPr>
                <w:rFonts w:ascii="Consolas" w:hAnsi="Consolas" w:cs="Consolas" w:eastAsia="Consolas"/>
                <w:sz w:val="15"/>
              </w:rPr>
              <w:t>Reihenfolge</w:t>
            </w:r>
            <w:r>
              <w:rPr>
                <w:sz w:val="17"/>
              </w:rPr>
              <w:t xml:space="preserve"> am Boxtyp</w:t>
            </w:r>
          </w:p>
        </w:tc>
        <w:tc>
          <w:tcPr>
            <w:tcW w:type="dxa" w:w="1302"/>
          </w:tcPr>
          <w:p>
            <w:pPr>
              <w:spacing w:after="0" w:line="252" w:lineRule="auto"/>
            </w:pPr>
            <w:r>
              <w:rPr>
                <w:b/>
                <w:sz w:val="17"/>
              </w:rPr>
              <w:t>LM058</w:t>
            </w:r>
          </w:p>
        </w:tc>
        <w:tc>
          <w:tcPr>
            <w:tcW w:type="dxa" w:w="4111"/>
          </w:tcPr>
          <w:p>
            <w:pPr>
              <w:spacing w:after="0" w:line="252" w:lineRule="auto"/>
            </w:pPr>
            <w:r>
              <w:rPr>
                <w:sz w:val="17"/>
              </w:rPr>
              <w:t>Boxtyp mit der niedrigsten Nummer wird zuerst verwendet</w:t>
            </w:r>
          </w:p>
        </w:tc>
      </w:tr>
      <w:tr>
        <w:tc>
          <w:tcPr>
            <w:tcW w:type="dxa" w:w="4111"/>
          </w:tcPr>
          <w:p>
            <w:pPr>
              <w:spacing w:after="0" w:line="252" w:lineRule="auto"/>
            </w:pPr>
            <w:r>
              <w:rPr>
                <w:rFonts w:ascii="Consolas" w:hAnsi="Consolas" w:cs="Consolas" w:eastAsia="Consolas"/>
                <w:sz w:val="15"/>
              </w:rPr>
              <w:t>Tragfähigkeit (max.)</w:t>
            </w:r>
          </w:p>
        </w:tc>
        <w:tc>
          <w:tcPr>
            <w:tcW w:type="dxa" w:w="1302"/>
          </w:tcPr>
          <w:p>
            <w:pPr>
              <w:spacing w:after="0" w:line="252" w:lineRule="auto"/>
            </w:pPr>
            <w:r>
              <w:rPr>
                <w:sz w:val="17"/>
              </w:rPr>
              <w:t>LM058</w:t>
            </w:r>
          </w:p>
        </w:tc>
        <w:tc>
          <w:tcPr>
            <w:tcW w:type="dxa" w:w="4111"/>
          </w:tcPr>
          <w:p>
            <w:pPr>
              <w:spacing w:after="0" w:line="252" w:lineRule="auto"/>
            </w:pPr>
            <w:r>
              <w:rPr>
                <w:sz w:val="17"/>
              </w:rPr>
              <w:t>WAMAS stellt sicher, dass das Gewicht nicht überschritten wird; ohne Wert keine Grenze</w:t>
            </w:r>
          </w:p>
        </w:tc>
      </w:tr>
      <w:tr>
        <w:tc>
          <w:tcPr>
            <w:tcW w:type="dxa" w:w="4111"/>
          </w:tcPr>
          <w:p>
            <w:pPr>
              <w:spacing w:after="0" w:line="252" w:lineRule="auto"/>
            </w:pPr>
            <w:r>
              <w:rPr>
                <w:rFonts w:ascii="Consolas" w:hAnsi="Consolas" w:cs="Consolas" w:eastAsia="Consolas"/>
                <w:sz w:val="15"/>
              </w:rPr>
              <w:t>Tauschbar</w:t>
            </w:r>
          </w:p>
        </w:tc>
        <w:tc>
          <w:tcPr>
            <w:tcW w:type="dxa" w:w="1302"/>
          </w:tcPr>
          <w:p>
            <w:pPr>
              <w:spacing w:after="0" w:line="252" w:lineRule="auto"/>
            </w:pPr>
            <w:r>
              <w:rPr>
                <w:sz w:val="17"/>
              </w:rPr>
              <w:t>LM058</w:t>
            </w:r>
          </w:p>
        </w:tc>
        <w:tc>
          <w:tcPr>
            <w:tcW w:type="dxa" w:w="4111"/>
          </w:tcPr>
          <w:p>
            <w:pPr>
              <w:spacing w:after="0" w:line="252" w:lineRule="auto"/>
            </w:pPr>
            <w:r>
              <w:rPr>
                <w:sz w:val="17"/>
              </w:rPr>
              <w:t>Boxtyp darf bei erforderlichem Ladehilfsmitteltausch getauscht werden</w:t>
            </w:r>
          </w:p>
        </w:tc>
      </w:tr>
      <w:tr>
        <w:tc>
          <w:tcPr>
            <w:tcW w:type="dxa" w:w="4111"/>
          </w:tcPr>
          <w:p>
            <w:pPr>
              <w:spacing w:after="0" w:line="252" w:lineRule="auto"/>
            </w:pPr>
            <w:r>
              <w:rPr>
                <w:sz w:val="17"/>
              </w:rPr>
              <w:t xml:space="preserve">Boxtyp-Zuordnung: </w:t>
            </w:r>
            <w:r>
              <w:rPr>
                <w:rFonts w:ascii="Consolas" w:hAnsi="Consolas" w:cs="Consolas" w:eastAsia="Consolas"/>
                <w:sz w:val="15"/>
              </w:rPr>
              <w:t># BME (max.)</w:t>
            </w:r>
            <w:r>
              <w:rPr>
                <w:sz w:val="17"/>
              </w:rPr>
              <w:t xml:space="preserve">, </w:t>
            </w:r>
            <w:r>
              <w:rPr>
                <w:rFonts w:ascii="Consolas" w:hAnsi="Consolas" w:cs="Consolas" w:eastAsia="Consolas"/>
                <w:sz w:val="15"/>
              </w:rPr>
              <w:t># LME (max.)</w:t>
            </w:r>
            <w:r>
              <w:rPr>
                <w:sz w:val="17"/>
              </w:rPr>
              <w:t xml:space="preserve">, </w:t>
            </w:r>
            <w:r>
              <w:rPr>
                <w:rFonts w:ascii="Consolas" w:hAnsi="Consolas" w:cs="Consolas" w:eastAsia="Consolas"/>
                <w:sz w:val="15"/>
              </w:rPr>
              <w:t>Unbegrenzt</w:t>
            </w:r>
          </w:p>
        </w:tc>
        <w:tc>
          <w:tcPr>
            <w:tcW w:type="dxa" w:w="1302"/>
          </w:tcPr>
          <w:p>
            <w:pPr>
              <w:spacing w:after="0" w:line="252" w:lineRule="auto"/>
            </w:pPr>
            <w:r>
              <w:rPr>
                <w:b/>
                <w:sz w:val="17"/>
              </w:rPr>
              <w:t>LM084</w:t>
            </w:r>
          </w:p>
        </w:tc>
        <w:tc>
          <w:tcPr>
            <w:tcW w:type="dxa" w:w="4111"/>
          </w:tcPr>
          <w:p>
            <w:pPr>
              <w:spacing w:after="0" w:line="252" w:lineRule="auto"/>
            </w:pPr>
            <w:r>
              <w:rPr>
                <w:sz w:val="17"/>
              </w:rPr>
              <w:t>Wie viel eines Artikels in eine Box dieses Typs passt</w:t>
            </w:r>
          </w:p>
        </w:tc>
      </w:tr>
      <w:tr>
        <w:tc>
          <w:tcPr>
            <w:tcW w:type="dxa" w:w="4111"/>
          </w:tcPr>
          <w:p>
            <w:pPr>
              <w:spacing w:after="0" w:line="252" w:lineRule="auto"/>
            </w:pPr>
            <w:r>
              <w:rPr>
                <w:rFonts w:ascii="Consolas" w:hAnsi="Consolas" w:cs="Consolas" w:eastAsia="Consolas"/>
                <w:sz w:val="15"/>
              </w:rPr>
              <w:t>Stammdatenstatus</w:t>
            </w:r>
            <w:r>
              <w:rPr>
                <w:sz w:val="17"/>
              </w:rPr>
              <w:t xml:space="preserve"> der Zuordnung</w:t>
            </w:r>
          </w:p>
        </w:tc>
        <w:tc>
          <w:tcPr>
            <w:tcW w:type="dxa" w:w="1302"/>
          </w:tcPr>
          <w:p>
            <w:pPr>
              <w:spacing w:after="0" w:line="252" w:lineRule="auto"/>
            </w:pPr>
            <w:r>
              <w:rPr>
                <w:sz w:val="17"/>
              </w:rPr>
              <w:t>LM084</w:t>
            </w:r>
          </w:p>
        </w:tc>
        <w:tc>
          <w:tcPr>
            <w:tcW w:type="dxa" w:w="4111"/>
          </w:tcPr>
          <w:p>
            <w:pPr>
              <w:spacing w:after="0" w:line="252" w:lineRule="auto"/>
            </w:pPr>
            <w:r>
              <w:rPr>
                <w:sz w:val="17"/>
              </w:rPr>
              <w:t xml:space="preserve">Nur </w:t>
            </w:r>
            <w:r>
              <w:rPr>
                <w:b/>
                <w:sz w:val="17"/>
              </w:rPr>
              <w:t>Normal</w:t>
            </w:r>
            <w:r>
              <w:rPr>
                <w:sz w:val="17"/>
              </w:rPr>
              <w:t xml:space="preserve"> wird für Einlagerreservierungen verwendet</w:t>
            </w:r>
          </w:p>
        </w:tc>
      </w:tr>
      <w:tr>
        <w:tc>
          <w:tcPr>
            <w:tcW w:type="dxa" w:w="4111"/>
          </w:tcPr>
          <w:p>
            <w:pPr>
              <w:spacing w:after="0" w:line="252" w:lineRule="auto"/>
            </w:pPr>
            <w:r>
              <w:rPr>
                <w:sz w:val="17"/>
              </w:rPr>
              <w:t xml:space="preserve">Warengruppe-zu-Boxtyp mit </w:t>
            </w:r>
            <w:r>
              <w:rPr>
                <w:rFonts w:ascii="Consolas" w:hAnsi="Consolas" w:cs="Consolas" w:eastAsia="Consolas"/>
                <w:sz w:val="15"/>
              </w:rPr>
              <w:t>Reihenfolge</w:t>
            </w:r>
          </w:p>
        </w:tc>
        <w:tc>
          <w:tcPr>
            <w:tcW w:type="dxa" w:w="1302"/>
          </w:tcPr>
          <w:p>
            <w:pPr>
              <w:spacing w:after="0" w:line="252" w:lineRule="auto"/>
            </w:pPr>
            <w:r>
              <w:rPr>
                <w:b/>
                <w:sz w:val="17"/>
              </w:rPr>
              <w:t>LM144</w:t>
            </w:r>
          </w:p>
        </w:tc>
        <w:tc>
          <w:tcPr>
            <w:tcW w:type="dxa" w:w="4111"/>
          </w:tcPr>
          <w:p>
            <w:pPr>
              <w:spacing w:after="0" w:line="252" w:lineRule="auto"/>
            </w:pPr>
            <w:r>
              <w:rPr>
                <w:sz w:val="17"/>
              </w:rPr>
              <w:t>Vorgabe für neue Zuordnungen; niedrigste Reihenfolge zuerst</w:t>
            </w:r>
          </w:p>
        </w:tc>
      </w:tr>
      <w:tr>
        <w:tc>
          <w:tcPr>
            <w:tcW w:type="dxa" w:w="4111"/>
          </w:tcPr>
          <w:p>
            <w:pPr>
              <w:spacing w:after="0" w:line="252" w:lineRule="auto"/>
            </w:pPr>
            <w:r>
              <w:rPr>
                <w:rFonts w:ascii="Consolas" w:hAnsi="Consolas" w:cs="Consolas" w:eastAsia="Consolas"/>
                <w:sz w:val="15"/>
              </w:rPr>
              <w:t>Füllgrad [%]</w:t>
            </w:r>
            <w:r>
              <w:rPr>
                <w:sz w:val="17"/>
              </w:rPr>
              <w:t xml:space="preserve"> der LE-Kubatur</w:t>
            </w:r>
          </w:p>
        </w:tc>
        <w:tc>
          <w:tcPr>
            <w:tcW w:type="dxa" w:w="1302"/>
          </w:tcPr>
          <w:p>
            <w:pPr>
              <w:spacing w:after="0" w:line="252" w:lineRule="auto"/>
            </w:pPr>
            <w:r>
              <w:rPr>
                <w:b/>
                <w:sz w:val="17"/>
              </w:rPr>
              <w:t>MD031</w:t>
            </w:r>
          </w:p>
        </w:tc>
        <w:tc>
          <w:tcPr>
            <w:tcW w:type="dxa" w:w="4111"/>
          </w:tcPr>
          <w:p>
            <w:pPr>
              <w:spacing w:after="0" w:line="252" w:lineRule="auto"/>
            </w:pPr>
            <w:r>
              <w:rPr>
                <w:sz w:val="17"/>
              </w:rPr>
              <w:t>Maximaler Füllgrad für die Volumenberechnung; 0 = 100 %</w:t>
            </w:r>
          </w:p>
        </w:tc>
      </w:tr>
      <w:tr>
        <w:tc>
          <w:tcPr>
            <w:tcW w:type="dxa" w:w="4111"/>
          </w:tcPr>
          <w:p>
            <w:pPr>
              <w:spacing w:after="0" w:line="252" w:lineRule="auto"/>
            </w:pPr>
            <w:r>
              <w:rPr>
                <w:rFonts w:ascii="Consolas" w:hAnsi="Consolas" w:cs="Consolas" w:eastAsia="Consolas"/>
                <w:sz w:val="15"/>
              </w:rPr>
              <w:t>Ganze Verpackungsversion</w:t>
            </w:r>
          </w:p>
        </w:tc>
        <w:tc>
          <w:tcPr>
            <w:tcW w:type="dxa" w:w="1302"/>
          </w:tcPr>
          <w:p>
            <w:pPr>
              <w:spacing w:after="0" w:line="252" w:lineRule="auto"/>
            </w:pPr>
            <w:r>
              <w:rPr>
                <w:sz w:val="17"/>
              </w:rPr>
              <w:t>MD002 › WLS Artikel</w:t>
            </w:r>
          </w:p>
        </w:tc>
        <w:tc>
          <w:tcPr>
            <w:tcW w:type="dxa" w:w="4111"/>
          </w:tcPr>
          <w:p>
            <w:pPr>
              <w:spacing w:after="0" w:line="252" w:lineRule="auto"/>
            </w:pPr>
            <w:r>
              <w:rPr>
                <w:sz w:val="17"/>
              </w:rPr>
              <w:t>Reserviert die maximale Anzahl Verpackungsversionen, unabhängig von voller oder teilgefüllter Verpackung</w:t>
            </w:r>
          </w:p>
        </w:tc>
      </w:tr>
      <w:tr>
        <w:tc>
          <w:tcPr>
            <w:tcW w:type="dxa" w:w="4111"/>
          </w:tcPr>
          <w:p>
            <w:pPr>
              <w:spacing w:after="0" w:line="252" w:lineRule="auto"/>
            </w:pPr>
            <w:r>
              <w:rPr>
                <w:rFonts w:ascii="Consolas" w:hAnsi="Consolas" w:cs="Consolas" w:eastAsia="Consolas"/>
                <w:sz w:val="15"/>
              </w:rPr>
              <w:t>logimat.placement.Origin</w:t>
            </w:r>
          </w:p>
        </w:tc>
        <w:tc>
          <w:tcPr>
            <w:tcW w:type="dxa" w:w="1302"/>
          </w:tcPr>
          <w:p>
            <w:pPr>
              <w:spacing w:after="0" w:line="252" w:lineRule="auto"/>
            </w:pPr>
            <w:r>
              <w:rPr>
                <w:sz w:val="17"/>
              </w:rPr>
              <w:t>FW028</w:t>
            </w:r>
          </w:p>
        </w:tc>
        <w:tc>
          <w:tcPr>
            <w:tcW w:type="dxa" w:w="4111"/>
          </w:tcPr>
          <w:p>
            <w:pPr>
              <w:spacing w:after="0" w:line="252" w:lineRule="auto"/>
            </w:pPr>
            <w:r>
              <w:rPr>
                <w:sz w:val="17"/>
              </w:rPr>
              <w:t>Ecke, in der die Boxplatzierung auf dem Tablar beginnt (</w:t>
            </w:r>
            <w:r>
              <w:rPr>
                <w:rFonts w:ascii="Consolas" w:hAnsi="Consolas" w:cs="Consolas" w:eastAsia="Consolas"/>
                <w:sz w:val="15"/>
              </w:rPr>
              <w:t>TOP_LEFT</w:t>
            </w:r>
            <w:r>
              <w:rPr>
                <w:sz w:val="17"/>
              </w:rPr>
              <w:t xml:space="preserve">, </w:t>
            </w:r>
            <w:r>
              <w:rPr>
                <w:rFonts w:ascii="Consolas" w:hAnsi="Consolas" w:cs="Consolas" w:eastAsia="Consolas"/>
                <w:sz w:val="15"/>
              </w:rPr>
              <w:t>BOTTOM_LEFT</w:t>
            </w:r>
            <w:r>
              <w:rPr>
                <w:sz w:val="17"/>
              </w:rPr>
              <w:t xml:space="preserve"> = Standard)</w:t>
            </w:r>
          </w:p>
        </w:tc>
      </w:tr>
      <w:tr>
        <w:tc>
          <w:tcPr>
            <w:tcW w:type="dxa" w:w="4111"/>
          </w:tcPr>
          <w:p>
            <w:pPr>
              <w:spacing w:after="0" w:line="252" w:lineRule="auto"/>
            </w:pPr>
            <w:r>
              <w:rPr>
                <w:rFonts w:ascii="Consolas" w:hAnsi="Consolas" w:cs="Consolas" w:eastAsia="Consolas"/>
                <w:sz w:val="15"/>
              </w:rPr>
              <w:t>logimat.storage.enableCapacityCheck</w:t>
            </w:r>
          </w:p>
        </w:tc>
        <w:tc>
          <w:tcPr>
            <w:tcW w:type="dxa" w:w="1302"/>
          </w:tcPr>
          <w:p>
            <w:pPr>
              <w:spacing w:after="0" w:line="252" w:lineRule="auto"/>
            </w:pPr>
            <w:r>
              <w:rPr>
                <w:sz w:val="17"/>
              </w:rPr>
              <w:t>FW028</w:t>
            </w:r>
          </w:p>
        </w:tc>
        <w:tc>
          <w:tcPr>
            <w:tcW w:type="dxa" w:w="4111"/>
          </w:tcPr>
          <w:p>
            <w:pPr>
              <w:spacing w:after="0" w:line="252" w:lineRule="auto"/>
            </w:pPr>
            <w:r>
              <w:rPr>
                <w:sz w:val="17"/>
              </w:rPr>
              <w:t>Kapazitätsprüfung bei der Freigabe eines Einlagerbedarfs</w:t>
            </w:r>
          </w:p>
        </w:tc>
      </w:tr>
    </w:tbl>
    <w:p>
      <w:pPr>
        <w:pStyle w:val="BeschriftungSSI"/>
      </w:pPr>
      <w:r>
        <w:t>Tab. 9: Box- und Kapazitätseinstellungen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Boxtypen nicht manuell pflegen</w:t>
            </w:r>
          </w:p>
          <w:p>
            <w:pPr>
              <w:spacing w:after="40"/>
            </w:pPr>
            <w:r>
              <w:rPr>
                <w:sz w:val="19"/>
              </w:rPr>
              <w:t>Laut Handbuch sollen Boxtypen über eine Konfigurationsdatei importiert oder per Telegramm übertragen werden; die manuelle Pflege in LM058 dient nur als Orientierung.</w:t>
            </w:r>
          </w:p>
        </w:tc>
      </w:tr>
    </w:tbl>
    <w:p>
      <w:pPr>
        <w:spacing w:after="40"/>
      </w:pPr>
    </w:p>
    <w:p>
      <w:pPr>
        <w:pStyle w:val="Quelle"/>
      </w:pPr>
      <w:r>
        <w:rPr>
          <w:b/>
        </w:rPr>
        <w:t xml:space="preserve">Quelle: </w:t>
      </w:r>
      <w:r>
        <w:rPr>
          <w:sz w:val="17"/>
        </w:rPr>
        <w:t>Administratorhandbuch 2.7, Kap. 3.1.5, 3.1.7, 3.1.8 (S. 19–23), 3.6.3.7, 3.6.8 (S. 134–135), 3.11.2</w:t>
      </w:r>
    </w:p>
    <w:p>
      <w:pPr>
        <w:pStyle w:val="Heading2"/>
      </w:pPr>
      <w:r>
        <w:t>4.3 Einschränkungen bei der Platzwahl</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343"/>
        <w:gridCol w:w="2397"/>
        <w:gridCol w:w="3785"/>
      </w:tblGrid>
      <w:tr>
        <w:trPr>
          <w:tblHeader w:val="true"/>
        </w:trPr>
        <w:tc>
          <w:tcPr>
            <w:tcW w:type="dxa" w:w="3343"/>
            <w:shd w:val="clear" w:color="auto" w:fill="FEEE19"/>
          </w:tcPr>
          <w:p>
            <w:pPr>
              <w:spacing w:after="0"/>
            </w:pPr>
            <w:r>
              <w:rPr>
                <w:b/>
                <w:sz w:val="17"/>
              </w:rPr>
              <w:t>Einschränkung</w:t>
            </w:r>
          </w:p>
        </w:tc>
        <w:tc>
          <w:tcPr>
            <w:tcW w:type="dxa" w:w="2397"/>
            <w:shd w:val="clear" w:color="auto" w:fill="FEEE19"/>
          </w:tcPr>
          <w:p>
            <w:pPr>
              <w:spacing w:after="0"/>
            </w:pPr>
            <w:r>
              <w:rPr>
                <w:b/>
                <w:sz w:val="17"/>
              </w:rPr>
              <w:t>Ort</w:t>
            </w:r>
          </w:p>
        </w:tc>
        <w:tc>
          <w:tcPr>
            <w:tcW w:type="dxa" w:w="3785"/>
            <w:shd w:val="clear" w:color="auto" w:fill="FEEE19"/>
          </w:tcPr>
          <w:p>
            <w:pPr>
              <w:spacing w:after="0"/>
            </w:pPr>
            <w:r>
              <w:rPr>
                <w:b/>
                <w:sz w:val="17"/>
              </w:rPr>
              <w:t>Wirkung</w:t>
            </w:r>
          </w:p>
        </w:tc>
      </w:tr>
      <w:tr>
        <w:tc>
          <w:tcPr>
            <w:tcW w:type="dxa" w:w="3343"/>
          </w:tcPr>
          <w:p>
            <w:pPr>
              <w:spacing w:after="0" w:line="252" w:lineRule="auto"/>
            </w:pPr>
            <w:r>
              <w:rPr>
                <w:b/>
                <w:sz w:val="17"/>
              </w:rPr>
              <w:t>Tablar-zu-Klient-Einschränkung</w:t>
            </w:r>
          </w:p>
        </w:tc>
        <w:tc>
          <w:tcPr>
            <w:tcW w:type="dxa" w:w="2397"/>
          </w:tcPr>
          <w:p>
            <w:pPr>
              <w:spacing w:after="0" w:line="252" w:lineRule="auto"/>
            </w:pPr>
            <w:r>
              <w:rPr>
                <w:sz w:val="17"/>
              </w:rPr>
              <w:t>MD017 › Registerkarte Tablar-zu-Klient</w:t>
            </w:r>
          </w:p>
        </w:tc>
        <w:tc>
          <w:tcPr>
            <w:tcW w:type="dxa" w:w="3785"/>
          </w:tcPr>
          <w:p>
            <w:pPr>
              <w:spacing w:after="0" w:line="252" w:lineRule="auto"/>
            </w:pPr>
            <w:r>
              <w:rPr>
                <w:sz w:val="17"/>
              </w:rPr>
              <w:t>Gepflegt: Reservierungen nur auf Tablaren dieses Klienten. Ohne Pflege: nur Tablare, die nicht für andere Klienten gepflegt sind</w:t>
            </w:r>
          </w:p>
        </w:tc>
      </w:tr>
      <w:tr>
        <w:tc>
          <w:tcPr>
            <w:tcW w:type="dxa" w:w="3343"/>
          </w:tcPr>
          <w:p>
            <w:pPr>
              <w:spacing w:after="0" w:line="252" w:lineRule="auto"/>
            </w:pPr>
            <w:r>
              <w:rPr>
                <w:rFonts w:ascii="Consolas" w:hAnsi="Consolas" w:cs="Consolas" w:eastAsia="Consolas"/>
                <w:sz w:val="15"/>
              </w:rPr>
              <w:t>logimat.storage.security.allowMixedSecurity</w:t>
            </w:r>
          </w:p>
        </w:tc>
        <w:tc>
          <w:tcPr>
            <w:tcW w:type="dxa" w:w="2397"/>
          </w:tcPr>
          <w:p>
            <w:pPr>
              <w:spacing w:after="0" w:line="252" w:lineRule="auto"/>
            </w:pPr>
            <w:r>
              <w:rPr>
                <w:sz w:val="17"/>
              </w:rPr>
              <w:t>FW028</w:t>
            </w:r>
          </w:p>
        </w:tc>
        <w:tc>
          <w:tcPr>
            <w:tcW w:type="dxa" w:w="3785"/>
          </w:tcPr>
          <w:p>
            <w:pPr>
              <w:spacing w:after="0" w:line="252" w:lineRule="auto"/>
            </w:pPr>
            <w:r>
              <w:rPr>
                <w:rFonts w:ascii="Consolas" w:hAnsi="Consolas" w:cs="Consolas" w:eastAsia="Consolas"/>
                <w:sz w:val="15"/>
              </w:rPr>
              <w:t>true</w:t>
            </w:r>
            <w:r>
              <w:rPr>
                <w:sz w:val="17"/>
              </w:rPr>
              <w:t xml:space="preserve">: nur Tablare mit beschränkten Artikeln; </w:t>
            </w:r>
            <w:r>
              <w:rPr>
                <w:rFonts w:ascii="Consolas" w:hAnsi="Consolas" w:cs="Consolas" w:eastAsia="Consolas"/>
                <w:sz w:val="15"/>
              </w:rPr>
              <w:t>false</w:t>
            </w:r>
            <w:r>
              <w:rPr>
                <w:sz w:val="17"/>
              </w:rPr>
              <w:t>: Tablare mit gleichen Beschränkungen bevorzugt, andere möglich</w:t>
            </w:r>
          </w:p>
        </w:tc>
      </w:tr>
      <w:tr>
        <w:tc>
          <w:tcPr>
            <w:tcW w:type="dxa" w:w="3343"/>
          </w:tcPr>
          <w:p>
            <w:pPr>
              <w:spacing w:after="0" w:line="252" w:lineRule="auto"/>
            </w:pPr>
            <w:r>
              <w:rPr>
                <w:rFonts w:ascii="Consolas" w:hAnsi="Consolas" w:cs="Consolas" w:eastAsia="Consolas"/>
                <w:sz w:val="15"/>
              </w:rPr>
              <w:t>logimat.storage.enableEquivalencePeriod</w:t>
            </w:r>
          </w:p>
        </w:tc>
        <w:tc>
          <w:tcPr>
            <w:tcW w:type="dxa" w:w="2397"/>
          </w:tcPr>
          <w:p>
            <w:pPr>
              <w:spacing w:after="0" w:line="252" w:lineRule="auto"/>
            </w:pPr>
            <w:r>
              <w:rPr>
                <w:sz w:val="17"/>
              </w:rPr>
              <w:t>FW028</w:t>
            </w:r>
          </w:p>
        </w:tc>
        <w:tc>
          <w:tcPr>
            <w:tcW w:type="dxa" w:w="3785"/>
          </w:tcPr>
          <w:p>
            <w:pPr>
              <w:spacing w:after="0" w:line="252" w:lineRule="auto"/>
            </w:pPr>
            <w:r>
              <w:rPr>
                <w:sz w:val="17"/>
              </w:rPr>
              <w:t>Filtert Boxen bei der Einlagerung nach Gleichwertigkeitsdauer (laut Schulung „consider equivalence period in reservation (FIFO)“)</w:t>
            </w:r>
          </w:p>
        </w:tc>
      </w:tr>
      <w:tr>
        <w:tc>
          <w:tcPr>
            <w:tcW w:type="dxa" w:w="3343"/>
          </w:tcPr>
          <w:p>
            <w:pPr>
              <w:spacing w:after="0" w:line="252" w:lineRule="auto"/>
            </w:pPr>
            <w:r>
              <w:rPr>
                <w:rFonts w:ascii="Consolas" w:hAnsi="Consolas" w:cs="Consolas" w:eastAsia="Consolas"/>
                <w:sz w:val="15"/>
              </w:rPr>
              <w:t>logimat.storage.enableSiaCheck</w:t>
            </w:r>
          </w:p>
        </w:tc>
        <w:tc>
          <w:tcPr>
            <w:tcW w:type="dxa" w:w="2397"/>
          </w:tcPr>
          <w:p>
            <w:pPr>
              <w:spacing w:after="0" w:line="252" w:lineRule="auto"/>
            </w:pPr>
            <w:r>
              <w:rPr>
                <w:sz w:val="17"/>
              </w:rPr>
              <w:t>FW028</w:t>
            </w:r>
          </w:p>
        </w:tc>
        <w:tc>
          <w:tcPr>
            <w:tcW w:type="dxa" w:w="3785"/>
          </w:tcPr>
          <w:p>
            <w:pPr>
              <w:spacing w:after="0" w:line="252" w:lineRule="auto"/>
            </w:pPr>
            <w:r>
              <w:rPr>
                <w:sz w:val="17"/>
              </w:rPr>
              <w:t>Prüft die BIA nach der Einlagerung auf Konsistenz</w:t>
            </w:r>
          </w:p>
        </w:tc>
      </w:tr>
      <w:tr>
        <w:tc>
          <w:tcPr>
            <w:tcW w:type="dxa" w:w="3343"/>
          </w:tcPr>
          <w:p>
            <w:pPr>
              <w:spacing w:after="0" w:line="252" w:lineRule="auto"/>
            </w:pPr>
            <w:r>
              <w:rPr>
                <w:b/>
                <w:sz w:val="17"/>
              </w:rPr>
              <w:t>Großer Artikel</w:t>
            </w:r>
          </w:p>
        </w:tc>
        <w:tc>
          <w:tcPr>
            <w:tcW w:type="dxa" w:w="2397"/>
          </w:tcPr>
          <w:p>
            <w:pPr>
              <w:spacing w:after="0" w:line="252" w:lineRule="auto"/>
            </w:pPr>
            <w:r>
              <w:rPr>
                <w:sz w:val="17"/>
              </w:rPr>
              <w:t>MD002 › WLS Artikel</w:t>
            </w:r>
          </w:p>
        </w:tc>
        <w:tc>
          <w:tcPr>
            <w:tcW w:type="dxa" w:w="3785"/>
          </w:tcPr>
          <w:p>
            <w:pPr>
              <w:spacing w:after="0" w:line="252" w:lineRule="auto"/>
            </w:pPr>
            <w:r>
              <w:rPr>
                <w:sz w:val="17"/>
              </w:rPr>
              <w:t>Einlagerung auf Tablar ohne LE; Mengeneinheit muss Ganz-LE sein; nicht auf externe Plätze</w:t>
            </w:r>
          </w:p>
        </w:tc>
      </w:tr>
      <w:tr>
        <w:tc>
          <w:tcPr>
            <w:tcW w:type="dxa" w:w="3343"/>
          </w:tcPr>
          <w:p>
            <w:pPr>
              <w:spacing w:after="0" w:line="252" w:lineRule="auto"/>
            </w:pPr>
            <w:r>
              <w:rPr>
                <w:b/>
                <w:sz w:val="17"/>
              </w:rPr>
              <w:t>LogiTilt deaktivieren</w:t>
            </w:r>
            <w:r>
              <w:rPr>
                <w:sz w:val="17"/>
              </w:rPr>
              <w:t xml:space="preserve"> / </w:t>
            </w:r>
            <w:r>
              <w:rPr>
                <w:b/>
                <w:sz w:val="17"/>
              </w:rPr>
              <w:t>LogiDual deaktivieren</w:t>
            </w:r>
          </w:p>
        </w:tc>
        <w:tc>
          <w:tcPr>
            <w:tcW w:type="dxa" w:w="2397"/>
          </w:tcPr>
          <w:p>
            <w:pPr>
              <w:spacing w:after="0" w:line="252" w:lineRule="auto"/>
            </w:pPr>
            <w:r>
              <w:rPr>
                <w:sz w:val="17"/>
              </w:rPr>
              <w:t>Einlagerbedarfstyp; Artikel</w:t>
            </w:r>
          </w:p>
        </w:tc>
        <w:tc>
          <w:tcPr>
            <w:tcW w:type="dxa" w:w="3785"/>
          </w:tcPr>
          <w:p>
            <w:pPr>
              <w:spacing w:after="0" w:line="252" w:lineRule="auto"/>
            </w:pPr>
            <w:r>
              <w:rPr>
                <w:sz w:val="17"/>
              </w:rPr>
              <w:t>Kein Kippen zum Bediener; keine LogiDual-Nutzung (z. B. Kollisionsgefahr großer Artikel)</w:t>
            </w:r>
          </w:p>
        </w:tc>
      </w:tr>
    </w:tbl>
    <w:p>
      <w:pPr>
        <w:pStyle w:val="BeschriftungSSI"/>
      </w:pPr>
      <w:r>
        <w:t>Tab. 10: Einschränkungen der Lagerreservierung</w:t>
      </w:r>
    </w:p>
    <w:p>
      <w:pPr>
        <w:pStyle w:val="Quelle"/>
      </w:pPr>
      <w:r>
        <w:rPr>
          <w:b/>
        </w:rPr>
        <w:t xml:space="preserve">Quelle: </w:t>
      </w:r>
      <w:r>
        <w:rPr>
          <w:sz w:val="17"/>
        </w:rPr>
        <w:t>Administratorhandbuch 2.7, Kap. 3.6.1.11, 3.6.1.13 (S. 114), 3.6.3.7, 3.11.2; Consultant Training Part 1, Folie „Global parameters – Demand parameters“</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Beispiel (konstruiert, bitte prüfen)</w:t>
            </w:r>
          </w:p>
          <w:p>
            <w:pPr>
              <w:spacing w:after="40"/>
            </w:pPr>
            <w:r>
              <w:rPr>
                <w:sz w:val="19"/>
              </w:rPr>
              <w:t xml:space="preserve">Zwei Klienten teilen sich einen SSI LOGIMAT. Für Klient </w:t>
            </w:r>
            <w:r>
              <w:rPr>
                <w:rFonts w:ascii="Consolas" w:hAnsi="Consolas" w:cs="Consolas" w:eastAsia="Consolas"/>
                <w:sz w:val="17"/>
              </w:rPr>
              <w:t>KL1</w:t>
            </w:r>
            <w:r>
              <w:rPr>
                <w:sz w:val="19"/>
              </w:rPr>
              <w:t xml:space="preserve"> werden die Tablare 1–20 in der Tablar-zu-Klient-Einschränkung gepflegt. Einlagerungen von </w:t>
            </w:r>
            <w:r>
              <w:rPr>
                <w:rFonts w:ascii="Consolas" w:hAnsi="Consolas" w:cs="Consolas" w:eastAsia="Consolas"/>
                <w:sz w:val="17"/>
              </w:rPr>
              <w:t>KL1</w:t>
            </w:r>
            <w:r>
              <w:rPr>
                <w:sz w:val="19"/>
              </w:rPr>
              <w:t xml:space="preserve"> landen nur auf Tablar 1–20. Klient </w:t>
            </w:r>
            <w:r>
              <w:rPr>
                <w:rFonts w:ascii="Consolas" w:hAnsi="Consolas" w:cs="Consolas" w:eastAsia="Consolas"/>
                <w:sz w:val="17"/>
              </w:rPr>
              <w:t>KL2</w:t>
            </w:r>
            <w:r>
              <w:rPr>
                <w:sz w:val="19"/>
              </w:rPr>
              <w:t xml:space="preserve"> ohne Pflege erhält nur Tablare, die keinem anderen Klienten zugeordnet sind, also ab Tablar 21.</w:t>
            </w:r>
          </w:p>
        </w:tc>
      </w:tr>
    </w:tbl>
    <w:p>
      <w:pPr>
        <w:spacing w:after="40"/>
      </w:pPr>
    </w:p>
    <w:p>
      <w:pPr>
        <w:pStyle w:val="Heading1"/>
      </w:pPr>
      <w:r>
        <w:t>5 Bestandshomogenität</w:t>
      </w:r>
    </w:p>
    <w:p>
      <w:pPr>
        <w:pStyle w:val="Heading2"/>
      </w:pPr>
      <w:r>
        <w:t>5.1 Homogenitätstyp definieren (SM041)</w:t>
      </w:r>
    </w:p>
    <w:p>
      <w:r>
        <w:t>Der Bestandshomogenitätstyp legt fest, nach welchen Kriterien Bestand an LE- oder mengenverwalteten Plätzen als homogen gilt.</w:t>
      </w:r>
    </w:p>
    <w:p>
      <w:pPr>
        <w:tabs>
          <w:tab w:pos="425" w:val="left"/>
        </w:tabs>
        <w:spacing w:after="60"/>
        <w:ind w:left="425" w:hanging="425"/>
      </w:pPr>
      <w:r>
        <w:rPr>
          <w:b/>
        </w:rPr>
        <w:t>1.</w:t>
        <w:tab/>
      </w:r>
      <w:r>
        <w:rPr>
          <w:b/>
        </w:rPr>
        <w:t>SM041 Bestandshomogenitätstyp pflegen – strikte Kriterien</w:t>
      </w:r>
      <w:r>
        <w:t xml:space="preserve"> öffnen, </w:t>
      </w:r>
      <w:r>
        <w:rPr>
          <w:b/>
        </w:rPr>
        <w:t>Datensatz anlegen</w:t>
      </w:r>
      <w:r>
        <w:t xml:space="preserve">, </w:t>
      </w:r>
      <w:r>
        <w:rPr>
          <w:rFonts w:ascii="Consolas" w:hAnsi="Consolas" w:cs="Consolas" w:eastAsia="Consolas"/>
          <w:sz w:val="18"/>
        </w:rPr>
        <w:t>Bestandshomogenität</w:t>
      </w:r>
      <w:r>
        <w:t xml:space="preserve"> benennen.</w:t>
      </w:r>
    </w:p>
    <w:p>
      <w:pPr>
        <w:tabs>
          <w:tab w:pos="425" w:val="left"/>
        </w:tabs>
        <w:spacing w:after="60"/>
        <w:ind w:left="425" w:hanging="425"/>
      </w:pPr>
      <w:r>
        <w:rPr>
          <w:b/>
        </w:rPr>
        <w:t>2.</w:t>
        <w:tab/>
      </w:r>
      <w:r>
        <w:t>Kriterien-Checkboxen setzen, z. B. Klient und Charge.</w:t>
      </w:r>
    </w:p>
    <w:p>
      <w:pPr>
        <w:tabs>
          <w:tab w:pos="425" w:val="left"/>
        </w:tabs>
        <w:spacing w:after="60"/>
        <w:ind w:left="425" w:hanging="425"/>
      </w:pPr>
      <w:r>
        <w:rPr>
          <w:b/>
        </w:rPr>
        <w:t>3.</w:t>
        <w:tab/>
      </w:r>
      <w:r>
        <w:t xml:space="preserve">Abhängigkeiten beachten: </w:t>
      </w:r>
      <w:r>
        <w:rPr>
          <w:b/>
        </w:rPr>
        <w:t>Verpackungsversion</w:t>
      </w:r>
      <w:r>
        <w:t xml:space="preserve"> → Klient, Artikel, Variante müssen gesetzt sein; </w:t>
      </w:r>
      <w:r>
        <w:rPr>
          <w:b/>
        </w:rPr>
        <w:t>Variante</w:t>
      </w:r>
      <w:r>
        <w:t xml:space="preserve"> → Klient und Artikel; </w:t>
      </w:r>
      <w:r>
        <w:rPr>
          <w:b/>
        </w:rPr>
        <w:t>Artikel</w:t>
      </w:r>
      <w:r>
        <w:t xml:space="preserve"> → Klient.</w:t>
      </w:r>
    </w:p>
    <w:p>
      <w:pPr>
        <w:tabs>
          <w:tab w:pos="425" w:val="left"/>
        </w:tabs>
        <w:spacing w:after="60"/>
        <w:ind w:left="425" w:hanging="425"/>
      </w:pPr>
      <w:r>
        <w:rPr>
          <w:b/>
        </w:rPr>
        <w:t>4.</w:t>
        <w:tab/>
      </w:r>
      <w:r>
        <w:t xml:space="preserve">Mehrsprachige Bezeichnung pflegen, </w:t>
      </w:r>
      <w:r>
        <w:rPr>
          <w:b/>
        </w:rPr>
        <w:t>Speichern</w:t>
      </w:r>
      <w:r>
        <w:t>.</w:t>
      </w:r>
    </w:p>
    <w:p>
      <w:r>
        <w:t xml:space="preserve">Die Kriterien </w:t>
      </w:r>
      <w:r>
        <w:rPr>
          <w:b/>
        </w:rPr>
        <w:t>Charge, MHD, Produktionsdatum, Wareneigentümer, Bestandsklassifizierung, ABIA 1–20</w:t>
      </w:r>
      <w:r>
        <w:t xml:space="preserve"> gelten nur für Bestandsobjekte </w:t>
      </w:r>
      <w:r>
        <w:rPr>
          <w:b/>
        </w:rPr>
        <w:t>desselben Artikels</w:t>
      </w:r>
      <w:r>
        <w:t>. Beispiel aus dem Handbuch: Ist MHD strikt, darf Artikel 1 nur mit gleichem MHD zusammenliegen; Artikel 2 mit anderem MHD kann trotzdem im selben Lagerfach liegen.</w:t>
      </w:r>
    </w:p>
    <w:p>
      <w:pPr>
        <w:pStyle w:val="Quelle"/>
      </w:pPr>
      <w:r>
        <w:rPr>
          <w:b/>
        </w:rPr>
        <w:t xml:space="preserve">Quelle: </w:t>
      </w:r>
      <w:r>
        <w:rPr>
          <w:sz w:val="17"/>
        </w:rPr>
        <w:t>Administratorhandbuch 2.7, Kap. 3.6.6 (S. 133)</w:t>
      </w:r>
    </w:p>
    <w:p>
      <w:pPr>
        <w:pStyle w:val="Heading2"/>
      </w:pPr>
      <w:r>
        <w:t>5.2 Homogenität zuordnen (SM042) und aktivieren</w:t>
      </w:r>
    </w:p>
    <w:p>
      <w:pPr>
        <w:tabs>
          <w:tab w:pos="425" w:val="left"/>
        </w:tabs>
        <w:spacing w:after="60"/>
        <w:ind w:left="425" w:hanging="425"/>
      </w:pPr>
      <w:r>
        <w:rPr>
          <w:b/>
        </w:rPr>
        <w:t>1.</w:t>
        <w:tab/>
      </w:r>
      <w:r>
        <w:rPr>
          <w:b/>
        </w:rPr>
        <w:t>SM042 Zuordnung Bestandshomogenität pflegen</w:t>
      </w:r>
      <w:r>
        <w:t xml:space="preserve"> öffnen, </w:t>
      </w:r>
      <w:r>
        <w:rPr>
          <w:b/>
        </w:rPr>
        <w:t>Datensatz anlegen</w:t>
      </w:r>
      <w:r>
        <w:t>.</w:t>
      </w:r>
    </w:p>
    <w:p>
      <w:pPr>
        <w:tabs>
          <w:tab w:pos="425" w:val="left"/>
        </w:tabs>
        <w:spacing w:after="60"/>
        <w:ind w:left="425" w:hanging="425"/>
      </w:pPr>
      <w:r>
        <w:rPr>
          <w:b/>
        </w:rPr>
        <w:t>2.</w:t>
        <w:tab/>
      </w:r>
      <w:r>
        <w:rPr>
          <w:rFonts w:ascii="Consolas" w:hAnsi="Consolas" w:cs="Consolas" w:eastAsia="Consolas"/>
          <w:sz w:val="18"/>
        </w:rPr>
        <w:t>Lagerstandort</w:t>
      </w:r>
      <w:r>
        <w:t xml:space="preserve"> und </w:t>
      </w:r>
      <w:r>
        <w:rPr>
          <w:rFonts w:ascii="Consolas" w:hAnsi="Consolas" w:cs="Consolas" w:eastAsia="Consolas"/>
          <w:sz w:val="18"/>
        </w:rPr>
        <w:t>Strategischer Lagerbereich</w:t>
      </w:r>
      <w:r>
        <w:t xml:space="preserve"> wählen, optional </w:t>
      </w:r>
      <w:r>
        <w:rPr>
          <w:rFonts w:ascii="Consolas" w:hAnsi="Consolas" w:cs="Consolas" w:eastAsia="Consolas"/>
          <w:sz w:val="18"/>
        </w:rPr>
        <w:t>Klient</w:t>
      </w:r>
      <w:r>
        <w:t>.</w:t>
      </w:r>
    </w:p>
    <w:p>
      <w:pPr>
        <w:tabs>
          <w:tab w:pos="425" w:val="left"/>
        </w:tabs>
        <w:spacing w:after="60"/>
        <w:ind w:left="425" w:hanging="425"/>
      </w:pPr>
      <w:r>
        <w:rPr>
          <w:b/>
        </w:rPr>
        <w:t>3.</w:t>
        <w:tab/>
      </w:r>
      <w:r>
        <w:t xml:space="preserve">Mindestens einen Typ zuordnen: </w:t>
      </w:r>
      <w:r>
        <w:rPr>
          <w:rFonts w:ascii="Consolas" w:hAnsi="Consolas" w:cs="Consolas" w:eastAsia="Consolas"/>
          <w:sz w:val="18"/>
        </w:rPr>
        <w:t>Lagerfach-Homogenitätstyp</w:t>
      </w:r>
      <w:r>
        <w:t xml:space="preserve"> und/oder </w:t>
      </w:r>
      <w:r>
        <w:rPr>
          <w:rFonts w:ascii="Consolas" w:hAnsi="Consolas" w:cs="Consolas" w:eastAsia="Consolas"/>
          <w:sz w:val="18"/>
        </w:rPr>
        <w:t>LE-Homogenitätstyp</w:t>
      </w:r>
      <w:r>
        <w:t xml:space="preserve"> (LE-verwalteter Bereich), </w:t>
      </w:r>
      <w:r>
        <w:rPr>
          <w:rFonts w:ascii="Consolas" w:hAnsi="Consolas" w:cs="Consolas" w:eastAsia="Consolas"/>
          <w:sz w:val="18"/>
        </w:rPr>
        <w:t>Mengenverwalteter LP-Homogenitätstyp</w:t>
      </w:r>
      <w:r>
        <w:t xml:space="preserve">, </w:t>
      </w:r>
      <w:r>
        <w:rPr>
          <w:rFonts w:ascii="Consolas" w:hAnsi="Consolas" w:cs="Consolas" w:eastAsia="Consolas"/>
          <w:sz w:val="18"/>
        </w:rPr>
        <w:t>Unterteilte LE – Homogenitätstyp</w:t>
      </w:r>
      <w:r>
        <w:t xml:space="preserve">, </w:t>
      </w:r>
      <w:r>
        <w:rPr>
          <w:rFonts w:ascii="Consolas" w:hAnsi="Consolas" w:cs="Consolas" w:eastAsia="Consolas"/>
          <w:sz w:val="18"/>
        </w:rPr>
        <w:t>LE-Fach-Homogenitätstyp</w:t>
      </w:r>
      <w:r>
        <w:t>.</w:t>
      </w:r>
    </w:p>
    <w:p>
      <w:pPr>
        <w:tabs>
          <w:tab w:pos="425" w:val="left"/>
        </w:tabs>
        <w:spacing w:after="60"/>
        <w:ind w:left="425" w:hanging="425"/>
      </w:pPr>
      <w:r>
        <w:rPr>
          <w:b/>
        </w:rPr>
        <w:t>4.</w:t>
        <w:tab/>
      </w:r>
      <w:r>
        <w:t xml:space="preserve">In </w:t>
      </w:r>
      <w:r>
        <w:rPr>
          <w:b/>
        </w:rPr>
        <w:t>LM069</w:t>
      </w:r>
      <w:r>
        <w:t xml:space="preserve">, Registerkarte </w:t>
      </w:r>
      <w:r>
        <w:rPr>
          <w:b/>
        </w:rPr>
        <w:t>Konfiguration</w:t>
      </w:r>
      <w:r>
        <w:t>, den strategischen bzw. mengenverwalteten Lagerbereich der Zone wählen. Diese Bereiche werden zur Homogenitätsprüfung verwendet.</w:t>
      </w:r>
    </w:p>
    <w:p>
      <w:pPr>
        <w:tabs>
          <w:tab w:pos="425" w:val="left"/>
        </w:tabs>
        <w:spacing w:after="60"/>
        <w:ind w:left="425" w:hanging="425"/>
      </w:pPr>
      <w:r>
        <w:rPr>
          <w:b/>
        </w:rPr>
        <w:t>5.</w:t>
        <w:tab/>
      </w:r>
      <w:r>
        <w:t xml:space="preserve">Systemparameter </w:t>
      </w:r>
      <w:r>
        <w:rPr>
          <w:rFonts w:ascii="Consolas" w:hAnsi="Consolas" w:cs="Consolas" w:eastAsia="Consolas"/>
          <w:sz w:val="18"/>
        </w:rPr>
        <w:t>logimat.stock.enableHomogenityCheck</w:t>
      </w:r>
      <w:r>
        <w:t xml:space="preserve"> (Homogenitätsprüfung bei der Einlagerung) prüfen.</w:t>
      </w:r>
    </w:p>
    <w:p>
      <w:r>
        <w:t xml:space="preserve">Bei der Lagerreservierung sorgt WAMAS anhand dieser Kriterien dafür, dass eine Box nach der Einlagerung homogen bleibt; im Bestandsauswahlmodus sind für den Prozess </w:t>
      </w:r>
      <w:r>
        <w:rPr>
          <w:b/>
        </w:rPr>
        <w:t>Lagerreservierung</w:t>
      </w:r>
      <w:r>
        <w:t xml:space="preserve"> daher keine MHD-/Produktionsdatumsregeln nötig.</w:t>
      </w:r>
    </w:p>
    <w:p>
      <w:pPr>
        <w:pStyle w:val="Quelle"/>
      </w:pPr>
      <w:r>
        <w:rPr>
          <w:b/>
        </w:rPr>
        <w:t xml:space="preserve">Quelle: </w:t>
      </w:r>
      <w:r>
        <w:rPr>
          <w:sz w:val="17"/>
        </w:rPr>
        <w:t>Administratorhandbuch 2.7, Kap. 3.1.3.2 (S. 16), 3.1.10.1 (S. 26), 3.6.7 (S. 133–134), 3.11.2</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Beispiel (konstruiert, bitte prüfen)</w:t>
            </w:r>
          </w:p>
          <w:p>
            <w:pPr>
              <w:spacing w:after="40"/>
            </w:pPr>
            <w:r>
              <w:rPr>
                <w:sz w:val="19"/>
              </w:rPr>
              <w:t xml:space="preserve">Ein Pharma-Klient verlangt chargenreine Boxen. Homogenitätstyp </w:t>
            </w:r>
            <w:r>
              <w:rPr>
                <w:rFonts w:ascii="Consolas" w:hAnsi="Consolas" w:cs="Consolas" w:eastAsia="Consolas"/>
                <w:sz w:val="17"/>
              </w:rPr>
              <w:t>CHARGENREIN</w:t>
            </w:r>
            <w:r>
              <w:rPr>
                <w:sz w:val="19"/>
              </w:rPr>
              <w:t xml:space="preserve"> mit Klient, Artikel, Variante und Charge anlegen und in SM042 für den strategischen Bereich der LOGIMAT-Zone als </w:t>
            </w:r>
            <w:r>
              <w:rPr>
                <w:rFonts w:ascii="Consolas" w:hAnsi="Consolas" w:cs="Consolas" w:eastAsia="Consolas"/>
                <w:sz w:val="17"/>
              </w:rPr>
              <w:t>LE-Homogenitätstyp</w:t>
            </w:r>
            <w:r>
              <w:rPr>
                <w:sz w:val="19"/>
              </w:rPr>
              <w:t xml:space="preserve"> zuordnen. Eine neue Charge desselben Artikels wird dann nicht in eine Box mit anderer Charge eingelagert.</w:t>
            </w:r>
          </w:p>
        </w:tc>
      </w:tr>
    </w:tbl>
    <w:p>
      <w:pPr>
        <w:spacing w:after="40"/>
      </w:pPr>
    </w:p>
    <w:p>
      <w:pPr>
        <w:pStyle w:val="Heading1"/>
      </w:pPr>
      <w:r>
        <w:t>6 Auslager- und Kommissionierstrategien</w:t>
      </w:r>
    </w:p>
    <w:p>
      <w:pPr>
        <w:pStyle w:val="Heading2"/>
      </w:pPr>
      <w:r>
        <w:t>6.1 Reservierungsstrategie am Kommissionierbedarfstyp</w:t>
      </w:r>
    </w:p>
    <w:p>
      <w:r>
        <w:t xml:space="preserve">Konfiguration: </w:t>
      </w:r>
      <w:r>
        <w:rPr>
          <w:b/>
        </w:rPr>
        <w:t>MD017</w:t>
      </w:r>
      <w:r>
        <w:t xml:space="preserve"> › Registerkarte </w:t>
      </w:r>
      <w:r>
        <w:rPr>
          <w:b/>
        </w:rPr>
        <w:t>Kommissionierbedarfstyp</w:t>
      </w:r>
      <w:r>
        <w:t xml:space="preserve"> › Feld </w:t>
      </w:r>
      <w:r>
        <w:rPr>
          <w:rFonts w:ascii="Consolas" w:hAnsi="Consolas" w:cs="Consolas" w:eastAsia="Consolas"/>
          <w:sz w:val="18"/>
        </w:rPr>
        <w:t>Reservierungsstrategie</w:t>
      </w:r>
      <w:r>
        <w: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788"/>
        <w:gridCol w:w="2683"/>
        <w:gridCol w:w="2370"/>
        <w:gridCol w:w="2683"/>
      </w:tblGrid>
      <w:tr>
        <w:trPr>
          <w:tblHeader w:val="true"/>
        </w:trPr>
        <w:tc>
          <w:tcPr>
            <w:tcW w:type="dxa" w:w="1789"/>
            <w:shd w:val="clear" w:color="auto" w:fill="FEEE19"/>
          </w:tcPr>
          <w:p>
            <w:pPr>
              <w:spacing w:after="0"/>
            </w:pPr>
            <w:r>
              <w:rPr>
                <w:b/>
                <w:sz w:val="17"/>
              </w:rPr>
              <w:t>Strategie (Feldwert in der Auswahlliste)</w:t>
            </w:r>
          </w:p>
        </w:tc>
        <w:tc>
          <w:tcPr>
            <w:tcW w:type="dxa" w:w="2683"/>
            <w:shd w:val="clear" w:color="auto" w:fill="FEEE19"/>
          </w:tcPr>
          <w:p>
            <w:pPr>
              <w:spacing w:after="0"/>
            </w:pPr>
            <w:r>
              <w:rPr>
                <w:b/>
                <w:sz w:val="17"/>
              </w:rPr>
              <w:t>Was sie tut (laut Handbuch)</w:t>
            </w:r>
          </w:p>
        </w:tc>
        <w:tc>
          <w:tcPr>
            <w:tcW w:type="dxa" w:w="2370"/>
            <w:shd w:val="clear" w:color="auto" w:fill="FEEE19"/>
          </w:tcPr>
          <w:p>
            <w:pPr>
              <w:spacing w:after="0"/>
            </w:pPr>
            <w:r>
              <w:rPr>
                <w:b/>
                <w:sz w:val="17"/>
              </w:rPr>
              <w:t>Wirkung</w:t>
            </w:r>
          </w:p>
        </w:tc>
        <w:tc>
          <w:tcPr>
            <w:tcW w:type="dxa" w:w="2683"/>
            <w:shd w:val="clear" w:color="auto" w:fill="FEEE19"/>
          </w:tcPr>
          <w:p>
            <w:pPr>
              <w:spacing w:after="0"/>
            </w:pPr>
            <w:r>
              <w:rPr>
                <w:b/>
                <w:sz w:val="17"/>
              </w:rPr>
              <w:t>Beispiel (konstruiert, bitte prüfen)</w:t>
            </w:r>
          </w:p>
        </w:tc>
      </w:tr>
      <w:tr>
        <w:tc>
          <w:tcPr>
            <w:tcW w:type="dxa" w:w="1789"/>
          </w:tcPr>
          <w:p>
            <w:pPr>
              <w:spacing w:after="0" w:line="252" w:lineRule="auto"/>
            </w:pPr>
            <w:r>
              <w:rPr>
                <w:b/>
                <w:sz w:val="17"/>
              </w:rPr>
              <w:t>Transport</w:t>
            </w:r>
          </w:p>
        </w:tc>
        <w:tc>
          <w:tcPr>
            <w:tcW w:type="dxa" w:w="2683"/>
          </w:tcPr>
          <w:p>
            <w:pPr>
              <w:spacing w:after="0" w:line="252" w:lineRule="auto"/>
            </w:pPr>
            <w:r>
              <w:rPr>
                <w:sz w:val="17"/>
              </w:rPr>
              <w:t xml:space="preserve">Reserviert Boxen, die sich auf </w:t>
            </w:r>
            <w:r>
              <w:rPr>
                <w:b/>
                <w:sz w:val="17"/>
              </w:rPr>
              <w:t>demselben Tablar</w:t>
            </w:r>
            <w:r>
              <w:rPr>
                <w:sz w:val="17"/>
              </w:rPr>
              <w:t xml:space="preserve"> befinden</w:t>
            </w:r>
          </w:p>
        </w:tc>
        <w:tc>
          <w:tcPr>
            <w:tcW w:type="dxa" w:w="2370"/>
          </w:tcPr>
          <w:p>
            <w:pPr>
              <w:spacing w:after="0" w:line="252" w:lineRule="auto"/>
            </w:pPr>
            <w:r>
              <w:rPr>
                <w:sz w:val="17"/>
              </w:rPr>
              <w:t>Weniger Tablarbewegungen, schnellere Kommissionierung</w:t>
            </w:r>
          </w:p>
        </w:tc>
        <w:tc>
          <w:tcPr>
            <w:tcW w:type="dxa" w:w="2683"/>
          </w:tcPr>
          <w:p>
            <w:pPr>
              <w:spacing w:after="0" w:line="252" w:lineRule="auto"/>
            </w:pPr>
            <w:r>
              <w:rPr>
                <w:sz w:val="17"/>
              </w:rPr>
              <w:t>Ein Auftrag mit 5 Zeilen wird möglichst von einem Tablar bedient</w:t>
            </w:r>
          </w:p>
        </w:tc>
      </w:tr>
      <w:tr>
        <w:tc>
          <w:tcPr>
            <w:tcW w:type="dxa" w:w="1789"/>
          </w:tcPr>
          <w:p>
            <w:pPr>
              <w:spacing w:after="0" w:line="252" w:lineRule="auto"/>
            </w:pPr>
            <w:r>
              <w:rPr>
                <w:b/>
                <w:sz w:val="17"/>
              </w:rPr>
              <w:t>Belegung</w:t>
            </w:r>
          </w:p>
        </w:tc>
        <w:tc>
          <w:tcPr>
            <w:tcW w:type="dxa" w:w="2683"/>
          </w:tcPr>
          <w:p>
            <w:pPr>
              <w:spacing w:after="0" w:line="252" w:lineRule="auto"/>
            </w:pPr>
            <w:r>
              <w:rPr>
                <w:sz w:val="17"/>
              </w:rPr>
              <w:t xml:space="preserve">Reserviert die Boxen, die </w:t>
            </w:r>
            <w:r>
              <w:rPr>
                <w:b/>
                <w:sz w:val="17"/>
              </w:rPr>
              <w:t>zuerst geleert</w:t>
            </w:r>
            <w:r>
              <w:rPr>
                <w:sz w:val="17"/>
              </w:rPr>
              <w:t xml:space="preserve"> werden können</w:t>
            </w:r>
          </w:p>
        </w:tc>
        <w:tc>
          <w:tcPr>
            <w:tcW w:type="dxa" w:w="2370"/>
          </w:tcPr>
          <w:p>
            <w:pPr>
              <w:spacing w:after="0" w:line="252" w:lineRule="auto"/>
            </w:pPr>
            <w:r>
              <w:rPr>
                <w:sz w:val="17"/>
              </w:rPr>
              <w:t>Boxen werden frei, bessere Raumnutzung</w:t>
            </w:r>
          </w:p>
        </w:tc>
        <w:tc>
          <w:tcPr>
            <w:tcW w:type="dxa" w:w="2683"/>
          </w:tcPr>
          <w:p>
            <w:pPr>
              <w:spacing w:after="0" w:line="252" w:lineRule="auto"/>
            </w:pPr>
            <w:r>
              <w:rPr>
                <w:sz w:val="17"/>
              </w:rPr>
              <w:t>10 Stück werden aus der Box mit 10 Stück entnommen statt aus der mit 80</w:t>
            </w:r>
          </w:p>
        </w:tc>
      </w:tr>
      <w:tr>
        <w:tc>
          <w:tcPr>
            <w:tcW w:type="dxa" w:w="1789"/>
          </w:tcPr>
          <w:p>
            <w:pPr>
              <w:spacing w:after="0" w:line="252" w:lineRule="auto"/>
            </w:pPr>
            <w:r>
              <w:rPr>
                <w:b/>
                <w:sz w:val="17"/>
              </w:rPr>
              <w:t>Fast leer</w:t>
            </w:r>
          </w:p>
        </w:tc>
        <w:tc>
          <w:tcPr>
            <w:tcW w:type="dxa" w:w="2683"/>
          </w:tcPr>
          <w:p>
            <w:pPr>
              <w:spacing w:after="0" w:line="252" w:lineRule="auto"/>
            </w:pPr>
            <w:r>
              <w:rPr>
                <w:sz w:val="17"/>
              </w:rPr>
              <w:t xml:space="preserve">Reserviert </w:t>
            </w:r>
            <w:r>
              <w:rPr>
                <w:b/>
                <w:sz w:val="17"/>
              </w:rPr>
              <w:t>fast leere</w:t>
            </w:r>
            <w:r>
              <w:rPr>
                <w:sz w:val="17"/>
              </w:rPr>
              <w:t xml:space="preserve"> Boxen</w:t>
            </w:r>
          </w:p>
        </w:tc>
        <w:tc>
          <w:tcPr>
            <w:tcW w:type="dxa" w:w="2370"/>
          </w:tcPr>
          <w:p>
            <w:pPr>
              <w:spacing w:after="0" w:line="252" w:lineRule="auto"/>
            </w:pPr>
            <w:r>
              <w:rPr>
                <w:sz w:val="17"/>
              </w:rPr>
              <w:t>Restmengen werden abgebaut</w:t>
            </w:r>
          </w:p>
        </w:tc>
        <w:tc>
          <w:tcPr>
            <w:tcW w:type="dxa" w:w="2683"/>
          </w:tcPr>
          <w:p>
            <w:pPr>
              <w:spacing w:after="0" w:line="252" w:lineRule="auto"/>
            </w:pPr>
            <w:r>
              <w:rPr>
                <w:sz w:val="17"/>
              </w:rPr>
              <w:t>Boxen mit kleinen Restbeständen werden bevorzugt geleert</w:t>
            </w:r>
          </w:p>
        </w:tc>
      </w:tr>
    </w:tbl>
    <w:p>
      <w:pPr>
        <w:pStyle w:val="BeschriftungSSI"/>
      </w:pPr>
      <w:r>
        <w:t>Tab. 11: Reservierungsstrategien für die Kommissionierung</w:t>
      </w:r>
    </w:p>
    <w:p>
      <w:r>
        <w:t>Laut Schulungsunterlage: Transport optimiert Tablarbewegungen, Occupancy gibt Platz frei, Almost Empty leert so viele Plätze wie möglich.</w:t>
      </w:r>
    </w:p>
    <w:p>
      <w:pPr>
        <w:pStyle w:val="Quelle"/>
      </w:pPr>
      <w:r>
        <w:rPr>
          <w:b/>
        </w:rPr>
        <w:t xml:space="preserve">Quelle: </w:t>
      </w:r>
      <w:r>
        <w:rPr>
          <w:sz w:val="17"/>
        </w:rPr>
        <w:t>Administratorhandbuch 2.7, Kap. 3.6.1.10 (S. 108); Consultant Training Part 1, Folie „Client Configuration (2) – Picking demand“</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In den Unterlagen nicht beschrieben</w:t>
            </w:r>
          </w:p>
          <w:p>
            <w:pPr>
              <w:spacing w:after="40"/>
            </w:pPr>
            <w:r>
              <w:rPr>
                <w:sz w:val="19"/>
              </w:rPr>
              <w:t xml:space="preserve">Das Installationshandbuch 2.7 nennt zusätzlich den globalen Parameter </w:t>
            </w:r>
            <w:r>
              <w:rPr>
                <w:rFonts w:ascii="Consolas" w:hAnsi="Consolas" w:cs="Consolas" w:eastAsia="Consolas"/>
                <w:sz w:val="17"/>
              </w:rPr>
              <w:t>logimat.picking.reservationStrategy</w:t>
            </w:r>
            <w:r>
              <w:rPr>
                <w:sz w:val="19"/>
              </w:rPr>
              <w:t xml:space="preserve"> (Standard </w:t>
            </w:r>
            <w:r>
              <w:rPr>
                <w:rFonts w:ascii="Consolas" w:hAnsi="Consolas" w:cs="Consolas" w:eastAsia="Consolas"/>
                <w:sz w:val="17"/>
              </w:rPr>
              <w:t>BOX_OCCUPANCY</w:t>
            </w:r>
            <w:r>
              <w:rPr>
                <w:sz w:val="19"/>
              </w:rPr>
              <w:t>, Alternative „tray movement optimization“). Er fehlt in den Administratorhandbüchern 2.7 und 2.8. Vorrang gegenüber dem Feld am Bedarfstyp ist nicht dokumentiert. Ebenso wenig ist beschrieben, ob die Reservierungsstrategie vor oder nach FIFO/MHD-Regeln wirkt.</w:t>
            </w:r>
          </w:p>
        </w:tc>
      </w:tr>
    </w:tbl>
    <w:p>
      <w:pPr>
        <w:spacing w:after="40"/>
      </w:pPr>
    </w:p>
    <w:p>
      <w:pPr>
        <w:pStyle w:val="Heading2"/>
      </w:pPr>
      <w:r>
        <w:t>6.2 FIFO und LIFO: Zeitzugriffsmodus</w:t>
      </w:r>
    </w:p>
    <w:p>
      <w:r>
        <w:t xml:space="preserve">Konfiguration: </w:t>
      </w:r>
      <w:r>
        <w:rPr>
          <w:b/>
        </w:rPr>
        <w:t>MD017</w:t>
      </w:r>
      <w:r>
        <w:t xml:space="preserve"> › </w:t>
      </w:r>
      <w:r>
        <w:rPr>
          <w:b/>
        </w:rPr>
        <w:t>Kommissionierbedarfstyp</w:t>
      </w:r>
      <w:r>
        <w:t xml:space="preserve"> › Feld </w:t>
      </w:r>
      <w:r>
        <w:rPr>
          <w:rFonts w:ascii="Consolas" w:hAnsi="Consolas" w:cs="Consolas" w:eastAsia="Consolas"/>
          <w:sz w:val="18"/>
        </w:rPr>
        <w:t>Zeitzugriffsmodus</w:t>
      </w:r>
      <w:r>
        <w:t>.</w:t>
      </w:r>
    </w:p>
    <w:p>
      <w:pPr>
        <w:pStyle w:val="ListBullet"/>
      </w:pPr>
      <w:r>
        <w:rPr>
          <w:b/>
        </w:rPr>
        <w:t>First In – First Out:</w:t>
      </w:r>
      <w:r>
        <w:t xml:space="preserve"> Artikel mit der </w:t>
      </w:r>
      <w:r>
        <w:rPr>
          <w:b/>
        </w:rPr>
        <w:t>ältesten Erfassungszeit</w:t>
      </w:r>
      <w:r>
        <w:t xml:space="preserve"> werden zuerst kommissioniert.</w:t>
      </w:r>
    </w:p>
    <w:p>
      <w:pPr>
        <w:pStyle w:val="ListBullet"/>
      </w:pPr>
      <w:r>
        <w:rPr>
          <w:b/>
        </w:rPr>
        <w:t>Last In – First Out:</w:t>
      </w:r>
      <w:r>
        <w:t xml:space="preserve"> Artikel mit der </w:t>
      </w:r>
      <w:r>
        <w:rPr>
          <w:b/>
        </w:rPr>
        <w:t>jüngsten Erfassungszeit</w:t>
      </w:r>
      <w:r>
        <w:t xml:space="preserve"> werden zuerst kommissioniert.</w:t>
      </w:r>
    </w:p>
    <w:p>
      <w:r>
        <w:t xml:space="preserve">Zusätzlich gibt es für die manuelle Tablarsuche am Touch-Client den Parameter </w:t>
      </w:r>
      <w:r>
        <w:rPr>
          <w:rFonts w:ascii="Consolas" w:hAnsi="Consolas" w:cs="Consolas" w:eastAsia="Consolas"/>
          <w:sz w:val="18"/>
        </w:rPr>
        <w:t>logimat.dialogs.lm040.trays.sort.mode</w:t>
      </w:r>
      <w:r>
        <w:t xml:space="preserve">: Die Sortierung FIFO wird nur angewandt, wenn bei der Suche </w:t>
      </w:r>
      <w:r>
        <w:rPr>
          <w:b/>
        </w:rPr>
        <w:t>sowohl der Artikel als auch die Betriebsart AUSLAGERN</w:t>
      </w:r>
      <w:r>
        <w:t xml:space="preserve"> verwendet werden.</w:t>
      </w:r>
    </w:p>
    <w:p>
      <w:pPr>
        <w:pStyle w:val="Quelle"/>
      </w:pPr>
      <w:r>
        <w:rPr>
          <w:b/>
        </w:rPr>
        <w:t xml:space="preserve">Quelle: </w:t>
      </w:r>
      <w:r>
        <w:rPr>
          <w:sz w:val="17"/>
        </w:rPr>
        <w:t>Administratorhandbuch 2.7, Kap. 3.6.1.10 (S. 110) und 3.11.2; Administrator Manual 2.8, Kap. 3.6.1.10</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Beispiel (konstruiert, bitte prüfen)</w:t>
            </w:r>
          </w:p>
          <w:p>
            <w:pPr>
              <w:spacing w:after="40"/>
            </w:pPr>
            <w:r>
              <w:rPr>
                <w:sz w:val="19"/>
              </w:rPr>
              <w:t xml:space="preserve">Artikel </w:t>
            </w:r>
            <w:r>
              <w:rPr>
                <w:rFonts w:ascii="Consolas" w:hAnsi="Consolas" w:cs="Consolas" w:eastAsia="Consolas"/>
                <w:sz w:val="17"/>
              </w:rPr>
              <w:t>B-200</w:t>
            </w:r>
            <w:r>
              <w:rPr>
                <w:sz w:val="19"/>
              </w:rPr>
              <w:t xml:space="preserve"> liegt in Box 1 (erfasst 03.02.) und Box 2 (erfasst 10.03.). Beim Kommissionierbedarfstyp mit </w:t>
            </w:r>
            <w:r>
              <w:rPr>
                <w:b/>
                <w:sz w:val="19"/>
              </w:rPr>
              <w:t>First In – First Out</w:t>
            </w:r>
            <w:r>
              <w:rPr>
                <w:sz w:val="19"/>
              </w:rPr>
              <w:t xml:space="preserve"> wird zuerst Box 1 reserviert, mit </w:t>
            </w:r>
            <w:r>
              <w:rPr>
                <w:b/>
                <w:sz w:val="19"/>
              </w:rPr>
              <w:t>Last In – First Out</w:t>
            </w:r>
            <w:r>
              <w:rPr>
                <w:sz w:val="19"/>
              </w:rPr>
              <w:t xml:space="preserve"> zuerst Box 2.</w:t>
            </w:r>
          </w:p>
        </w:tc>
      </w:tr>
    </w:tbl>
    <w:p>
      <w:pPr>
        <w:spacing w:after="40"/>
      </w:pPr>
    </w:p>
    <w:p>
      <w:pPr>
        <w:pStyle w:val="Heading2"/>
      </w:pPr>
      <w:r>
        <w:t>6.3 Zeitbezogener Zugriff und Gleichwertigkeitsdauer</w:t>
      </w:r>
    </w:p>
    <w:p>
      <w:r>
        <w:t xml:space="preserve">Der </w:t>
      </w:r>
      <w:r>
        <w:rPr>
          <w:b/>
        </w:rPr>
        <w:t>Zeitbezogene Zugriffsmodus</w:t>
      </w:r>
      <w:r>
        <w:t xml:space="preserve"> legt fest, welches Datum des Bestands für den zeitbezogenen Zugriff gilt. Die </w:t>
      </w:r>
      <w:r>
        <w:rPr>
          <w:b/>
        </w:rPr>
        <w:t>Gleichwertigkeitsdauer</w:t>
      </w:r>
      <w:r>
        <w:t xml:space="preserve"> legt fest, wie weit Bestände in diesem Datum voneinander abweichen dürfen und trotzdem als gleichwertig gelten.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686"/>
        <w:gridCol w:w="3175"/>
        <w:gridCol w:w="3663"/>
      </w:tblGrid>
      <w:tr>
        <w:trPr>
          <w:tblHeader w:val="true"/>
        </w:trPr>
        <w:tc>
          <w:tcPr>
            <w:tcW w:type="dxa" w:w="2686"/>
            <w:shd w:val="clear" w:color="auto" w:fill="FEEE19"/>
          </w:tcPr>
          <w:p>
            <w:pPr>
              <w:spacing w:after="0"/>
            </w:pPr>
            <w:r>
              <w:rPr>
                <w:b/>
                <w:sz w:val="17"/>
              </w:rPr>
              <w:t>Einstellung</w:t>
            </w:r>
          </w:p>
        </w:tc>
        <w:tc>
          <w:tcPr>
            <w:tcW w:type="dxa" w:w="3175"/>
            <w:shd w:val="clear" w:color="auto" w:fill="FEEE19"/>
          </w:tcPr>
          <w:p>
            <w:pPr>
              <w:spacing w:after="0"/>
            </w:pPr>
            <w:r>
              <w:rPr>
                <w:b/>
                <w:sz w:val="17"/>
              </w:rPr>
              <w:t>Ort</w:t>
            </w:r>
          </w:p>
        </w:tc>
        <w:tc>
          <w:tcPr>
            <w:tcW w:type="dxa" w:w="3663"/>
            <w:shd w:val="clear" w:color="auto" w:fill="FEEE19"/>
          </w:tcPr>
          <w:p>
            <w:pPr>
              <w:spacing w:after="0"/>
            </w:pPr>
            <w:r>
              <w:rPr>
                <w:b/>
                <w:sz w:val="17"/>
              </w:rPr>
              <w:t>Werte / Wirkung</w:t>
            </w:r>
          </w:p>
        </w:tc>
      </w:tr>
      <w:tr>
        <w:tc>
          <w:tcPr>
            <w:tcW w:type="dxa" w:w="2686"/>
          </w:tcPr>
          <w:p>
            <w:pPr>
              <w:spacing w:after="0" w:line="252" w:lineRule="auto"/>
            </w:pPr>
            <w:r>
              <w:rPr>
                <w:rFonts w:ascii="Consolas" w:hAnsi="Consolas" w:cs="Consolas" w:eastAsia="Consolas"/>
                <w:sz w:val="15"/>
              </w:rPr>
              <w:t>Zeitbezogener Zugriffsmodus</w:t>
            </w:r>
          </w:p>
        </w:tc>
        <w:tc>
          <w:tcPr>
            <w:tcW w:type="dxa" w:w="3175"/>
          </w:tcPr>
          <w:p>
            <w:pPr>
              <w:spacing w:after="0" w:line="252" w:lineRule="auto"/>
            </w:pPr>
            <w:r>
              <w:rPr>
                <w:sz w:val="17"/>
              </w:rPr>
              <w:t>MD002 › Artikel; Standard in LM053 › Systemparameter</w:t>
            </w:r>
          </w:p>
        </w:tc>
        <w:tc>
          <w:tcPr>
            <w:tcW w:type="dxa" w:w="3663"/>
          </w:tcPr>
          <w:p>
            <w:pPr>
              <w:spacing w:after="0" w:line="252" w:lineRule="auto"/>
            </w:pPr>
            <w:r>
              <w:rPr>
                <w:b/>
                <w:sz w:val="17"/>
              </w:rPr>
              <w:t>Erfassungszeit</w:t>
            </w:r>
            <w:r>
              <w:rPr>
                <w:sz w:val="17"/>
              </w:rPr>
              <w:t xml:space="preserve">, </w:t>
            </w:r>
            <w:r>
              <w:rPr>
                <w:b/>
                <w:sz w:val="17"/>
              </w:rPr>
              <w:t>Mindesthaltbarkeitsdatum</w:t>
            </w:r>
            <w:r>
              <w:rPr>
                <w:sz w:val="17"/>
              </w:rPr>
              <w:t xml:space="preserve">, </w:t>
            </w:r>
            <w:r>
              <w:rPr>
                <w:b/>
                <w:sz w:val="17"/>
              </w:rPr>
              <w:t>Produktionsdatum</w:t>
            </w:r>
            <w:r>
              <w:rPr>
                <w:sz w:val="17"/>
              </w:rPr>
              <w:t>: Abweichung vom jeweiligen Datum ist zulässig</w:t>
            </w:r>
          </w:p>
        </w:tc>
      </w:tr>
      <w:tr>
        <w:tc>
          <w:tcPr>
            <w:tcW w:type="dxa" w:w="2686"/>
          </w:tcPr>
          <w:p>
            <w:pPr>
              <w:spacing w:after="0" w:line="252" w:lineRule="auto"/>
            </w:pPr>
            <w:r>
              <w:rPr>
                <w:rFonts w:ascii="Consolas" w:hAnsi="Consolas" w:cs="Consolas" w:eastAsia="Consolas"/>
                <w:sz w:val="15"/>
              </w:rPr>
              <w:t>Artikelgleichwertigkeitsdauer</w:t>
            </w:r>
          </w:p>
        </w:tc>
        <w:tc>
          <w:tcPr>
            <w:tcW w:type="dxa" w:w="3175"/>
          </w:tcPr>
          <w:p>
            <w:pPr>
              <w:spacing w:after="0" w:line="252" w:lineRule="auto"/>
            </w:pPr>
            <w:r>
              <w:rPr>
                <w:sz w:val="17"/>
              </w:rPr>
              <w:t>MD002 › Artikel; Standard in LM053</w:t>
            </w:r>
          </w:p>
        </w:tc>
        <w:tc>
          <w:tcPr>
            <w:tcW w:type="dxa" w:w="3663"/>
          </w:tcPr>
          <w:p>
            <w:pPr>
              <w:spacing w:after="0" w:line="252" w:lineRule="auto"/>
            </w:pPr>
            <w:r>
              <w:rPr>
                <w:sz w:val="17"/>
              </w:rPr>
              <w:t>Zulässige Abweichung in Tagen (d), Monaten (mo) oder Jahren (yr); ohne Wert gilt die Warengruppe</w:t>
            </w:r>
          </w:p>
        </w:tc>
      </w:tr>
      <w:tr>
        <w:tc>
          <w:tcPr>
            <w:tcW w:type="dxa" w:w="2686"/>
          </w:tcPr>
          <w:p>
            <w:pPr>
              <w:spacing w:after="0" w:line="252" w:lineRule="auto"/>
            </w:pPr>
            <w:r>
              <w:rPr>
                <w:rFonts w:ascii="Consolas" w:hAnsi="Consolas" w:cs="Consolas" w:eastAsia="Consolas"/>
                <w:sz w:val="15"/>
              </w:rPr>
              <w:t>Warengruppe Gleichwertigkeitsdauer</w:t>
            </w:r>
          </w:p>
        </w:tc>
        <w:tc>
          <w:tcPr>
            <w:tcW w:type="dxa" w:w="3175"/>
          </w:tcPr>
          <w:p>
            <w:pPr>
              <w:spacing w:after="0" w:line="252" w:lineRule="auto"/>
            </w:pPr>
            <w:r>
              <w:rPr>
                <w:sz w:val="17"/>
              </w:rPr>
              <w:t>MD017 › Warengruppe</w:t>
            </w:r>
          </w:p>
        </w:tc>
        <w:tc>
          <w:tcPr>
            <w:tcW w:type="dxa" w:w="3663"/>
          </w:tcPr>
          <w:p>
            <w:pPr>
              <w:spacing w:after="0" w:line="252" w:lineRule="auto"/>
            </w:pPr>
            <w:r>
              <w:rPr>
                <w:sz w:val="17"/>
              </w:rPr>
              <w:t>Ermöglicht, dass eine LE mit abweichendem Datum im Warenausgang für den Artikel des jeweiligen Partners verwendet wird</w:t>
            </w:r>
          </w:p>
        </w:tc>
      </w:tr>
      <w:tr>
        <w:tc>
          <w:tcPr>
            <w:tcW w:type="dxa" w:w="2686"/>
          </w:tcPr>
          <w:p>
            <w:pPr>
              <w:spacing w:after="0" w:line="252" w:lineRule="auto"/>
            </w:pPr>
            <w:r>
              <w:rPr>
                <w:rFonts w:ascii="Consolas" w:hAnsi="Consolas" w:cs="Consolas" w:eastAsia="Consolas"/>
                <w:sz w:val="15"/>
              </w:rPr>
              <w:t>Gleichwertigkeitsdauerstrategie</w:t>
            </w:r>
            <w:r>
              <w:rPr>
                <w:sz w:val="17"/>
              </w:rPr>
              <w:t xml:space="preserve"> = </w:t>
            </w:r>
            <w:r>
              <w:rPr>
                <w:b/>
                <w:sz w:val="17"/>
              </w:rPr>
              <w:t>Mild</w:t>
            </w:r>
          </w:p>
        </w:tc>
        <w:tc>
          <w:tcPr>
            <w:tcW w:type="dxa" w:w="3175"/>
          </w:tcPr>
          <w:p>
            <w:pPr>
              <w:spacing w:after="0" w:line="252" w:lineRule="auto"/>
            </w:pPr>
            <w:r>
              <w:rPr>
                <w:sz w:val="17"/>
              </w:rPr>
              <w:t>MD018 Partner › Registerkarte Warenausgang</w:t>
            </w:r>
          </w:p>
        </w:tc>
        <w:tc>
          <w:tcPr>
            <w:tcW w:type="dxa" w:w="3663"/>
          </w:tcPr>
          <w:p>
            <w:pPr>
              <w:spacing w:after="0" w:line="252" w:lineRule="auto"/>
            </w:pPr>
            <w:r>
              <w:rPr>
                <w:sz w:val="17"/>
              </w:rPr>
              <w:t>Pflicht, damit für den Partner zeitliche Abweichungen zulässig sind</w:t>
            </w:r>
          </w:p>
        </w:tc>
      </w:tr>
      <w:tr>
        <w:tc>
          <w:tcPr>
            <w:tcW w:type="dxa" w:w="2686"/>
          </w:tcPr>
          <w:p>
            <w:pPr>
              <w:spacing w:after="0" w:line="252" w:lineRule="auto"/>
            </w:pPr>
            <w:r>
              <w:rPr>
                <w:rFonts w:ascii="Consolas" w:hAnsi="Consolas" w:cs="Consolas" w:eastAsia="Consolas"/>
                <w:sz w:val="15"/>
              </w:rPr>
              <w:t>logimat.storage.enableEquivalencePeriod</w:t>
            </w:r>
          </w:p>
        </w:tc>
        <w:tc>
          <w:tcPr>
            <w:tcW w:type="dxa" w:w="3175"/>
          </w:tcPr>
          <w:p>
            <w:pPr>
              <w:spacing w:after="0" w:line="252" w:lineRule="auto"/>
            </w:pPr>
            <w:r>
              <w:rPr>
                <w:sz w:val="17"/>
              </w:rPr>
              <w:t>FW028</w:t>
            </w:r>
          </w:p>
        </w:tc>
        <w:tc>
          <w:tcPr>
            <w:tcW w:type="dxa" w:w="3663"/>
          </w:tcPr>
          <w:p>
            <w:pPr>
              <w:spacing w:after="0" w:line="252" w:lineRule="auto"/>
            </w:pPr>
            <w:r>
              <w:rPr>
                <w:sz w:val="17"/>
              </w:rPr>
              <w:t>Filtert Boxen bei der Einlagerung nach Gleichwertigkeitsdauer</w:t>
            </w:r>
          </w:p>
        </w:tc>
      </w:tr>
    </w:tbl>
    <w:p>
      <w:pPr>
        <w:pStyle w:val="BeschriftungSSI"/>
      </w:pPr>
      <w:r>
        <w:t>Tab. 12: Zeitbezogener Zugriff und Gleichwertigkeit</w:t>
      </w:r>
    </w:p>
    <w:p>
      <w:r>
        <w:t xml:space="preserve">Die ERP-Schnittstelle beschreibt das entsprechende Artikelfeld </w:t>
      </w:r>
      <w:r>
        <w:rPr>
          <w:rFonts w:ascii="Consolas" w:hAnsi="Consolas" w:cs="Consolas" w:eastAsia="Consolas"/>
          <w:sz w:val="18"/>
        </w:rPr>
        <w:t>timeBasedAccMode</w:t>
      </w:r>
      <w:r>
        <w:t xml:space="preserve"> deutlicher: </w:t>
      </w:r>
      <w:r>
        <w:rPr>
          <w:rFonts w:ascii="Consolas" w:hAnsi="Consolas" w:cs="Consolas" w:eastAsia="Consolas"/>
          <w:sz w:val="18"/>
        </w:rPr>
        <w:t>REG_TIME</w:t>
      </w:r>
      <w:r>
        <w:t xml:space="preserve"> – die Erfassungszeit bestimmt, welche Ware im Warenausgang gewählt wird; </w:t>
      </w:r>
      <w:r>
        <w:rPr>
          <w:rFonts w:ascii="Consolas" w:hAnsi="Consolas" w:cs="Consolas" w:eastAsia="Consolas"/>
          <w:sz w:val="18"/>
        </w:rPr>
        <w:t>BBD</w:t>
      </w:r>
      <w:r>
        <w:t xml:space="preserve"> – das MHD bestimmt die Auswahl, MHD-Erfassung muss obligatorisch sein; </w:t>
      </w:r>
      <w:r>
        <w:rPr>
          <w:rFonts w:ascii="Consolas" w:hAnsi="Consolas" w:cs="Consolas" w:eastAsia="Consolas"/>
          <w:sz w:val="18"/>
        </w:rPr>
        <w:t>PROD_DATE</w:t>
      </w:r>
      <w:r>
        <w:t xml:space="preserve"> – das Produktionsdatum bestimmt die Auswahl, Erfassung muss obligatorisch sein. Die Gleichwertigkeit wird über </w:t>
      </w:r>
      <w:r>
        <w:rPr>
          <w:rFonts w:ascii="Consolas" w:hAnsi="Consolas" w:cs="Consolas" w:eastAsia="Consolas"/>
          <w:sz w:val="18"/>
        </w:rPr>
        <w:t>itemEquivPeriod</w:t>
      </w:r>
      <w:r>
        <w:t xml:space="preserve"> und </w:t>
      </w:r>
      <w:r>
        <w:rPr>
          <w:rFonts w:ascii="Consolas" w:hAnsi="Consolas" w:cs="Consolas" w:eastAsia="Consolas"/>
          <w:sz w:val="18"/>
        </w:rPr>
        <w:t>itemEquivPeriodUnit</w:t>
      </w:r>
      <w:r>
        <w:t xml:space="preserve"> (d, mo, yr) übertragen.</w:t>
      </w:r>
    </w:p>
    <w:p>
      <w:pPr>
        <w:pStyle w:val="Quelle"/>
      </w:pPr>
      <w:r>
        <w:rPr>
          <w:b/>
        </w:rPr>
        <w:t xml:space="preserve">Quelle: </w:t>
      </w:r>
      <w:r>
        <w:rPr>
          <w:sz w:val="17"/>
        </w:rPr>
        <w:t>Administratorhandbuch 2.7, Kap. 3.1.3.1 (S. 16), 3.6.1.5 (S. 103), 3.6.3.1 (S. 116–117); Schnittstellenhandbuch WLS–ERP 2.7, WLSITEM001 Felder 86–88 (S. 62); Telegrammbeispiel ITEM/1.xml (</w:t>
      </w:r>
      <w:r>
        <w:rPr>
          <w:rFonts w:ascii="Consolas" w:hAnsi="Consolas" w:cs="Consolas" w:eastAsia="Consolas"/>
          <w:sz w:val="15"/>
        </w:rPr>
        <w:t>itemEquivPeriod</w:t>
      </w:r>
      <w:r>
        <w:rPr>
          <w:sz w:val="17"/>
        </w:rPr>
        <w:t xml:space="preserve"> 10, </w:t>
      </w:r>
      <w:r>
        <w:rPr>
          <w:rFonts w:ascii="Consolas" w:hAnsi="Consolas" w:cs="Consolas" w:eastAsia="Consolas"/>
          <w:sz w:val="15"/>
        </w:rPr>
        <w:t>d</w:t>
      </w:r>
      <w:r>
        <w:rPr>
          <w:sz w:val="17"/>
        </w:rPr>
        <w:t xml:space="preserve">, </w:t>
      </w:r>
      <w:r>
        <w:rPr>
          <w:rFonts w:ascii="Consolas" w:hAnsi="Consolas" w:cs="Consolas" w:eastAsia="Consolas"/>
          <w:sz w:val="15"/>
        </w:rPr>
        <w:t>REG_TIME</w:t>
      </w:r>
      <w:r>
        <w:rPr>
          <w:sz w:val="17"/>
        </w:rPr>
        <w:t>)</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Beispiel (konstruiert, bitte prüfen)</w:t>
            </w:r>
          </w:p>
          <w:p>
            <w:pPr>
              <w:spacing w:after="40"/>
            </w:pPr>
            <w:r>
              <w:rPr>
                <w:sz w:val="19"/>
              </w:rPr>
              <w:t xml:space="preserve">Artikel mit </w:t>
            </w:r>
            <w:r>
              <w:rPr>
                <w:rFonts w:ascii="Consolas" w:hAnsi="Consolas" w:cs="Consolas" w:eastAsia="Consolas"/>
                <w:sz w:val="17"/>
              </w:rPr>
              <w:t>timeBasedAccMode</w:t>
            </w:r>
            <w:r>
              <w:rPr>
                <w:sz w:val="19"/>
              </w:rPr>
              <w:t xml:space="preserve"> = </w:t>
            </w:r>
            <w:r>
              <w:rPr>
                <w:rFonts w:ascii="Consolas" w:hAnsi="Consolas" w:cs="Consolas" w:eastAsia="Consolas"/>
                <w:sz w:val="17"/>
              </w:rPr>
              <w:t>REG_TIME</w:t>
            </w:r>
            <w:r>
              <w:rPr>
                <w:sz w:val="19"/>
              </w:rPr>
              <w:t xml:space="preserve"> und Gleichwertigkeitsdauer 10 Tage (wie im Telegrammbeispiel). Bestände, die am 01.03. und 08.03. erfasst wurden, gelten als gleichwertig. Ein Bestand vom 20.03. gilt nicht mehr als gleichwertig und wird bei FIFO erst nach den beiden älteren herangezogen.</w:t>
            </w:r>
          </w:p>
        </w:tc>
      </w:tr>
    </w:tbl>
    <w:p>
      <w:pPr>
        <w:spacing w:after="40"/>
      </w:pP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In den Unterlagen nicht beschrieben</w:t>
            </w:r>
          </w:p>
          <w:p>
            <w:pPr>
              <w:spacing w:after="40"/>
            </w:pPr>
            <w:r>
              <w:rPr>
                <w:sz w:val="19"/>
              </w:rPr>
              <w:t xml:space="preserve">Wie Zeitzugriffsmodus am Bedarfstyp (FIFO/LIFO nach Erfassungszeit), zeitbezogener Zugriffsmodus am Artikel (MHD/Produktionsdatum) und Gleichwertigkeitsdauer genau zusammenspielen, ist nicht beschrieben, z. B. ob ein Artikel mit Modus MHD unter FIFO nach MHD sortiert wird (FEFO). Die Registerkarte </w:t>
            </w:r>
            <w:r>
              <w:rPr>
                <w:b/>
                <w:sz w:val="19"/>
              </w:rPr>
              <w:t>Warenausgang</w:t>
            </w:r>
            <w:r>
              <w:rPr>
                <w:sz w:val="19"/>
              </w:rPr>
              <w:t xml:space="preserve"> im Dialog MD018 mit dem Feld </w:t>
            </w:r>
            <w:r>
              <w:rPr>
                <w:rFonts w:ascii="Consolas" w:hAnsi="Consolas" w:cs="Consolas" w:eastAsia="Consolas"/>
                <w:sz w:val="17"/>
              </w:rPr>
              <w:t>Gleichwertigkeitsdauerstrategie</w:t>
            </w:r>
            <w:r>
              <w:rPr>
                <w:sz w:val="19"/>
              </w:rPr>
              <w:t xml:space="preserve"> ist im Partnerkapitel 3.6.2 nicht beschrieben; Werte außer </w:t>
            </w:r>
            <w:r>
              <w:rPr>
                <w:b/>
                <w:sz w:val="19"/>
              </w:rPr>
              <w:t>Mild</w:t>
            </w:r>
            <w:r>
              <w:rPr>
                <w:sz w:val="19"/>
              </w:rPr>
              <w:t xml:space="preserve"> sind unbekannt.</w:t>
            </w:r>
          </w:p>
        </w:tc>
      </w:tr>
    </w:tbl>
    <w:p>
      <w:pPr>
        <w:spacing w:after="40"/>
      </w:pPr>
    </w:p>
    <w:p>
      <w:pPr>
        <w:pStyle w:val="Heading2"/>
      </w:pPr>
      <w:r>
        <w:t>6.4 MHD- und Produktionsdatum-Regeln: Bestandsauswahlmodus (FEFO-Baustein)</w:t>
      </w:r>
    </w:p>
    <w:p>
      <w:r>
        <w:t xml:space="preserve">Konfiguration: </w:t>
      </w:r>
      <w:r>
        <w:rPr>
          <w:b/>
        </w:rPr>
        <w:t>LM053 Systemparameter pflegen</w:t>
      </w:r>
      <w:r>
        <w:t xml:space="preserve"> › Registerkarte </w:t>
      </w:r>
      <w:r>
        <w:rPr>
          <w:b/>
        </w:rPr>
        <w:t>Bestandsauswahlmodus</w:t>
      </w:r>
      <w:r>
        <w:t xml:space="preserve"> (je Lagerstandort).</w:t>
      </w:r>
    </w:p>
    <w:p>
      <w:pPr>
        <w:tabs>
          <w:tab w:pos="425" w:val="left"/>
        </w:tabs>
        <w:spacing w:after="60"/>
        <w:ind w:left="425" w:hanging="425"/>
      </w:pPr>
      <w:r>
        <w:rPr>
          <w:b/>
        </w:rPr>
        <w:t>1.</w:t>
        <w:tab/>
      </w:r>
      <w:r>
        <w:rPr>
          <w:b/>
        </w:rPr>
        <w:t>Datensatz anlegen</w:t>
      </w:r>
      <w:r>
        <w:t>.</w:t>
      </w:r>
    </w:p>
    <w:p>
      <w:pPr>
        <w:tabs>
          <w:tab w:pos="425" w:val="left"/>
        </w:tabs>
        <w:spacing w:after="60"/>
        <w:ind w:left="425" w:hanging="425"/>
      </w:pPr>
      <w:r>
        <w:rPr>
          <w:b/>
        </w:rPr>
        <w:t>2.</w:t>
        <w:tab/>
      </w:r>
      <w:r>
        <w:rPr>
          <w:rFonts w:ascii="Consolas" w:hAnsi="Consolas" w:cs="Consolas" w:eastAsia="Consolas"/>
          <w:sz w:val="18"/>
        </w:rPr>
        <w:t>Prozess</w:t>
      </w:r>
      <w:r>
        <w:t xml:space="preserve"> wählen (Tabelle 13).</w:t>
      </w:r>
    </w:p>
    <w:p>
      <w:pPr>
        <w:tabs>
          <w:tab w:pos="425" w:val="left"/>
        </w:tabs>
        <w:spacing w:after="60"/>
        <w:ind w:left="425" w:hanging="425"/>
      </w:pPr>
      <w:r>
        <w:rPr>
          <w:b/>
        </w:rPr>
        <w:t>3.</w:t>
        <w:tab/>
      </w:r>
      <w:r>
        <w:rPr>
          <w:rFonts w:ascii="Consolas" w:hAnsi="Consolas" w:cs="Consolas" w:eastAsia="Consolas"/>
          <w:sz w:val="18"/>
        </w:rPr>
        <w:t>MHD-Regel</w:t>
      </w:r>
      <w:r>
        <w:t xml:space="preserve"> und </w:t>
      </w:r>
      <w:r>
        <w:rPr>
          <w:rFonts w:ascii="Consolas" w:hAnsi="Consolas" w:cs="Consolas" w:eastAsia="Consolas"/>
          <w:sz w:val="18"/>
        </w:rPr>
        <w:t>Produktionsdatum</w:t>
      </w:r>
      <w:r>
        <w:t>-Regel wählen (Tabelle 14).</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313"/>
        <w:gridCol w:w="6212"/>
      </w:tblGrid>
      <w:tr>
        <w:trPr>
          <w:tblHeader w:val="true"/>
        </w:trPr>
        <w:tc>
          <w:tcPr>
            <w:tcW w:type="dxa" w:w="3313"/>
            <w:shd w:val="clear" w:color="auto" w:fill="FEEE19"/>
          </w:tcPr>
          <w:p>
            <w:pPr>
              <w:spacing w:after="0"/>
            </w:pPr>
            <w:r>
              <w:rPr>
                <w:b/>
                <w:sz w:val="17"/>
              </w:rPr>
              <w:t>Prozess</w:t>
            </w:r>
          </w:p>
        </w:tc>
        <w:tc>
          <w:tcPr>
            <w:tcW w:type="dxa" w:w="6212"/>
            <w:shd w:val="clear" w:color="auto" w:fill="FEEE19"/>
          </w:tcPr>
          <w:p>
            <w:pPr>
              <w:spacing w:after="0"/>
            </w:pPr>
            <w:r>
              <w:rPr>
                <w:b/>
                <w:sz w:val="17"/>
              </w:rPr>
              <w:t>Geltungsbereich</w:t>
            </w:r>
          </w:p>
        </w:tc>
      </w:tr>
      <w:tr>
        <w:tc>
          <w:tcPr>
            <w:tcW w:type="dxa" w:w="3313"/>
          </w:tcPr>
          <w:p>
            <w:pPr>
              <w:spacing w:after="0" w:line="252" w:lineRule="auto"/>
            </w:pPr>
            <w:r>
              <w:rPr>
                <w:sz w:val="17"/>
              </w:rPr>
              <w:t>Kommissionierreservierung</w:t>
            </w:r>
          </w:p>
        </w:tc>
        <w:tc>
          <w:tcPr>
            <w:tcW w:type="dxa" w:w="6212"/>
          </w:tcPr>
          <w:p>
            <w:pPr>
              <w:spacing w:after="0" w:line="252" w:lineRule="auto"/>
            </w:pPr>
            <w:r>
              <w:rPr>
                <w:sz w:val="17"/>
              </w:rPr>
              <w:t>Reservierung für Kommissionierbedarfe; z. B. bei vorgegebenem MHD im Bedarf</w:t>
            </w:r>
          </w:p>
        </w:tc>
      </w:tr>
      <w:tr>
        <w:tc>
          <w:tcPr>
            <w:tcW w:type="dxa" w:w="3313"/>
          </w:tcPr>
          <w:p>
            <w:pPr>
              <w:spacing w:after="0" w:line="252" w:lineRule="auto"/>
            </w:pPr>
            <w:r>
              <w:rPr>
                <w:sz w:val="17"/>
              </w:rPr>
              <w:t>Lagerreservierung</w:t>
            </w:r>
          </w:p>
        </w:tc>
        <w:tc>
          <w:tcPr>
            <w:tcW w:type="dxa" w:w="6212"/>
          </w:tcPr>
          <w:p>
            <w:pPr>
              <w:spacing w:after="0" w:line="252" w:lineRule="auto"/>
            </w:pPr>
            <w:r>
              <w:rPr>
                <w:sz w:val="17"/>
              </w:rPr>
              <w:t>Einlagerreservierung; MHD/Produktionsdatum nicht nötig, da Homogenität greift</w:t>
            </w:r>
          </w:p>
        </w:tc>
      </w:tr>
      <w:tr>
        <w:tc>
          <w:tcPr>
            <w:tcW w:type="dxa" w:w="3313"/>
          </w:tcPr>
          <w:p>
            <w:pPr>
              <w:spacing w:after="0" w:line="252" w:lineRule="auto"/>
            </w:pPr>
            <w:r>
              <w:rPr>
                <w:sz w:val="17"/>
              </w:rPr>
              <w:t>Einlagervorgang in LM040</w:t>
            </w:r>
          </w:p>
        </w:tc>
        <w:tc>
          <w:tcPr>
            <w:tcW w:type="dxa" w:w="6212"/>
          </w:tcPr>
          <w:p>
            <w:pPr>
              <w:spacing w:after="0" w:line="252" w:lineRule="auto"/>
            </w:pPr>
            <w:r>
              <w:rPr>
                <w:sz w:val="17"/>
              </w:rPr>
              <w:t>Manuelle Einlagerung im Touch-Dialog LM040</w:t>
            </w:r>
          </w:p>
        </w:tc>
      </w:tr>
      <w:tr>
        <w:tc>
          <w:tcPr>
            <w:tcW w:type="dxa" w:w="3313"/>
          </w:tcPr>
          <w:p>
            <w:pPr>
              <w:spacing w:after="0" w:line="252" w:lineRule="auto"/>
            </w:pPr>
            <w:r>
              <w:rPr>
                <w:sz w:val="17"/>
              </w:rPr>
              <w:t>Einlagervorgang in LM200</w:t>
            </w:r>
          </w:p>
        </w:tc>
        <w:tc>
          <w:tcPr>
            <w:tcW w:type="dxa" w:w="6212"/>
          </w:tcPr>
          <w:p>
            <w:pPr>
              <w:spacing w:after="0" w:line="252" w:lineRule="auto"/>
            </w:pPr>
            <w:r>
              <w:rPr>
                <w:sz w:val="17"/>
              </w:rPr>
              <w:t xml:space="preserve">Einlagerung aus </w:t>
            </w:r>
            <w:r>
              <w:rPr>
                <w:b/>
                <w:sz w:val="17"/>
              </w:rPr>
              <w:t>LM200 Übersicht Lagerbelegung</w:t>
            </w:r>
          </w:p>
        </w:tc>
      </w:tr>
      <w:tr>
        <w:tc>
          <w:tcPr>
            <w:tcW w:type="dxa" w:w="3313"/>
          </w:tcPr>
          <w:p>
            <w:pPr>
              <w:spacing w:after="0" w:line="252" w:lineRule="auto"/>
            </w:pPr>
            <w:r>
              <w:rPr>
                <w:sz w:val="17"/>
              </w:rPr>
              <w:t>Kommissioniertätigkeit in LM040</w:t>
            </w:r>
          </w:p>
        </w:tc>
        <w:tc>
          <w:tcPr>
            <w:tcW w:type="dxa" w:w="6212"/>
          </w:tcPr>
          <w:p>
            <w:pPr>
              <w:spacing w:after="0" w:line="252" w:lineRule="auto"/>
            </w:pPr>
            <w:r>
              <w:rPr>
                <w:sz w:val="17"/>
              </w:rPr>
              <w:t>Manuelle Kommissionierung in LM040</w:t>
            </w:r>
          </w:p>
        </w:tc>
      </w:tr>
      <w:tr>
        <w:tc>
          <w:tcPr>
            <w:tcW w:type="dxa" w:w="3313"/>
          </w:tcPr>
          <w:p>
            <w:pPr>
              <w:spacing w:after="0" w:line="252" w:lineRule="auto"/>
            </w:pPr>
            <w:r>
              <w:rPr>
                <w:sz w:val="17"/>
              </w:rPr>
              <w:t>Kein Vorgang in LM040 ausgewählt</w:t>
            </w:r>
          </w:p>
        </w:tc>
        <w:tc>
          <w:tcPr>
            <w:tcW w:type="dxa" w:w="6212"/>
          </w:tcPr>
          <w:p>
            <w:pPr>
              <w:spacing w:after="0" w:line="252" w:lineRule="auto"/>
            </w:pPr>
            <w:r>
              <w:rPr>
                <w:sz w:val="17"/>
              </w:rPr>
              <w:t>LM040 ohne gewählten Vorgang</w:t>
            </w:r>
          </w:p>
        </w:tc>
      </w:tr>
    </w:tbl>
    <w:p>
      <w:pPr>
        <w:pStyle w:val="BeschriftungSSI"/>
      </w:pPr>
      <w:r>
        <w:t>Tab. 13: Prozesse im Bestandsauswahlmodus</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773"/>
        <w:gridCol w:w="6752"/>
      </w:tblGrid>
      <w:tr>
        <w:trPr>
          <w:tblHeader w:val="true"/>
        </w:trPr>
        <w:tc>
          <w:tcPr>
            <w:tcW w:type="dxa" w:w="2773"/>
            <w:shd w:val="clear" w:color="auto" w:fill="FEEE19"/>
          </w:tcPr>
          <w:p>
            <w:pPr>
              <w:spacing w:after="0"/>
            </w:pPr>
            <w:r>
              <w:rPr>
                <w:b/>
                <w:sz w:val="17"/>
              </w:rPr>
              <w:t>Regel</w:t>
            </w:r>
          </w:p>
        </w:tc>
        <w:tc>
          <w:tcPr>
            <w:tcW w:type="dxa" w:w="6751"/>
            <w:shd w:val="clear" w:color="auto" w:fill="FEEE19"/>
          </w:tcPr>
          <w:p>
            <w:pPr>
              <w:spacing w:after="0"/>
            </w:pPr>
            <w:r>
              <w:rPr>
                <w:b/>
                <w:sz w:val="17"/>
              </w:rPr>
              <w:t>Auswahl bei MHD-Regel</w:t>
            </w:r>
          </w:p>
        </w:tc>
      </w:tr>
      <w:tr>
        <w:tc>
          <w:tcPr>
            <w:tcW w:type="dxa" w:w="2773"/>
          </w:tcPr>
          <w:p>
            <w:pPr>
              <w:spacing w:after="0" w:line="252" w:lineRule="auto"/>
            </w:pPr>
            <w:r>
              <w:rPr>
                <w:sz w:val="17"/>
              </w:rPr>
              <w:t>Kleiner als oder gleich</w:t>
            </w:r>
          </w:p>
        </w:tc>
        <w:tc>
          <w:tcPr>
            <w:tcW w:type="dxa" w:w="6751"/>
          </w:tcPr>
          <w:p>
            <w:pPr>
              <w:spacing w:after="0" w:line="252" w:lineRule="auto"/>
            </w:pPr>
            <w:r>
              <w:rPr>
                <w:sz w:val="17"/>
              </w:rPr>
              <w:t xml:space="preserve">MHD des Bestands gleich dem vorgegebenen oder </w:t>
            </w:r>
            <w:r>
              <w:rPr>
                <w:b/>
                <w:sz w:val="17"/>
              </w:rPr>
              <w:t>früher</w:t>
            </w:r>
          </w:p>
        </w:tc>
      </w:tr>
      <w:tr>
        <w:tc>
          <w:tcPr>
            <w:tcW w:type="dxa" w:w="2773"/>
          </w:tcPr>
          <w:p>
            <w:pPr>
              <w:spacing w:after="0" w:line="252" w:lineRule="auto"/>
            </w:pPr>
            <w:r>
              <w:rPr>
                <w:sz w:val="17"/>
              </w:rPr>
              <w:t>Größer als oder gleich</w:t>
            </w:r>
          </w:p>
        </w:tc>
        <w:tc>
          <w:tcPr>
            <w:tcW w:type="dxa" w:w="6751"/>
          </w:tcPr>
          <w:p>
            <w:pPr>
              <w:spacing w:after="0" w:line="252" w:lineRule="auto"/>
            </w:pPr>
            <w:r>
              <w:rPr>
                <w:sz w:val="17"/>
              </w:rPr>
              <w:t xml:space="preserve">MHD des Bestands gleich dem vorgegebenen oder </w:t>
            </w:r>
            <w:r>
              <w:rPr>
                <w:b/>
                <w:sz w:val="17"/>
              </w:rPr>
              <w:t>später</w:t>
            </w:r>
          </w:p>
        </w:tc>
      </w:tr>
      <w:tr>
        <w:tc>
          <w:tcPr>
            <w:tcW w:type="dxa" w:w="2773"/>
          </w:tcPr>
          <w:p>
            <w:pPr>
              <w:spacing w:after="0" w:line="252" w:lineRule="auto"/>
            </w:pPr>
            <w:r>
              <w:rPr>
                <w:sz w:val="17"/>
              </w:rPr>
              <w:t>Gleich</w:t>
            </w:r>
          </w:p>
        </w:tc>
        <w:tc>
          <w:tcPr>
            <w:tcW w:type="dxa" w:w="6751"/>
          </w:tcPr>
          <w:p>
            <w:pPr>
              <w:spacing w:after="0" w:line="252" w:lineRule="auto"/>
            </w:pPr>
            <w:r>
              <w:rPr>
                <w:sz w:val="17"/>
              </w:rPr>
              <w:t>MHD exakt gleich</w:t>
            </w:r>
          </w:p>
        </w:tc>
      </w:tr>
      <w:tr>
        <w:tc>
          <w:tcPr>
            <w:tcW w:type="dxa" w:w="2773"/>
          </w:tcPr>
          <w:p>
            <w:pPr>
              <w:spacing w:after="0" w:line="252" w:lineRule="auto"/>
            </w:pPr>
            <w:r>
              <w:rPr>
                <w:sz w:val="17"/>
              </w:rPr>
              <w:t>Irrelevant</w:t>
            </w:r>
          </w:p>
        </w:tc>
        <w:tc>
          <w:tcPr>
            <w:tcW w:type="dxa" w:w="6751"/>
          </w:tcPr>
          <w:p>
            <w:pPr>
              <w:spacing w:after="0" w:line="252" w:lineRule="auto"/>
            </w:pPr>
            <w:r>
              <w:rPr>
                <w:sz w:val="17"/>
              </w:rPr>
              <w:t>MHD spielt keine Rolle</w:t>
            </w:r>
          </w:p>
        </w:tc>
      </w:tr>
    </w:tbl>
    <w:p>
      <w:pPr>
        <w:pStyle w:val="BeschriftungSSI"/>
      </w:pPr>
      <w:r>
        <w:t>Tab. 14: Regeln im Bestandsauswahlmodus (für Produktionsdatum analog)</w:t>
      </w:r>
    </w:p>
    <w:p>
      <w:r>
        <w:t xml:space="preserve">Das vorgegebene Datum kommt aus der Bedarfszeile: in der ERP-Schnittstelle </w:t>
      </w:r>
      <w:r>
        <w:rPr>
          <w:rFonts w:ascii="Consolas" w:hAnsi="Consolas" w:cs="Consolas" w:eastAsia="Consolas"/>
          <w:sz w:val="18"/>
        </w:rPr>
        <w:t>bbDate</w:t>
      </w:r>
      <w:r>
        <w:t xml:space="preserve">, </w:t>
      </w:r>
      <w:r>
        <w:rPr>
          <w:rFonts w:ascii="Consolas" w:hAnsi="Consolas" w:cs="Consolas" w:eastAsia="Consolas"/>
          <w:sz w:val="18"/>
        </w:rPr>
        <w:t>prodDate</w:t>
      </w:r>
      <w:r>
        <w:t xml:space="preserve"> und </w:t>
      </w:r>
      <w:r>
        <w:rPr>
          <w:rFonts w:ascii="Consolas" w:hAnsi="Consolas" w:cs="Consolas" w:eastAsia="Consolas"/>
          <w:sz w:val="18"/>
        </w:rPr>
        <w:t>batch</w:t>
      </w:r>
      <w:r>
        <w:t xml:space="preserve"> in </w:t>
      </w:r>
      <w:r>
        <w:rPr>
          <w:rFonts w:ascii="Consolas" w:hAnsi="Consolas" w:cs="Consolas" w:eastAsia="Consolas"/>
          <w:sz w:val="18"/>
        </w:rPr>
        <w:t>WLSPDL002</w:t>
      </w:r>
      <w:r>
        <w:t xml:space="preserve">, am Desktop im Bereich </w:t>
      </w:r>
      <w:r>
        <w:rPr>
          <w:b/>
        </w:rPr>
        <w:t>Bestandseinschränkungen</w:t>
      </w:r>
      <w:r>
        <w:t xml:space="preserve"> von </w:t>
      </w:r>
      <w:r>
        <w:rPr>
          <w:b/>
        </w:rPr>
        <w:t>LM073 Kommissionierbedarfszeile bearbeiten</w:t>
      </w:r>
      <w:r>
        <w:t xml:space="preserve">. Damit das MHD überhaupt verfügbar ist, muss es im Wareneingang erfasst werden (LM053 bzw. MD002: Bestandsidentifizierungsattribute </w:t>
      </w:r>
      <w:r>
        <w:rPr>
          <w:b/>
        </w:rPr>
        <w:t>Obligatorisch</w:t>
      </w:r>
      <w:r>
        <w:t xml:space="preserve">; Schnittstelle </w:t>
      </w:r>
      <w:r>
        <w:rPr>
          <w:rFonts w:ascii="Consolas" w:hAnsi="Consolas" w:cs="Consolas" w:eastAsia="Consolas"/>
          <w:sz w:val="18"/>
        </w:rPr>
        <w:t>igBbDateRegistration</w:t>
      </w:r>
      <w:r>
        <w:t>).</w:t>
      </w:r>
    </w:p>
    <w:p>
      <w:pPr>
        <w:pStyle w:val="Quelle"/>
      </w:pPr>
      <w:r>
        <w:rPr>
          <w:b/>
        </w:rPr>
        <w:t xml:space="preserve">Quelle: </w:t>
      </w:r>
      <w:r>
        <w:rPr>
          <w:sz w:val="17"/>
        </w:rPr>
        <w:t>Administratorhandbuch 2.7, Kap. 3.1.3.1–3.1.3.2 (S. 15–17), 3.6.3.3 (S. 122); Benutzerhandbuch 2.7, Kap. 6.2.2.1.2 (S. 99–101); Schnittstellenhandbuch WLS–ERP 2.7, Kap. 7.1.2.2 WLSPDL002</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Beispiel (konstruiert, bitte prüfen)</w:t>
            </w:r>
          </w:p>
          <w:p>
            <w:pPr>
              <w:spacing w:after="40"/>
            </w:pPr>
            <w:r>
              <w:rPr>
                <w:sz w:val="19"/>
              </w:rPr>
              <w:t xml:space="preserve">Ein Kunde akzeptiert nur Ware mit MHD ab 01.01.2025. Der ERP sendet die Bedarfszeile mit </w:t>
            </w:r>
            <w:r>
              <w:rPr>
                <w:rFonts w:ascii="Consolas" w:hAnsi="Consolas" w:cs="Consolas" w:eastAsia="Consolas"/>
                <w:sz w:val="17"/>
              </w:rPr>
              <w:t>bbDate</w:t>
            </w:r>
            <w:r>
              <w:rPr>
                <w:sz w:val="19"/>
              </w:rPr>
              <w:t xml:space="preserve"> = </w:t>
            </w:r>
            <w:r>
              <w:rPr>
                <w:rFonts w:ascii="Consolas" w:hAnsi="Consolas" w:cs="Consolas" w:eastAsia="Consolas"/>
                <w:sz w:val="17"/>
              </w:rPr>
              <w:t>20250101</w:t>
            </w:r>
            <w:r>
              <w:rPr>
                <w:sz w:val="19"/>
              </w:rPr>
              <w:t xml:space="preserve"> (wie im Telegrammbeispiel </w:t>
            </w:r>
            <w:r>
              <w:rPr>
                <w:rFonts w:ascii="Consolas" w:hAnsi="Consolas" w:cs="Consolas" w:eastAsia="Consolas"/>
                <w:sz w:val="17"/>
              </w:rPr>
              <w:t>pd4_part.xml</w:t>
            </w:r>
            <w:r>
              <w:rPr>
                <w:sz w:val="19"/>
              </w:rPr>
              <w:t xml:space="preserve">). Im Bestandsauswahlmodus ist für </w:t>
            </w:r>
            <w:r>
              <w:rPr>
                <w:b/>
                <w:sz w:val="19"/>
              </w:rPr>
              <w:t>Kommissionierreservierung</w:t>
            </w:r>
            <w:r>
              <w:rPr>
                <w:sz w:val="19"/>
              </w:rPr>
              <w:t xml:space="preserve"> die MHD-Regel </w:t>
            </w:r>
            <w:r>
              <w:rPr>
                <w:b/>
                <w:sz w:val="19"/>
              </w:rPr>
              <w:t>Größer als oder gleich</w:t>
            </w:r>
            <w:r>
              <w:rPr>
                <w:sz w:val="19"/>
              </w:rPr>
              <w:t xml:space="preserve"> gepflegt. WAMAS reserviert nur Bestand mit MHD am oder nach dem 01.01.2025. Mit </w:t>
            </w:r>
            <w:r>
              <w:rPr>
                <w:b/>
                <w:sz w:val="19"/>
              </w:rPr>
              <w:t>Kleiner als oder gleich</w:t>
            </w:r>
            <w:r>
              <w:rPr>
                <w:sz w:val="19"/>
              </w:rPr>
              <w:t xml:space="preserve"> würde dagegen nur älterer Bestand gewählt.</w:t>
            </w:r>
          </w:p>
        </w:tc>
      </w:tr>
    </w:tbl>
    <w:p>
      <w:pPr>
        <w:spacing w:after="40"/>
      </w:pP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Dokumentationsfehler</w:t>
            </w:r>
          </w:p>
          <w:p>
            <w:pPr>
              <w:spacing w:after="40"/>
            </w:pPr>
            <w:r>
              <w:rPr>
                <w:sz w:val="19"/>
              </w:rPr>
              <w:t xml:space="preserve">Im Text zur Produktionsdatum-Regel steht in 2.7 und 2.8 jeweils „Das </w:t>
            </w:r>
            <w:r>
              <w:rPr>
                <w:b/>
                <w:sz w:val="19"/>
              </w:rPr>
              <w:t>MHD</w:t>
            </w:r>
            <w:r>
              <w:rPr>
                <w:sz w:val="19"/>
              </w:rPr>
              <w:t xml:space="preserve"> des ausgewählten Bestands sollte … dem festgelegten Produktionsdatum …“; gemeint ist das Produktionsdatum. Der Verweis „Dialog </w:t>
            </w:r>
            <w:r>
              <w:rPr>
                <w:b/>
                <w:sz w:val="19"/>
              </w:rPr>
              <w:t>LM040</w:t>
            </w:r>
            <w:r>
              <w:rPr>
                <w:sz w:val="19"/>
              </w:rPr>
              <w:t xml:space="preserve"> Bestandshomogenitätstypen pflegen“ bezeichnet tatsächlich </w:t>
            </w:r>
            <w:r>
              <w:rPr>
                <w:b/>
                <w:sz w:val="19"/>
              </w:rPr>
              <w:t>SM041</w:t>
            </w:r>
            <w:r>
              <w:rPr>
                <w:sz w:val="19"/>
              </w:rPr>
              <w:t>.</w:t>
            </w:r>
          </w:p>
        </w:tc>
      </w:tr>
    </w:tbl>
    <w:p>
      <w:pPr>
        <w:spacing w:after="40"/>
      </w:pPr>
    </w:p>
    <w:p>
      <w:pPr>
        <w:pStyle w:val="Heading2"/>
      </w:pPr>
      <w:r>
        <w:t>6.5 ABIA-Zugriffsmodus: mild oder streng</w:t>
      </w:r>
    </w:p>
    <w:p>
      <w:r>
        <w:t xml:space="preserve">Konfiguration: </w:t>
      </w:r>
      <w:r>
        <w:rPr>
          <w:b/>
        </w:rPr>
        <w:t>MD017</w:t>
      </w:r>
      <w:r>
        <w:t xml:space="preserve"> › Registerkarte </w:t>
      </w:r>
      <w:r>
        <w:rPr>
          <w:b/>
        </w:rPr>
        <w:t>Anpassbare BIA</w:t>
      </w:r>
      <w:r>
        <w:t xml:space="preserve"> › Feld </w:t>
      </w:r>
      <w:r>
        <w:rPr>
          <w:rFonts w:ascii="Consolas" w:hAnsi="Consolas" w:cs="Consolas" w:eastAsia="Consolas"/>
          <w:sz w:val="18"/>
        </w:rPr>
        <w:t>Zugriffsmodus</w:t>
      </w:r>
      <w:r>
        <w:t xml:space="preserve"> je ABIA (bis zu 20 ABIA je Klient).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442"/>
        <w:gridCol w:w="3297"/>
        <w:gridCol w:w="3785"/>
      </w:tblGrid>
      <w:tr>
        <w:trPr>
          <w:tblHeader w:val="true"/>
        </w:trPr>
        <w:tc>
          <w:tcPr>
            <w:tcW w:type="dxa" w:w="2442"/>
            <w:shd w:val="clear" w:color="auto" w:fill="FEEE19"/>
          </w:tcPr>
          <w:p>
            <w:pPr>
              <w:spacing w:after="0"/>
            </w:pPr>
            <w:r>
              <w:rPr>
                <w:b/>
                <w:sz w:val="17"/>
              </w:rPr>
              <w:t>Zugriffsmodus (ABIA)</w:t>
            </w:r>
          </w:p>
        </w:tc>
        <w:tc>
          <w:tcPr>
            <w:tcW w:type="dxa" w:w="3297"/>
            <w:shd w:val="clear" w:color="auto" w:fill="FEEE19"/>
          </w:tcPr>
          <w:p>
            <w:pPr>
              <w:spacing w:after="0"/>
            </w:pPr>
            <w:r>
              <w:rPr>
                <w:b/>
                <w:sz w:val="17"/>
              </w:rPr>
              <w:t>Bedarf **mit** ABIA-Wert</w:t>
            </w:r>
          </w:p>
        </w:tc>
        <w:tc>
          <w:tcPr>
            <w:tcW w:type="dxa" w:w="3785"/>
            <w:shd w:val="clear" w:color="auto" w:fill="FEEE19"/>
          </w:tcPr>
          <w:p>
            <w:pPr>
              <w:spacing w:after="0"/>
            </w:pPr>
            <w:r>
              <w:rPr>
                <w:b/>
                <w:sz w:val="17"/>
              </w:rPr>
              <w:t>Bedarf **ohne** ABIA-Wert</w:t>
            </w:r>
          </w:p>
        </w:tc>
      </w:tr>
      <w:tr>
        <w:tc>
          <w:tcPr>
            <w:tcW w:type="dxa" w:w="2442"/>
          </w:tcPr>
          <w:p>
            <w:pPr>
              <w:spacing w:after="0" w:line="252" w:lineRule="auto"/>
            </w:pPr>
            <w:r>
              <w:rPr>
                <w:sz w:val="17"/>
              </w:rPr>
              <w:t>Mild</w:t>
            </w:r>
          </w:p>
        </w:tc>
        <w:tc>
          <w:tcPr>
            <w:tcW w:type="dxa" w:w="3297"/>
          </w:tcPr>
          <w:p>
            <w:pPr>
              <w:spacing w:after="0" w:line="252" w:lineRule="auto"/>
            </w:pPr>
            <w:r>
              <w:rPr>
                <w:sz w:val="17"/>
              </w:rPr>
              <w:t>Nur Bestand mit diesem ABIA</w:t>
            </w:r>
          </w:p>
        </w:tc>
        <w:tc>
          <w:tcPr>
            <w:tcW w:type="dxa" w:w="3785"/>
          </w:tcPr>
          <w:p>
            <w:pPr>
              <w:spacing w:after="0" w:line="252" w:lineRule="auto"/>
            </w:pPr>
            <w:r>
              <w:rPr>
                <w:sz w:val="17"/>
              </w:rPr>
              <w:t>Beliebiger Bestand</w:t>
            </w:r>
          </w:p>
        </w:tc>
      </w:tr>
      <w:tr>
        <w:tc>
          <w:tcPr>
            <w:tcW w:type="dxa" w:w="2442"/>
          </w:tcPr>
          <w:p>
            <w:pPr>
              <w:spacing w:after="0" w:line="252" w:lineRule="auto"/>
            </w:pPr>
            <w:r>
              <w:rPr>
                <w:sz w:val="17"/>
              </w:rPr>
              <w:t>Streng</w:t>
            </w:r>
          </w:p>
        </w:tc>
        <w:tc>
          <w:tcPr>
            <w:tcW w:type="dxa" w:w="3297"/>
          </w:tcPr>
          <w:p>
            <w:pPr>
              <w:spacing w:after="0" w:line="252" w:lineRule="auto"/>
            </w:pPr>
            <w:r>
              <w:rPr>
                <w:sz w:val="17"/>
              </w:rPr>
              <w:t>Nur Bestand mit diesem ABIA</w:t>
            </w:r>
          </w:p>
        </w:tc>
        <w:tc>
          <w:tcPr>
            <w:tcW w:type="dxa" w:w="3785"/>
          </w:tcPr>
          <w:p>
            <w:pPr>
              <w:spacing w:after="0" w:line="252" w:lineRule="auto"/>
            </w:pPr>
            <w:r>
              <w:rPr>
                <w:sz w:val="17"/>
              </w:rPr>
              <w:t xml:space="preserve">Nur Bestand </w:t>
            </w:r>
            <w:r>
              <w:rPr>
                <w:b/>
                <w:sz w:val="17"/>
              </w:rPr>
              <w:t>ohne jedes</w:t>
            </w:r>
            <w:r>
              <w:rPr>
                <w:sz w:val="17"/>
              </w:rPr>
              <w:t xml:space="preserve"> ABIA</w:t>
            </w:r>
          </w:p>
        </w:tc>
      </w:tr>
    </w:tbl>
    <w:p>
      <w:pPr>
        <w:pStyle w:val="BeschriftungSSI"/>
      </w:pPr>
      <w:r>
        <w:t>Tab. 15: ABIA-Zugriffsmodus</w:t>
      </w:r>
    </w:p>
    <w:p>
      <w:r>
        <w:t xml:space="preserve">Die Checkbox </w:t>
      </w:r>
      <w:r>
        <w:rPr>
          <w:rFonts w:ascii="Consolas" w:hAnsi="Consolas" w:cs="Consolas" w:eastAsia="Consolas"/>
          <w:sz w:val="18"/>
        </w:rPr>
        <w:t>Beauftragte Daten initialisieren (WA)</w:t>
      </w:r>
      <w:r>
        <w:t xml:space="preserve"> lässt WAMAS den bestellten ABIA-Wert im WA-Prozess vorbelegen; das erleichtert die Bestätigung, z. B. wenn der Wert auf der Ware nicht lesbar ist.</w:t>
      </w:r>
    </w:p>
    <w:p>
      <w:pPr>
        <w:pStyle w:val="Quelle"/>
      </w:pPr>
      <w:r>
        <w:rPr>
          <w:b/>
        </w:rPr>
        <w:t xml:space="preserve">Quelle: </w:t>
      </w:r>
      <w:r>
        <w:rPr>
          <w:sz w:val="17"/>
        </w:rPr>
        <w:t>Administratorhandbuch 2.7, Kap. 3.6.1.7 (S. 105–106); Consultant Training Part 1, Folie „Client Configuration (1)“</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Beispiel (konstruiert, bitte prüfen)</w:t>
            </w:r>
          </w:p>
          <w:p>
            <w:pPr>
              <w:spacing w:after="40"/>
            </w:pPr>
            <w:r>
              <w:rPr>
                <w:sz w:val="19"/>
              </w:rPr>
              <w:t>ABIA 1 = „Farbe“. Auftrag A bestellt „rot“, Auftrag B ohne Farbe. Mild: A bekommt nur rot, B jede Farbe. Streng: A bekommt nur rot, B nur Bestand ohne Farbangabe.</w:t>
            </w:r>
          </w:p>
        </w:tc>
      </w:tr>
    </w:tbl>
    <w:p>
      <w:pPr>
        <w:spacing w:after="40"/>
      </w:pPr>
    </w:p>
    <w:p>
      <w:pPr>
        <w:pStyle w:val="Heading2"/>
      </w:pPr>
      <w:r>
        <w:t>6.6 Weitere Kommissionier-Einstellungen am Bedarfstyp</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4762"/>
        <w:gridCol w:w="4762"/>
      </w:tblGrid>
      <w:tr>
        <w:trPr>
          <w:tblHeader w:val="true"/>
        </w:trPr>
        <w:tc>
          <w:tcPr>
            <w:tcW w:type="dxa" w:w="4762"/>
            <w:shd w:val="clear" w:color="auto" w:fill="FEEE19"/>
          </w:tcPr>
          <w:p>
            <w:pPr>
              <w:spacing w:after="0"/>
            </w:pPr>
            <w:r>
              <w:rPr>
                <w:b/>
                <w:sz w:val="17"/>
              </w:rPr>
              <w:t>Einstellung</w:t>
            </w:r>
          </w:p>
        </w:tc>
        <w:tc>
          <w:tcPr>
            <w:tcW w:type="dxa" w:w="4762"/>
            <w:shd w:val="clear" w:color="auto" w:fill="FEEE19"/>
          </w:tcPr>
          <w:p>
            <w:pPr>
              <w:spacing w:after="0"/>
            </w:pPr>
            <w:r>
              <w:rPr>
                <w:b/>
                <w:sz w:val="17"/>
              </w:rPr>
              <w:t>Wirkung</w:t>
            </w:r>
          </w:p>
        </w:tc>
      </w:tr>
      <w:tr>
        <w:tc>
          <w:tcPr>
            <w:tcW w:type="dxa" w:w="4762"/>
          </w:tcPr>
          <w:p>
            <w:pPr>
              <w:spacing w:after="0" w:line="252" w:lineRule="auto"/>
            </w:pPr>
            <w:r>
              <w:rPr>
                <w:rFonts w:ascii="Consolas" w:hAnsi="Consolas" w:cs="Consolas" w:eastAsia="Consolas"/>
                <w:sz w:val="15"/>
              </w:rPr>
              <w:t>Leere Box nach Kommissionierung entfernen</w:t>
            </w:r>
          </w:p>
        </w:tc>
        <w:tc>
          <w:tcPr>
            <w:tcW w:type="dxa" w:w="4762"/>
          </w:tcPr>
          <w:p>
            <w:pPr>
              <w:spacing w:after="0" w:line="252" w:lineRule="auto"/>
            </w:pPr>
            <w:r>
              <w:rPr>
                <w:sz w:val="17"/>
              </w:rPr>
              <w:t>Geleerte Boxen werden aus dem SSI LOGIMAT entfernt</w:t>
            </w:r>
          </w:p>
        </w:tc>
      </w:tr>
      <w:tr>
        <w:tc>
          <w:tcPr>
            <w:tcW w:type="dxa" w:w="4762"/>
          </w:tcPr>
          <w:p>
            <w:pPr>
              <w:spacing w:after="0" w:line="252" w:lineRule="auto"/>
            </w:pPr>
            <w:r>
              <w:rPr>
                <w:rFonts w:ascii="Consolas" w:hAnsi="Consolas" w:cs="Consolas" w:eastAsia="Consolas"/>
                <w:sz w:val="15"/>
              </w:rPr>
              <w:t>Überlieferung für kommissionierte Menge erlauben</w:t>
            </w:r>
          </w:p>
        </w:tc>
        <w:tc>
          <w:tcPr>
            <w:tcW w:type="dxa" w:w="4762"/>
          </w:tcPr>
          <w:p>
            <w:pPr>
              <w:spacing w:after="0" w:line="252" w:lineRule="auto"/>
            </w:pPr>
            <w:r>
              <w:rPr>
                <w:sz w:val="17"/>
              </w:rPr>
              <w:t>Mehr als angefordert darf kommissioniert werden, begrenzt durch verfügbaren Platz</w:t>
            </w:r>
          </w:p>
        </w:tc>
      </w:tr>
      <w:tr>
        <w:tc>
          <w:tcPr>
            <w:tcW w:type="dxa" w:w="4762"/>
          </w:tcPr>
          <w:p>
            <w:pPr>
              <w:spacing w:after="0" w:line="252" w:lineRule="auto"/>
            </w:pPr>
            <w:r>
              <w:rPr>
                <w:rFonts w:ascii="Consolas" w:hAnsi="Consolas" w:cs="Consolas" w:eastAsia="Consolas"/>
                <w:sz w:val="15"/>
              </w:rPr>
              <w:t>Timeout … mit fehlendem Bestand</w:t>
            </w:r>
          </w:p>
        </w:tc>
        <w:tc>
          <w:tcPr>
            <w:tcW w:type="dxa" w:w="4762"/>
          </w:tcPr>
          <w:p>
            <w:pPr>
              <w:spacing w:after="0" w:line="252" w:lineRule="auto"/>
            </w:pPr>
            <w:r>
              <w:rPr>
                <w:sz w:val="17"/>
              </w:rPr>
              <w:t>Nach dieser Zeit wird eine Zeile ohne Bestand fertiggestellt</w:t>
            </w:r>
          </w:p>
        </w:tc>
      </w:tr>
      <w:tr>
        <w:tc>
          <w:tcPr>
            <w:tcW w:type="dxa" w:w="4762"/>
          </w:tcPr>
          <w:p>
            <w:pPr>
              <w:spacing w:after="0" w:line="252" w:lineRule="auto"/>
            </w:pPr>
            <w:r>
              <w:rPr>
                <w:rFonts w:ascii="Consolas" w:hAnsi="Consolas" w:cs="Consolas" w:eastAsia="Consolas"/>
                <w:sz w:val="15"/>
              </w:rPr>
              <w:t>Bevorzugtes Ladehilfsmittel</w:t>
            </w:r>
            <w:r>
              <w:rPr>
                <w:sz w:val="17"/>
              </w:rPr>
              <w:t xml:space="preserve"> / </w:t>
            </w:r>
            <w:r>
              <w:rPr>
                <w:rFonts w:ascii="Consolas" w:hAnsi="Consolas" w:cs="Consolas" w:eastAsia="Consolas"/>
                <w:sz w:val="15"/>
              </w:rPr>
              <w:t>Bevorzugte Kubatur</w:t>
            </w:r>
          </w:p>
        </w:tc>
        <w:tc>
          <w:tcPr>
            <w:tcW w:type="dxa" w:w="4762"/>
          </w:tcPr>
          <w:p>
            <w:pPr>
              <w:spacing w:after="0" w:line="252" w:lineRule="auto"/>
            </w:pPr>
            <w:r>
              <w:rPr>
                <w:sz w:val="17"/>
              </w:rPr>
              <w:t>Vorgabe für die Ziel-LE</w:t>
            </w:r>
          </w:p>
        </w:tc>
      </w:tr>
      <w:tr>
        <w:tc>
          <w:tcPr>
            <w:tcW w:type="dxa" w:w="4762"/>
          </w:tcPr>
          <w:p>
            <w:pPr>
              <w:spacing w:after="0" w:line="252" w:lineRule="auto"/>
            </w:pPr>
            <w:r>
              <w:rPr>
                <w:rFonts w:ascii="Consolas" w:hAnsi="Consolas" w:cs="Consolas" w:eastAsia="Consolas"/>
                <w:sz w:val="15"/>
              </w:rPr>
              <w:t>Batchkommissionierung Put to Light</w:t>
            </w:r>
            <w:r>
              <w:rPr>
                <w:sz w:val="17"/>
              </w:rPr>
              <w:t xml:space="preserve">, </w:t>
            </w:r>
            <w:r>
              <w:rPr>
                <w:rFonts w:ascii="Consolas" w:hAnsi="Consolas" w:cs="Consolas" w:eastAsia="Consolas"/>
                <w:sz w:val="15"/>
              </w:rPr>
              <w:t>PTL deaktivieren</w:t>
            </w:r>
          </w:p>
        </w:tc>
        <w:tc>
          <w:tcPr>
            <w:tcW w:type="dxa" w:w="4762"/>
          </w:tcPr>
          <w:p>
            <w:pPr>
              <w:spacing w:after="0" w:line="252" w:lineRule="auto"/>
            </w:pPr>
            <w:r>
              <w:rPr>
                <w:sz w:val="17"/>
              </w:rPr>
              <w:t>Mehrere Bedarfe gleichzeitig bzw. ohne PTL</w:t>
            </w:r>
          </w:p>
        </w:tc>
      </w:tr>
      <w:tr>
        <w:tc>
          <w:tcPr>
            <w:tcW w:type="dxa" w:w="4762"/>
          </w:tcPr>
          <w:p>
            <w:pPr>
              <w:spacing w:after="0" w:line="252" w:lineRule="auto"/>
            </w:pPr>
            <w:r>
              <w:rPr>
                <w:rFonts w:ascii="Consolas" w:hAnsi="Consolas" w:cs="Consolas" w:eastAsia="Consolas"/>
                <w:sz w:val="15"/>
              </w:rPr>
              <w:t>Zielplatz automatisch auswählen</w:t>
            </w:r>
            <w:r>
              <w:rPr>
                <w:sz w:val="17"/>
              </w:rPr>
              <w:t xml:space="preserve">, </w:t>
            </w:r>
            <w:r>
              <w:rPr>
                <w:rFonts w:ascii="Consolas" w:hAnsi="Consolas" w:cs="Consolas" w:eastAsia="Consolas"/>
                <w:sz w:val="15"/>
              </w:rPr>
              <w:t>Bedarfsaktivierung durch freien, externen Lagerplatz begrenzen</w:t>
            </w:r>
            <w:r>
              <w:rPr>
                <w:sz w:val="17"/>
              </w:rPr>
              <w:t xml:space="preserve">, </w:t>
            </w:r>
            <w:r>
              <w:rPr>
                <w:rFonts w:ascii="Consolas" w:hAnsi="Consolas" w:cs="Consolas" w:eastAsia="Consolas"/>
                <w:sz w:val="15"/>
              </w:rPr>
              <w:t>Mit Kommissionierwagen verwendet</w:t>
            </w:r>
          </w:p>
        </w:tc>
        <w:tc>
          <w:tcPr>
            <w:tcW w:type="dxa" w:w="4762"/>
          </w:tcPr>
          <w:p>
            <w:pPr>
              <w:spacing w:after="0" w:line="252" w:lineRule="auto"/>
            </w:pPr>
            <w:r>
              <w:rPr>
                <w:sz w:val="17"/>
              </w:rPr>
              <w:t>Zielplatzsteuerung (siehe How-to „Externe Lagerprozesse“)</w:t>
            </w:r>
          </w:p>
        </w:tc>
      </w:tr>
      <w:tr>
        <w:tc>
          <w:tcPr>
            <w:tcW w:type="dxa" w:w="4762"/>
          </w:tcPr>
          <w:p>
            <w:pPr>
              <w:spacing w:after="0" w:line="252" w:lineRule="auto"/>
            </w:pPr>
            <w:r>
              <w:rPr>
                <w:rFonts w:ascii="Consolas" w:hAnsi="Consolas" w:cs="Consolas" w:eastAsia="Consolas"/>
                <w:sz w:val="15"/>
              </w:rPr>
              <w:t>2-Schritt-Bestätigung</w:t>
            </w:r>
            <w:r>
              <w:rPr>
                <w:sz w:val="17"/>
              </w:rPr>
              <w:t xml:space="preserve">, </w:t>
            </w:r>
            <w:r>
              <w:rPr>
                <w:rFonts w:ascii="Consolas" w:hAnsi="Consolas" w:cs="Consolas" w:eastAsia="Consolas"/>
                <w:sz w:val="15"/>
              </w:rPr>
              <w:t>Kann von jedem Benutzer ausgeführt werden</w:t>
            </w:r>
          </w:p>
        </w:tc>
        <w:tc>
          <w:tcPr>
            <w:tcW w:type="dxa" w:w="4762"/>
          </w:tcPr>
          <w:p>
            <w:pPr>
              <w:spacing w:after="0" w:line="252" w:lineRule="auto"/>
            </w:pPr>
            <w:r>
              <w:rPr>
                <w:sz w:val="17"/>
              </w:rPr>
              <w:t>Bestätigung und gemeinsame Bearbeitung</w:t>
            </w:r>
          </w:p>
        </w:tc>
      </w:tr>
    </w:tbl>
    <w:p>
      <w:pPr>
        <w:pStyle w:val="BeschriftungSSI"/>
      </w:pPr>
      <w:r>
        <w:t>Tab. 16: Weitere Felder des Kommissionierbedarfstyps</w:t>
      </w:r>
    </w:p>
    <w:p>
      <w:pPr>
        <w:pStyle w:val="Quelle"/>
      </w:pPr>
      <w:r>
        <w:rPr>
          <w:b/>
        </w:rPr>
        <w:t xml:space="preserve">Quelle: </w:t>
      </w:r>
      <w:r>
        <w:rPr>
          <w:sz w:val="17"/>
        </w:rPr>
        <w:t>Administratorhandbuch 2.7, Kap. 3.6.1.10 (S. 108–110)</w:t>
      </w:r>
    </w:p>
    <w:p>
      <w:pPr>
        <w:pStyle w:val="Heading2"/>
      </w:pPr>
      <w:r>
        <w:t>6.7 Milde Bestandsobjektsuche (WCS-Szenario)</w:t>
      </w:r>
    </w:p>
    <w:p>
      <w:r>
        <w:t xml:space="preserve">Am Systempartner WAMAS als WMS zu WCS kann </w:t>
      </w:r>
      <w:r>
        <w:rPr>
          <w:rFonts w:ascii="Consolas" w:hAnsi="Consolas" w:cs="Consolas" w:eastAsia="Consolas"/>
          <w:sz w:val="18"/>
        </w:rPr>
        <w:t>Bestandsobjektsuche mit milden Kriterien erlauben</w:t>
      </w:r>
      <w:r>
        <w:t xml:space="preserve"> aktiviert werden: Zuerst werden Bestandsobjekte mit strengen Kriterien gesucht; liefert das kein Ergebnis, folgt eine zweite Suche mit milden Kriterien.</w:t>
      </w:r>
    </w:p>
    <w:p>
      <w:pPr>
        <w:pStyle w:val="Quelle"/>
      </w:pPr>
      <w:r>
        <w:rPr>
          <w:b/>
        </w:rPr>
        <w:t xml:space="preserve">Quelle: </w:t>
      </w:r>
      <w:r>
        <w:rPr>
          <w:sz w:val="17"/>
        </w:rPr>
        <w:t>Administratorhandbuch 2.7, Kap. 3.5.3.1 (S. 89–91)</w:t>
      </w:r>
    </w:p>
    <w:p>
      <w:pPr>
        <w:pStyle w:val="Heading1"/>
      </w:pPr>
      <w:r>
        <w:t>7 Tablar-, LOGIMAT- und Zonenauswahl, Ausführungssteuerung</w:t>
      </w:r>
    </w:p>
    <w:p>
      <w:pPr>
        <w:pStyle w:val="Heading2"/>
      </w:pPr>
      <w:r>
        <w:t>7.1 Zone</w:t>
      </w:r>
    </w:p>
    <w:p>
      <w:pPr>
        <w:pStyle w:val="ListBullet"/>
      </w:pPr>
      <w:r>
        <w:t xml:space="preserve">Jeder Einlager-, Kommissionier- und Inventurbedarf trägt eine </w:t>
      </w:r>
      <w:r>
        <w:rPr>
          <w:b/>
        </w:rPr>
        <w:t>WAMAS Lift &amp; Store-Zone</w:t>
      </w:r>
      <w:r>
        <w:t xml:space="preserve"> (Schnittstelle </w:t>
      </w:r>
      <w:r>
        <w:rPr>
          <w:rFonts w:ascii="Consolas" w:hAnsi="Consolas" w:cs="Consolas" w:eastAsia="Consolas"/>
          <w:sz w:val="18"/>
        </w:rPr>
        <w:t>zone</w:t>
      </w:r>
      <w:r>
        <w:t xml:space="preserve">; Desktop LM072/LM081, Touch LM086/LM087). Bei einem SSI LOGIMAT ist laut Schnittstellenhandbuch </w:t>
      </w:r>
      <w:r>
        <w:rPr>
          <w:rFonts w:ascii="Consolas" w:hAnsi="Consolas" w:cs="Consolas" w:eastAsia="Consolas"/>
          <w:sz w:val="18"/>
        </w:rPr>
        <w:t>ZONE A</w:t>
      </w:r>
      <w:r>
        <w:t xml:space="preserve"> der Startwert; weitere Zonen werden für weitere SSI LOGIMAT angelegt.</w:t>
      </w:r>
    </w:p>
    <w:p>
      <w:pPr>
        <w:pStyle w:val="ListBullet"/>
      </w:pPr>
      <w:r>
        <w:t>Alle Zugriffsöffnungen eines SSI LOGIMAT gehören zur selben Zone.</w:t>
      </w:r>
    </w:p>
    <w:p>
      <w:pPr>
        <w:pStyle w:val="ListBullet"/>
      </w:pPr>
      <w:r>
        <w:rPr>
          <w:rFonts w:ascii="Consolas" w:hAnsi="Consolas" w:cs="Consolas" w:eastAsia="Consolas"/>
          <w:sz w:val="18"/>
        </w:rPr>
        <w:t>logimat.user.allowMultipleZones</w:t>
      </w:r>
      <w:r>
        <w:t>: Benutzer darf sich an LOGIMAT unterschiedlicher Zonen anmelden.</w:t>
      </w:r>
    </w:p>
    <w:p>
      <w:pPr>
        <w:pStyle w:val="ListBullet"/>
      </w:pPr>
      <w:r>
        <w:rPr>
          <w:rFonts w:ascii="Consolas" w:hAnsi="Consolas" w:cs="Consolas" w:eastAsia="Consolas"/>
          <w:sz w:val="18"/>
        </w:rPr>
        <w:t>logimat.dialogs.lm040.orders.search.allZones</w:t>
      </w:r>
      <w:r>
        <w:t>: Aufträge aller Zonen in LM040 anzeigen.</w:t>
      </w:r>
    </w:p>
    <w:p>
      <w:pPr>
        <w:pStyle w:val="ListBullet"/>
      </w:pPr>
      <w:r>
        <w:t xml:space="preserve">In der Lagerreservierung wählen </w:t>
      </w:r>
      <w:r>
        <w:rPr>
          <w:rFonts w:ascii="Consolas" w:hAnsi="Consolas" w:cs="Consolas" w:eastAsia="Consolas"/>
          <w:sz w:val="18"/>
        </w:rPr>
        <w:t>BALANCE</w:t>
      </w:r>
      <w:r>
        <w:t xml:space="preserve">, </w:t>
      </w:r>
      <w:r>
        <w:rPr>
          <w:rFonts w:ascii="Consolas" w:hAnsi="Consolas" w:cs="Consolas" w:eastAsia="Consolas"/>
          <w:sz w:val="18"/>
        </w:rPr>
        <w:t>LOWEST_STOCK</w:t>
      </w:r>
      <w:r>
        <w:t xml:space="preserve"> sowie die LM145-Optionen </w:t>
      </w:r>
      <w:r>
        <w:rPr>
          <w:b/>
        </w:rPr>
        <w:t>Niedrigste/Durchschnittliche Bestandsniveaus</w:t>
      </w:r>
      <w:r>
        <w:t xml:space="preserve"> den LOGIMAT innerhalb der Zone (Kapitel 3).</w:t>
      </w:r>
    </w:p>
    <w:p>
      <w:pPr>
        <w:pStyle w:val="Quelle"/>
      </w:pPr>
      <w:r>
        <w:rPr>
          <w:b/>
        </w:rPr>
        <w:t xml:space="preserve">Quelle: </w:t>
      </w:r>
      <w:r>
        <w:rPr>
          <w:sz w:val="17"/>
        </w:rPr>
        <w:t>Administratorhandbuch 2.7, Kap. 3.1.10, 3.11.2; Schnittstellenhandbuch WLS–ERP 2.7, Kap. 6.1.2.1 und 7.1.2.1; Benutzerhandbuch 2.7, Kap. 6.2.2.1</w:t>
      </w:r>
    </w:p>
    <w:p>
      <w:pPr>
        <w:pStyle w:val="Heading2"/>
      </w:pPr>
      <w:r>
        <w:t>7.2 Manuelle Tablarsuche</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866"/>
        <w:gridCol w:w="5658"/>
      </w:tblGrid>
      <w:tr>
        <w:trPr>
          <w:tblHeader w:val="true"/>
        </w:trPr>
        <w:tc>
          <w:tcPr>
            <w:tcW w:type="dxa" w:w="3866"/>
            <w:shd w:val="clear" w:color="auto" w:fill="FEEE19"/>
          </w:tcPr>
          <w:p>
            <w:pPr>
              <w:spacing w:after="0"/>
            </w:pPr>
            <w:r>
              <w:rPr>
                <w:b/>
                <w:sz w:val="17"/>
              </w:rPr>
              <w:t>Einstellung</w:t>
            </w:r>
          </w:p>
        </w:tc>
        <w:tc>
          <w:tcPr>
            <w:tcW w:type="dxa" w:w="5658"/>
            <w:shd w:val="clear" w:color="auto" w:fill="FEEE19"/>
          </w:tcPr>
          <w:p>
            <w:pPr>
              <w:spacing w:after="0"/>
            </w:pPr>
            <w:r>
              <w:rPr>
                <w:b/>
                <w:sz w:val="17"/>
              </w:rPr>
              <w:t>Werte / Wirkung</w:t>
            </w:r>
          </w:p>
        </w:tc>
      </w:tr>
      <w:tr>
        <w:tc>
          <w:tcPr>
            <w:tcW w:type="dxa" w:w="3866"/>
          </w:tcPr>
          <w:p>
            <w:pPr>
              <w:spacing w:after="0" w:line="252" w:lineRule="auto"/>
            </w:pPr>
            <w:r>
              <w:rPr>
                <w:sz w:val="17"/>
              </w:rPr>
              <w:t xml:space="preserve">Touch LM040, </w:t>
            </w:r>
            <w:r>
              <w:rPr>
                <w:b/>
                <w:sz w:val="17"/>
              </w:rPr>
              <w:t>Erweitert</w:t>
            </w:r>
            <w:r>
              <w:rPr>
                <w:sz w:val="17"/>
              </w:rPr>
              <w:t xml:space="preserve"> › </w:t>
            </w:r>
            <w:r>
              <w:rPr>
                <w:rFonts w:ascii="Consolas" w:hAnsi="Consolas" w:cs="Consolas" w:eastAsia="Consolas"/>
                <w:sz w:val="15"/>
              </w:rPr>
              <w:t>Suchmodus</w:t>
            </w:r>
          </w:p>
        </w:tc>
        <w:tc>
          <w:tcPr>
            <w:tcW w:type="dxa" w:w="5658"/>
          </w:tcPr>
          <w:p>
            <w:pPr>
              <w:spacing w:after="0" w:line="252" w:lineRule="auto"/>
            </w:pPr>
            <w:r>
              <w:rPr>
                <w:b/>
                <w:sz w:val="17"/>
              </w:rPr>
              <w:t>Aktueller SSI LOGIMAT</w:t>
            </w:r>
            <w:r>
              <w:rPr>
                <w:sz w:val="17"/>
              </w:rPr>
              <w:t xml:space="preserve">, </w:t>
            </w:r>
            <w:r>
              <w:rPr>
                <w:b/>
                <w:sz w:val="17"/>
              </w:rPr>
              <w:t>Aktuelle Zone</w:t>
            </w:r>
            <w:r>
              <w:rPr>
                <w:sz w:val="17"/>
              </w:rPr>
              <w:t xml:space="preserve">, </w:t>
            </w:r>
            <w:r>
              <w:rPr>
                <w:b/>
                <w:sz w:val="17"/>
              </w:rPr>
              <w:t>Alle Zonen</w:t>
            </w:r>
          </w:p>
        </w:tc>
      </w:tr>
      <w:tr>
        <w:tc>
          <w:tcPr>
            <w:tcW w:type="dxa" w:w="3866"/>
          </w:tcPr>
          <w:p>
            <w:pPr>
              <w:spacing w:after="0" w:line="252" w:lineRule="auto"/>
            </w:pPr>
            <w:r>
              <w:rPr>
                <w:rFonts w:ascii="Consolas" w:hAnsi="Consolas" w:cs="Consolas" w:eastAsia="Consolas"/>
                <w:sz w:val="15"/>
              </w:rPr>
              <w:t>logimat.dialogs.lm040.trays.search.mode</w:t>
            </w:r>
          </w:p>
        </w:tc>
        <w:tc>
          <w:tcPr>
            <w:tcW w:type="dxa" w:w="5658"/>
          </w:tcPr>
          <w:p>
            <w:pPr>
              <w:spacing w:after="0" w:line="252" w:lineRule="auto"/>
            </w:pPr>
            <w:r>
              <w:rPr>
                <w:sz w:val="17"/>
              </w:rPr>
              <w:t xml:space="preserve">Standard-Suchbereich: </w:t>
            </w:r>
            <w:r>
              <w:rPr>
                <w:rFonts w:ascii="Consolas" w:hAnsi="Consolas" w:cs="Consolas" w:eastAsia="Consolas"/>
                <w:sz w:val="15"/>
              </w:rPr>
              <w:t>CURRENT_MACHINE</w:t>
            </w:r>
            <w:r>
              <w:rPr>
                <w:sz w:val="17"/>
              </w:rPr>
              <w:t xml:space="preserve">, </w:t>
            </w:r>
            <w:r>
              <w:rPr>
                <w:rFonts w:ascii="Consolas" w:hAnsi="Consolas" w:cs="Consolas" w:eastAsia="Consolas"/>
                <w:sz w:val="15"/>
              </w:rPr>
              <w:t>CURRENT_ZONE</w:t>
            </w:r>
            <w:r>
              <w:rPr>
                <w:sz w:val="17"/>
              </w:rPr>
              <w:t xml:space="preserve">, </w:t>
            </w:r>
            <w:r>
              <w:rPr>
                <w:rFonts w:ascii="Consolas" w:hAnsi="Consolas" w:cs="Consolas" w:eastAsia="Consolas"/>
                <w:sz w:val="15"/>
              </w:rPr>
              <w:t>ALL_ZONES</w:t>
            </w:r>
          </w:p>
        </w:tc>
      </w:tr>
      <w:tr>
        <w:tc>
          <w:tcPr>
            <w:tcW w:type="dxa" w:w="3866"/>
          </w:tcPr>
          <w:p>
            <w:pPr>
              <w:spacing w:after="0" w:line="252" w:lineRule="auto"/>
            </w:pPr>
            <w:r>
              <w:rPr>
                <w:rFonts w:ascii="Consolas" w:hAnsi="Consolas" w:cs="Consolas" w:eastAsia="Consolas"/>
                <w:sz w:val="15"/>
              </w:rPr>
              <w:t>logimat.dialogs.lm040.trays.sort.mode</w:t>
            </w:r>
          </w:p>
        </w:tc>
        <w:tc>
          <w:tcPr>
            <w:tcW w:type="dxa" w:w="5658"/>
          </w:tcPr>
          <w:p>
            <w:pPr>
              <w:spacing w:after="0" w:line="252" w:lineRule="auto"/>
            </w:pPr>
            <w:r>
              <w:rPr>
                <w:sz w:val="17"/>
              </w:rPr>
              <w:t>Sortierung der Tablare; FIFO nur bei Suche mit Artikel und Betriebsart AUSLAGERN</w:t>
            </w:r>
          </w:p>
        </w:tc>
      </w:tr>
      <w:tr>
        <w:tc>
          <w:tcPr>
            <w:tcW w:type="dxa" w:w="3866"/>
          </w:tcPr>
          <w:p>
            <w:pPr>
              <w:spacing w:after="0" w:line="252" w:lineRule="auto"/>
            </w:pPr>
            <w:r>
              <w:rPr>
                <w:rFonts w:ascii="Consolas" w:hAnsi="Consolas" w:cs="Consolas" w:eastAsia="Consolas"/>
                <w:sz w:val="15"/>
              </w:rPr>
              <w:t>logimat.dialogs.lm040.trays.workingMode</w:t>
            </w:r>
          </w:p>
        </w:tc>
        <w:tc>
          <w:tcPr>
            <w:tcW w:type="dxa" w:w="5658"/>
          </w:tcPr>
          <w:p>
            <w:pPr>
              <w:spacing w:after="0" w:line="252" w:lineRule="auto"/>
            </w:pPr>
            <w:r>
              <w:rPr>
                <w:sz w:val="17"/>
              </w:rPr>
              <w:t xml:space="preserve">Standard-Suchart (z. B. </w:t>
            </w:r>
            <w:r>
              <w:rPr>
                <w:rFonts w:ascii="Consolas" w:hAnsi="Consolas" w:cs="Consolas" w:eastAsia="Consolas"/>
                <w:sz w:val="15"/>
              </w:rPr>
              <w:t>SEARCH_BY_TRAY</w:t>
            </w:r>
            <w:r>
              <w:rPr>
                <w:sz w:val="17"/>
              </w:rPr>
              <w:t>, laut Schulung auch nach Artikel/Charge)</w:t>
            </w:r>
          </w:p>
        </w:tc>
      </w:tr>
      <w:tr>
        <w:tc>
          <w:tcPr>
            <w:tcW w:type="dxa" w:w="3866"/>
          </w:tcPr>
          <w:p>
            <w:pPr>
              <w:spacing w:after="0" w:line="252" w:lineRule="auto"/>
            </w:pPr>
            <w:r>
              <w:rPr>
                <w:sz w:val="17"/>
              </w:rPr>
              <w:t>Bestandsauswahlmodus „… in LM040“</w:t>
            </w:r>
          </w:p>
        </w:tc>
        <w:tc>
          <w:tcPr>
            <w:tcW w:type="dxa" w:w="5658"/>
          </w:tcPr>
          <w:p>
            <w:pPr>
              <w:spacing w:after="0" w:line="252" w:lineRule="auto"/>
            </w:pPr>
            <w:r>
              <w:rPr>
                <w:sz w:val="17"/>
              </w:rPr>
              <w:t>MHD-/Produktionsdatumsregeln für manuelle Vorgänge</w:t>
            </w:r>
          </w:p>
        </w:tc>
      </w:tr>
    </w:tbl>
    <w:p>
      <w:pPr>
        <w:pStyle w:val="BeschriftungSSI"/>
      </w:pPr>
      <w:r>
        <w:t>Tab. 17: Einstellungen für die manuelle Tablarsuche</w:t>
      </w:r>
    </w:p>
    <w:p>
      <w:pPr>
        <w:pStyle w:val="Quelle"/>
      </w:pPr>
      <w:r>
        <w:rPr>
          <w:b/>
        </w:rPr>
        <w:t xml:space="preserve">Quelle: </w:t>
      </w:r>
      <w:r>
        <w:rPr>
          <w:sz w:val="17"/>
        </w:rPr>
        <w:t>Benutzerhandbuch 2.7, Kap. 6.1.1.1–6.1.1.3 (S. 77–80); Administratorhandbuch 2.7, Kap. 3.11.2; Installationshandbuch 2.7, Kap. 6.7; Consultant Training Part 1</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In den Unterlagen nicht beschrieben</w:t>
            </w:r>
          </w:p>
          <w:p>
            <w:pPr>
              <w:spacing w:after="40"/>
            </w:pPr>
            <w:r>
              <w:rPr>
                <w:sz w:val="19"/>
              </w:rPr>
              <w:t xml:space="preserve">Die möglichen Werte von </w:t>
            </w:r>
            <w:r>
              <w:rPr>
                <w:rFonts w:ascii="Consolas" w:hAnsi="Consolas" w:cs="Consolas" w:eastAsia="Consolas"/>
                <w:sz w:val="17"/>
              </w:rPr>
              <w:t>logimat.dialogs.lm040.trays.sort.mode</w:t>
            </w:r>
            <w:r>
              <w:rPr>
                <w:sz w:val="19"/>
              </w:rPr>
              <w:t xml:space="preserve"> außer FIFO sind nicht aufgeführt.</w:t>
            </w:r>
          </w:p>
        </w:tc>
      </w:tr>
    </w:tbl>
    <w:p>
      <w:pPr>
        <w:spacing w:after="40"/>
      </w:pPr>
    </w:p>
    <w:p>
      <w:pPr>
        <w:pStyle w:val="Heading2"/>
      </w:pPr>
      <w:r>
        <w:t>7.3 Priorität und Zuteilung von Tablaranforderungen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381"/>
        <w:gridCol w:w="2761"/>
        <w:gridCol w:w="3381"/>
      </w:tblGrid>
      <w:tr>
        <w:trPr>
          <w:tblHeader w:val="true"/>
        </w:trPr>
        <w:tc>
          <w:tcPr>
            <w:tcW w:type="dxa" w:w="3381"/>
            <w:shd w:val="clear" w:color="auto" w:fill="FEEE19"/>
          </w:tcPr>
          <w:p>
            <w:pPr>
              <w:spacing w:after="0"/>
            </w:pPr>
            <w:r>
              <w:rPr>
                <w:b/>
                <w:sz w:val="17"/>
              </w:rPr>
              <w:t>Einstellung</w:t>
            </w:r>
          </w:p>
        </w:tc>
        <w:tc>
          <w:tcPr>
            <w:tcW w:type="dxa" w:w="2762"/>
            <w:shd w:val="clear" w:color="auto" w:fill="FEEE19"/>
          </w:tcPr>
          <w:p>
            <w:pPr>
              <w:spacing w:after="0"/>
            </w:pPr>
            <w:r>
              <w:rPr>
                <w:b/>
                <w:sz w:val="17"/>
              </w:rPr>
              <w:t>Ort</w:t>
            </w:r>
          </w:p>
        </w:tc>
        <w:tc>
          <w:tcPr>
            <w:tcW w:type="dxa" w:w="3381"/>
            <w:shd w:val="clear" w:color="auto" w:fill="FEEE19"/>
          </w:tcPr>
          <w:p>
            <w:pPr>
              <w:spacing w:after="0"/>
            </w:pPr>
            <w:r>
              <w:rPr>
                <w:b/>
                <w:sz w:val="17"/>
              </w:rPr>
              <w:t>Wirkung</w:t>
            </w:r>
          </w:p>
        </w:tc>
      </w:tr>
      <w:tr>
        <w:tc>
          <w:tcPr>
            <w:tcW w:type="dxa" w:w="3381"/>
          </w:tcPr>
          <w:p>
            <w:pPr>
              <w:spacing w:after="0" w:line="252" w:lineRule="auto"/>
            </w:pPr>
            <w:r>
              <w:rPr>
                <w:sz w:val="17"/>
              </w:rPr>
              <w:t xml:space="preserve">Priorität </w:t>
            </w:r>
            <w:r>
              <w:rPr>
                <w:b/>
                <w:sz w:val="17"/>
              </w:rPr>
              <w:t>Niedrig / Normal / Hoch / Express</w:t>
            </w:r>
          </w:p>
        </w:tc>
        <w:tc>
          <w:tcPr>
            <w:tcW w:type="dxa" w:w="2762"/>
          </w:tcPr>
          <w:p>
            <w:pPr>
              <w:spacing w:after="0" w:line="252" w:lineRule="auto"/>
            </w:pPr>
            <w:r>
              <w:rPr>
                <w:sz w:val="17"/>
              </w:rPr>
              <w:t xml:space="preserve">Bedarf (LM072, LM087 …), Schnittstelle </w:t>
            </w:r>
            <w:r>
              <w:rPr>
                <w:rFonts w:ascii="Consolas" w:hAnsi="Consolas" w:cs="Consolas" w:eastAsia="Consolas"/>
                <w:sz w:val="15"/>
              </w:rPr>
              <w:t>priority</w:t>
            </w:r>
          </w:p>
        </w:tc>
        <w:tc>
          <w:tcPr>
            <w:tcW w:type="dxa" w:w="3381"/>
          </w:tcPr>
          <w:p>
            <w:pPr>
              <w:spacing w:after="0" w:line="252" w:lineRule="auto"/>
            </w:pPr>
            <w:r>
              <w:rPr>
                <w:sz w:val="17"/>
              </w:rPr>
              <w:t xml:space="preserve">Ausführungsreihenfolge; </w:t>
            </w:r>
            <w:r>
              <w:rPr>
                <w:b/>
                <w:sz w:val="17"/>
              </w:rPr>
              <w:t>Express</w:t>
            </w:r>
            <w:r>
              <w:rPr>
                <w:sz w:val="17"/>
              </w:rPr>
              <w:t xml:space="preserve"> vor allen anderen Tablaranforderungen</w:t>
            </w:r>
          </w:p>
        </w:tc>
      </w:tr>
      <w:tr>
        <w:tc>
          <w:tcPr>
            <w:tcW w:type="dxa" w:w="3381"/>
          </w:tcPr>
          <w:p>
            <w:pPr>
              <w:spacing w:after="0" w:line="252" w:lineRule="auto"/>
            </w:pPr>
            <w:r>
              <w:rPr>
                <w:sz w:val="17"/>
              </w:rPr>
              <w:t>Verfügbare Prioritäten</w:t>
            </w:r>
          </w:p>
        </w:tc>
        <w:tc>
          <w:tcPr>
            <w:tcW w:type="dxa" w:w="2762"/>
          </w:tcPr>
          <w:p>
            <w:pPr>
              <w:spacing w:after="0" w:line="252" w:lineRule="auto"/>
            </w:pPr>
            <w:r>
              <w:rPr>
                <w:sz w:val="17"/>
              </w:rPr>
              <w:t>LM053 › Systemparameter › Prioritäten</w:t>
            </w:r>
          </w:p>
        </w:tc>
        <w:tc>
          <w:tcPr>
            <w:tcW w:type="dxa" w:w="3381"/>
          </w:tcPr>
          <w:p>
            <w:pPr>
              <w:spacing w:after="0" w:line="252" w:lineRule="auto"/>
            </w:pPr>
            <w:r>
              <w:rPr>
                <w:sz w:val="17"/>
              </w:rPr>
              <w:t>Niedrig und Express sind immer aktiv</w:t>
            </w:r>
          </w:p>
        </w:tc>
      </w:tr>
      <w:tr>
        <w:tc>
          <w:tcPr>
            <w:tcW w:type="dxa" w:w="3381"/>
          </w:tcPr>
          <w:p>
            <w:pPr>
              <w:spacing w:after="0" w:line="252" w:lineRule="auto"/>
            </w:pPr>
            <w:r>
              <w:rPr>
                <w:rFonts w:ascii="Consolas" w:hAnsi="Consolas" w:cs="Consolas" w:eastAsia="Consolas"/>
                <w:sz w:val="15"/>
              </w:rPr>
              <w:t>logimat.allocationMode</w:t>
            </w:r>
            <w:r>
              <w:rPr>
                <w:sz w:val="17"/>
              </w:rPr>
              <w:t xml:space="preserve"> = </w:t>
            </w:r>
            <w:r>
              <w:rPr>
                <w:rFonts w:ascii="Consolas" w:hAnsi="Consolas" w:cs="Consolas" w:eastAsia="Consolas"/>
                <w:sz w:val="15"/>
              </w:rPr>
              <w:t>NORMAL</w:t>
            </w:r>
          </w:p>
        </w:tc>
        <w:tc>
          <w:tcPr>
            <w:tcW w:type="dxa" w:w="2762"/>
          </w:tcPr>
          <w:p>
            <w:pPr>
              <w:spacing w:after="0" w:line="252" w:lineRule="auto"/>
            </w:pPr>
            <w:r>
              <w:rPr>
                <w:sz w:val="17"/>
              </w:rPr>
              <w:t>FW028</w:t>
            </w:r>
          </w:p>
        </w:tc>
        <w:tc>
          <w:tcPr>
            <w:tcW w:type="dxa" w:w="3381"/>
          </w:tcPr>
          <w:p>
            <w:pPr>
              <w:spacing w:after="0" w:line="252" w:lineRule="auto"/>
            </w:pPr>
            <w:r>
              <w:rPr>
                <w:sz w:val="17"/>
              </w:rPr>
              <w:t>Bei jeder neuen Zuteilung wird der Bedarf mit der höchsten Priorität ausgeführt</w:t>
            </w:r>
          </w:p>
        </w:tc>
      </w:tr>
      <w:tr>
        <w:tc>
          <w:tcPr>
            <w:tcW w:type="dxa" w:w="3381"/>
          </w:tcPr>
          <w:p>
            <w:pPr>
              <w:spacing w:after="0" w:line="252" w:lineRule="auto"/>
            </w:pPr>
            <w:r>
              <w:rPr>
                <w:rFonts w:ascii="Consolas" w:hAnsi="Consolas" w:cs="Consolas" w:eastAsia="Consolas"/>
                <w:sz w:val="15"/>
              </w:rPr>
              <w:t>logimat.allocationMode</w:t>
            </w:r>
            <w:r>
              <w:rPr>
                <w:sz w:val="17"/>
              </w:rPr>
              <w:t xml:space="preserve"> = </w:t>
            </w:r>
            <w:r>
              <w:rPr>
                <w:rFonts w:ascii="Consolas" w:hAnsi="Consolas" w:cs="Consolas" w:eastAsia="Consolas"/>
                <w:sz w:val="15"/>
              </w:rPr>
              <w:t>CONTINUE</w:t>
            </w:r>
          </w:p>
        </w:tc>
        <w:tc>
          <w:tcPr>
            <w:tcW w:type="dxa" w:w="2762"/>
          </w:tcPr>
          <w:p>
            <w:pPr>
              <w:spacing w:after="0" w:line="252" w:lineRule="auto"/>
            </w:pPr>
            <w:r>
              <w:rPr>
                <w:sz w:val="17"/>
              </w:rPr>
              <w:t>FW028</w:t>
            </w:r>
          </w:p>
        </w:tc>
        <w:tc>
          <w:tcPr>
            <w:tcW w:type="dxa" w:w="3381"/>
          </w:tcPr>
          <w:p>
            <w:pPr>
              <w:spacing w:after="0" w:line="252" w:lineRule="auto"/>
            </w:pPr>
            <w:r>
              <w:rPr>
                <w:sz w:val="17"/>
              </w:rPr>
              <w:t>Ein gestarteter Bedarf wird zu Ende geführt, auch wenn höher priorisierte (nicht Express) warten; Standard laut Installationshandbuch</w:t>
            </w:r>
          </w:p>
        </w:tc>
      </w:tr>
      <w:tr>
        <w:tc>
          <w:tcPr>
            <w:tcW w:type="dxa" w:w="3381"/>
          </w:tcPr>
          <w:p>
            <w:pPr>
              <w:spacing w:after="0" w:line="252" w:lineRule="auto"/>
            </w:pPr>
            <w:r>
              <w:rPr>
                <w:rFonts w:ascii="Consolas" w:hAnsi="Consolas" w:cs="Consolas" w:eastAsia="Consolas"/>
                <w:sz w:val="15"/>
              </w:rPr>
              <w:t>logimat.workingMode</w:t>
            </w:r>
            <w:r>
              <w:rPr>
                <w:sz w:val="17"/>
              </w:rPr>
              <w:t xml:space="preserve"> = </w:t>
            </w:r>
            <w:r>
              <w:rPr>
                <w:rFonts w:ascii="Consolas" w:hAnsi="Consolas" w:cs="Consolas" w:eastAsia="Consolas"/>
                <w:sz w:val="15"/>
              </w:rPr>
              <w:t>FORCE</w:t>
            </w:r>
            <w:r>
              <w:rPr>
                <w:sz w:val="17"/>
              </w:rPr>
              <w:t xml:space="preserve"> / </w:t>
            </w:r>
            <w:r>
              <w:rPr>
                <w:rFonts w:ascii="Consolas" w:hAnsi="Consolas" w:cs="Consolas" w:eastAsia="Consolas"/>
                <w:sz w:val="15"/>
              </w:rPr>
              <w:t>FREE</w:t>
            </w:r>
          </w:p>
        </w:tc>
        <w:tc>
          <w:tcPr>
            <w:tcW w:type="dxa" w:w="2762"/>
          </w:tcPr>
          <w:p>
            <w:pPr>
              <w:spacing w:after="0" w:line="252" w:lineRule="auto"/>
            </w:pPr>
            <w:r>
              <w:rPr>
                <w:sz w:val="17"/>
              </w:rPr>
              <w:t>FW028</w:t>
            </w:r>
          </w:p>
        </w:tc>
        <w:tc>
          <w:tcPr>
            <w:tcW w:type="dxa" w:w="3381"/>
          </w:tcPr>
          <w:p>
            <w:pPr>
              <w:spacing w:after="0" w:line="252" w:lineRule="auto"/>
            </w:pPr>
            <w:r>
              <w:rPr>
                <w:sz w:val="17"/>
              </w:rPr>
              <w:t>FORCE (Standard): System wählt die nächste Zugriffsöffnung, andere sind gesperrt. FREE: nächste Öffnung wird vorgeschlagen, Benutzer wählt frei</w:t>
            </w:r>
          </w:p>
        </w:tc>
      </w:tr>
      <w:tr>
        <w:tc>
          <w:tcPr>
            <w:tcW w:type="dxa" w:w="3381"/>
          </w:tcPr>
          <w:p>
            <w:pPr>
              <w:spacing w:after="0" w:line="252" w:lineRule="auto"/>
            </w:pPr>
            <w:r>
              <w:rPr>
                <w:rFonts w:ascii="Consolas" w:hAnsi="Consolas" w:cs="Consolas" w:eastAsia="Consolas"/>
                <w:sz w:val="15"/>
              </w:rPr>
              <w:t>logimat.cyclingMode</w:t>
            </w:r>
          </w:p>
        </w:tc>
        <w:tc>
          <w:tcPr>
            <w:tcW w:type="dxa" w:w="2762"/>
          </w:tcPr>
          <w:p>
            <w:pPr>
              <w:spacing w:after="0" w:line="252" w:lineRule="auto"/>
            </w:pPr>
            <w:r>
              <w:rPr>
                <w:sz w:val="17"/>
              </w:rPr>
              <w:t>FW028</w:t>
            </w:r>
          </w:p>
        </w:tc>
        <w:tc>
          <w:tcPr>
            <w:tcW w:type="dxa" w:w="3381"/>
          </w:tcPr>
          <w:p>
            <w:pPr>
              <w:spacing w:after="0" w:line="252" w:lineRule="auto"/>
            </w:pPr>
            <w:r>
              <w:rPr>
                <w:sz w:val="17"/>
              </w:rPr>
              <w:t>Ob Öffnungen sequenziell gewählt werden (Installationshandbuch); Admin: „Reihenfolge der Auftragsausführung“</w:t>
            </w:r>
          </w:p>
        </w:tc>
      </w:tr>
      <w:tr>
        <w:tc>
          <w:tcPr>
            <w:tcW w:type="dxa" w:w="3381"/>
          </w:tcPr>
          <w:p>
            <w:pPr>
              <w:spacing w:after="0" w:line="252" w:lineRule="auto"/>
            </w:pPr>
            <w:r>
              <w:rPr>
                <w:rFonts w:ascii="Consolas" w:hAnsi="Consolas" w:cs="Consolas" w:eastAsia="Consolas"/>
                <w:sz w:val="15"/>
              </w:rPr>
              <w:t>logimat.trayrequest.activateToSameLevelOnly</w:t>
            </w:r>
          </w:p>
        </w:tc>
        <w:tc>
          <w:tcPr>
            <w:tcW w:type="dxa" w:w="2762"/>
          </w:tcPr>
          <w:p>
            <w:pPr>
              <w:spacing w:after="0" w:line="252" w:lineRule="auto"/>
            </w:pPr>
            <w:r>
              <w:rPr>
                <w:sz w:val="17"/>
              </w:rPr>
              <w:t>FW028</w:t>
            </w:r>
          </w:p>
        </w:tc>
        <w:tc>
          <w:tcPr>
            <w:tcW w:type="dxa" w:w="3381"/>
          </w:tcPr>
          <w:p>
            <w:pPr>
              <w:spacing w:after="0" w:line="252" w:lineRule="auto"/>
            </w:pPr>
            <w:r>
              <w:rPr>
                <w:sz w:val="17"/>
              </w:rPr>
              <w:t>Tablaranforderungen nur auf derselben Ebene wie die erste Zugriffsöffnung aktivieren</w:t>
            </w:r>
          </w:p>
        </w:tc>
      </w:tr>
      <w:tr>
        <w:tc>
          <w:tcPr>
            <w:tcW w:type="dxa" w:w="3381"/>
          </w:tcPr>
          <w:p>
            <w:pPr>
              <w:spacing w:after="0" w:line="252" w:lineRule="auto"/>
            </w:pPr>
            <w:r>
              <w:rPr>
                <w:rFonts w:ascii="Consolas" w:hAnsi="Consolas" w:cs="Consolas" w:eastAsia="Consolas"/>
                <w:sz w:val="15"/>
              </w:rPr>
              <w:t>logimat.demand.sendTrayBack</w:t>
            </w:r>
            <w:r>
              <w:rPr>
                <w:sz w:val="17"/>
              </w:rPr>
              <w:t xml:space="preserve">, </w:t>
            </w:r>
            <w:r>
              <w:rPr>
                <w:rFonts w:ascii="Consolas" w:hAnsi="Consolas" w:cs="Consolas" w:eastAsia="Consolas"/>
                <w:sz w:val="15"/>
              </w:rPr>
              <w:t>logimat.send.tray.back.delay</w:t>
            </w:r>
          </w:p>
        </w:tc>
        <w:tc>
          <w:tcPr>
            <w:tcW w:type="dxa" w:w="2762"/>
          </w:tcPr>
          <w:p>
            <w:pPr>
              <w:spacing w:after="0" w:line="252" w:lineRule="auto"/>
            </w:pPr>
            <w:r>
              <w:rPr>
                <w:sz w:val="17"/>
              </w:rPr>
              <w:t>FW028</w:t>
            </w:r>
          </w:p>
        </w:tc>
        <w:tc>
          <w:tcPr>
            <w:tcW w:type="dxa" w:w="3381"/>
          </w:tcPr>
          <w:p>
            <w:pPr>
              <w:spacing w:after="0" w:line="252" w:lineRule="auto"/>
            </w:pPr>
            <w:r>
              <w:rPr>
                <w:sz w:val="17"/>
              </w:rPr>
              <w:t>Tablar nach dem letzten Vorgang automatisch zurück; Verzögerung in Sekunden</w:t>
            </w:r>
          </w:p>
        </w:tc>
      </w:tr>
    </w:tbl>
    <w:p>
      <w:pPr>
        <w:pStyle w:val="BeschriftungSSI"/>
      </w:pPr>
      <w:r>
        <w:t>Tab. 18: Priorität und Zuteilung</w:t>
      </w:r>
    </w:p>
    <w:p>
      <w:r>
        <w:t>Express-Verhalten laut Benutzerhandbuch: Der Benutzer darf den aktuellen Vorgang beenden, dann wird ggf. das aktuelle Tablar zurückgefahren und das Tablar für den Expressbedarf geholt. Alle übrigen Tablaranforderungen warten. Mehrere Expressaufträge werden nacheinander abgeschlossen.</w:t>
      </w:r>
    </w:p>
    <w:p>
      <w:pPr>
        <w:pStyle w:val="Quelle"/>
      </w:pPr>
      <w:r>
        <w:rPr>
          <w:b/>
        </w:rPr>
        <w:t xml:space="preserve">Quelle: </w:t>
      </w:r>
      <w:r>
        <w:rPr>
          <w:sz w:val="17"/>
        </w:rPr>
        <w:t>Administratorhandbuch 2.7, Kap. 3.1.3.1, 3.11.2; Benutzerhandbuch 2.7, Kap. 6.2.2.1.2 und 6.4 (S. 131); Installationshandbuch 2.7, Kap. 6.7</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Beispiel (konstruiert, bitte prüfen)</w:t>
            </w:r>
          </w:p>
          <w:p>
            <w:pPr>
              <w:spacing w:after="40"/>
            </w:pPr>
            <w:r>
              <w:rPr>
                <w:sz w:val="19"/>
              </w:rPr>
              <w:t xml:space="preserve">Bedarf A (Normal) ist gestartet und braucht noch 3 Tablare; Bedarf B (Hoch) kommt hinzu. Bei </w:t>
            </w:r>
            <w:r>
              <w:rPr>
                <w:rFonts w:ascii="Consolas" w:hAnsi="Consolas" w:cs="Consolas" w:eastAsia="Consolas"/>
                <w:sz w:val="17"/>
              </w:rPr>
              <w:t>CONTINUE</w:t>
            </w:r>
            <w:r>
              <w:rPr>
                <w:sz w:val="19"/>
              </w:rPr>
              <w:t xml:space="preserve"> holt WAMAS zuerst die restlichen 3 Tablare für A, dann B. Bei </w:t>
            </w:r>
            <w:r>
              <w:rPr>
                <w:rFonts w:ascii="Consolas" w:hAnsi="Consolas" w:cs="Consolas" w:eastAsia="Consolas"/>
                <w:sz w:val="17"/>
              </w:rPr>
              <w:t>NORMAL</w:t>
            </w:r>
            <w:r>
              <w:rPr>
                <w:sz w:val="19"/>
              </w:rPr>
              <w:t xml:space="preserve"> wird bei der nächsten Zuteilung B vorgezogen. Ein Express-Bedarf C unterbricht in beiden Fällen nach dem laufenden Vorgang.</w:t>
            </w:r>
          </w:p>
        </w:tc>
      </w:tr>
    </w:tbl>
    <w:p>
      <w:pPr>
        <w:spacing w:after="40"/>
      </w:pPr>
    </w:p>
    <w:p>
      <w:pPr>
        <w:pStyle w:val="Heading2"/>
      </w:pPr>
      <w:r>
        <w:t>7.4 Freigabe, Aktivierung, Abschluss und Benutzerwahl</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671"/>
        <w:gridCol w:w="3368"/>
        <w:gridCol w:w="3484"/>
      </w:tblGrid>
      <w:tr>
        <w:trPr>
          <w:tblHeader w:val="true"/>
        </w:trPr>
        <w:tc>
          <w:tcPr>
            <w:tcW w:type="dxa" w:w="2671"/>
            <w:shd w:val="clear" w:color="auto" w:fill="FEEE19"/>
          </w:tcPr>
          <w:p>
            <w:pPr>
              <w:spacing w:after="0"/>
            </w:pPr>
            <w:r>
              <w:rPr>
                <w:b/>
                <w:sz w:val="17"/>
              </w:rPr>
              <w:t>Einstellung</w:t>
            </w:r>
          </w:p>
        </w:tc>
        <w:tc>
          <w:tcPr>
            <w:tcW w:type="dxa" w:w="3368"/>
            <w:shd w:val="clear" w:color="auto" w:fill="FEEE19"/>
          </w:tcPr>
          <w:p>
            <w:pPr>
              <w:spacing w:after="0"/>
            </w:pPr>
            <w:r>
              <w:rPr>
                <w:b/>
                <w:sz w:val="17"/>
              </w:rPr>
              <w:t>Werte</w:t>
            </w:r>
          </w:p>
        </w:tc>
        <w:tc>
          <w:tcPr>
            <w:tcW w:type="dxa" w:w="3485"/>
            <w:shd w:val="clear" w:color="auto" w:fill="FEEE19"/>
          </w:tcPr>
          <w:p>
            <w:pPr>
              <w:spacing w:after="0"/>
            </w:pPr>
            <w:r>
              <w:rPr>
                <w:b/>
                <w:sz w:val="17"/>
              </w:rPr>
              <w:t>Wirkung</w:t>
            </w:r>
          </w:p>
        </w:tc>
      </w:tr>
      <w:tr>
        <w:tc>
          <w:tcPr>
            <w:tcW w:type="dxa" w:w="2671"/>
          </w:tcPr>
          <w:p>
            <w:pPr>
              <w:spacing w:after="0" w:line="252" w:lineRule="auto"/>
            </w:pPr>
            <w:r>
              <w:rPr>
                <w:rFonts w:ascii="Consolas" w:hAnsi="Consolas" w:cs="Consolas" w:eastAsia="Consolas"/>
                <w:sz w:val="15"/>
              </w:rPr>
              <w:t>Freigabemodus</w:t>
            </w:r>
          </w:p>
        </w:tc>
        <w:tc>
          <w:tcPr>
            <w:tcW w:type="dxa" w:w="3368"/>
          </w:tcPr>
          <w:p>
            <w:pPr>
              <w:spacing w:after="0" w:line="252" w:lineRule="auto"/>
            </w:pPr>
            <w:r>
              <w:rPr>
                <w:sz w:val="17"/>
              </w:rPr>
              <w:t>Automatisch / Manuell</w:t>
            </w:r>
          </w:p>
        </w:tc>
        <w:tc>
          <w:tcPr>
            <w:tcW w:type="dxa" w:w="3485"/>
          </w:tcPr>
          <w:p>
            <w:pPr>
              <w:spacing w:after="0" w:line="252" w:lineRule="auto"/>
            </w:pPr>
            <w:r>
              <w:rPr>
                <w:sz w:val="17"/>
              </w:rPr>
              <w:t>Bedarf wird automatisch oder vom Benutzer freigegeben</w:t>
            </w:r>
          </w:p>
        </w:tc>
      </w:tr>
      <w:tr>
        <w:tc>
          <w:tcPr>
            <w:tcW w:type="dxa" w:w="2671"/>
          </w:tcPr>
          <w:p>
            <w:pPr>
              <w:spacing w:after="0" w:line="252" w:lineRule="auto"/>
            </w:pPr>
            <w:r>
              <w:rPr>
                <w:rFonts w:ascii="Consolas" w:hAnsi="Consolas" w:cs="Consolas" w:eastAsia="Consolas"/>
                <w:sz w:val="15"/>
              </w:rPr>
              <w:t>Aktivierungsmodus</w:t>
            </w:r>
          </w:p>
        </w:tc>
        <w:tc>
          <w:tcPr>
            <w:tcW w:type="dxa" w:w="3368"/>
          </w:tcPr>
          <w:p>
            <w:pPr>
              <w:spacing w:after="0" w:line="252" w:lineRule="auto"/>
            </w:pPr>
            <w:r>
              <w:rPr>
                <w:sz w:val="17"/>
              </w:rPr>
              <w:t>Automatisch / Manuell</w:t>
            </w:r>
          </w:p>
        </w:tc>
        <w:tc>
          <w:tcPr>
            <w:tcW w:type="dxa" w:w="3485"/>
          </w:tcPr>
          <w:p>
            <w:pPr>
              <w:spacing w:after="0" w:line="252" w:lineRule="auto"/>
            </w:pPr>
            <w:r>
              <w:rPr>
                <w:sz w:val="17"/>
              </w:rPr>
              <w:t>Automatisch nach Reservierung oder manuell in LM040</w:t>
            </w:r>
          </w:p>
        </w:tc>
      </w:tr>
      <w:tr>
        <w:tc>
          <w:tcPr>
            <w:tcW w:type="dxa" w:w="2671"/>
          </w:tcPr>
          <w:p>
            <w:pPr>
              <w:spacing w:after="0" w:line="252" w:lineRule="auto"/>
            </w:pPr>
            <w:r>
              <w:rPr>
                <w:rFonts w:ascii="Consolas" w:hAnsi="Consolas" w:cs="Consolas" w:eastAsia="Consolas"/>
                <w:sz w:val="15"/>
              </w:rPr>
              <w:t>Abschlussmodus</w:t>
            </w:r>
          </w:p>
        </w:tc>
        <w:tc>
          <w:tcPr>
            <w:tcW w:type="dxa" w:w="3368"/>
          </w:tcPr>
          <w:p>
            <w:pPr>
              <w:spacing w:after="0" w:line="252" w:lineRule="auto"/>
            </w:pPr>
            <w:r>
              <w:rPr>
                <w:sz w:val="17"/>
              </w:rPr>
              <w:t>Automatisch / Manuell</w:t>
            </w:r>
          </w:p>
        </w:tc>
        <w:tc>
          <w:tcPr>
            <w:tcW w:type="dxa" w:w="3485"/>
          </w:tcPr>
          <w:p>
            <w:pPr>
              <w:spacing w:after="0" w:line="252" w:lineRule="auto"/>
            </w:pPr>
            <w:r>
              <w:rPr>
                <w:sz w:val="17"/>
              </w:rPr>
              <w:t>Bedarf schließt automatisch oder nach Bestätigung</w:t>
            </w:r>
          </w:p>
        </w:tc>
      </w:tr>
      <w:tr>
        <w:tc>
          <w:tcPr>
            <w:tcW w:type="dxa" w:w="2671"/>
          </w:tcPr>
          <w:p>
            <w:pPr>
              <w:spacing w:after="0" w:line="252" w:lineRule="auto"/>
            </w:pPr>
            <w:r>
              <w:rPr>
                <w:rFonts w:ascii="Consolas" w:hAnsi="Consolas" w:cs="Consolas" w:eastAsia="Consolas"/>
                <w:sz w:val="15"/>
              </w:rPr>
              <w:t>Aktivierungsstrategie</w:t>
            </w:r>
          </w:p>
        </w:tc>
        <w:tc>
          <w:tcPr>
            <w:tcW w:type="dxa" w:w="3368"/>
          </w:tcPr>
          <w:p>
            <w:pPr>
              <w:spacing w:after="0" w:line="252" w:lineRule="auto"/>
            </w:pPr>
            <w:r>
              <w:rPr>
                <w:b/>
                <w:sz w:val="17"/>
              </w:rPr>
              <w:t>Erster Benutzer</w:t>
            </w:r>
            <w:r>
              <w:rPr>
                <w:sz w:val="17"/>
              </w:rPr>
              <w:t xml:space="preserve"> (Standard) / </w:t>
            </w:r>
            <w:r>
              <w:rPr>
                <w:b/>
                <w:sz w:val="17"/>
              </w:rPr>
              <w:t>Arbeitslastverteilung</w:t>
            </w:r>
          </w:p>
        </w:tc>
        <w:tc>
          <w:tcPr>
            <w:tcW w:type="dxa" w:w="3485"/>
          </w:tcPr>
          <w:p>
            <w:pPr>
              <w:spacing w:after="0" w:line="252" w:lineRule="auto"/>
            </w:pPr>
            <w:r>
              <w:rPr>
                <w:sz w:val="17"/>
              </w:rPr>
              <w:t>Erster fähiger Benutzer bzw. Benutzer mit weniger zugeordneten Bedarfen; nur bei automatischer Aktivierung</w:t>
            </w:r>
          </w:p>
        </w:tc>
      </w:tr>
      <w:tr>
        <w:tc>
          <w:tcPr>
            <w:tcW w:type="dxa" w:w="2671"/>
          </w:tcPr>
          <w:p>
            <w:pPr>
              <w:spacing w:after="0" w:line="252" w:lineRule="auto"/>
            </w:pPr>
            <w:r>
              <w:rPr>
                <w:rFonts w:ascii="Consolas" w:hAnsi="Consolas" w:cs="Consolas" w:eastAsia="Consolas"/>
                <w:sz w:val="15"/>
              </w:rPr>
              <w:t>logimat.picking/storage/inventory.batchSize</w:t>
            </w:r>
          </w:p>
        </w:tc>
        <w:tc>
          <w:tcPr>
            <w:tcW w:type="dxa" w:w="3368"/>
          </w:tcPr>
          <w:p>
            <w:pPr>
              <w:spacing w:after="0" w:line="252" w:lineRule="auto"/>
            </w:pPr>
            <w:r>
              <w:rPr>
                <w:sz w:val="17"/>
              </w:rPr>
              <w:t>Integer, 0 = unbegrenzt</w:t>
            </w:r>
          </w:p>
        </w:tc>
        <w:tc>
          <w:tcPr>
            <w:tcW w:type="dxa" w:w="3485"/>
          </w:tcPr>
          <w:p>
            <w:pPr>
              <w:spacing w:after="0" w:line="252" w:lineRule="auto"/>
            </w:pPr>
            <w:r>
              <w:rPr>
                <w:sz w:val="17"/>
              </w:rPr>
              <w:t>Batchgröße, in der Bedarfe verarbeitet bzw. aktiviert werden</w:t>
            </w:r>
          </w:p>
        </w:tc>
      </w:tr>
      <w:tr>
        <w:tc>
          <w:tcPr>
            <w:tcW w:type="dxa" w:w="2671"/>
          </w:tcPr>
          <w:p>
            <w:pPr>
              <w:spacing w:after="0" w:line="252" w:lineRule="auto"/>
            </w:pPr>
            <w:r>
              <w:rPr>
                <w:rFonts w:ascii="Consolas" w:hAnsi="Consolas" w:cs="Consolas" w:eastAsia="Consolas"/>
                <w:sz w:val="15"/>
              </w:rPr>
              <w:t>logimat.picking/storage/inventory.maxRelease</w:t>
            </w:r>
          </w:p>
        </w:tc>
        <w:tc>
          <w:tcPr>
            <w:tcW w:type="dxa" w:w="3368"/>
          </w:tcPr>
          <w:p>
            <w:pPr>
              <w:spacing w:after="0" w:line="252" w:lineRule="auto"/>
            </w:pPr>
            <w:r>
              <w:rPr>
                <w:sz w:val="17"/>
              </w:rPr>
              <w:t>Integer, 0 = unbegrenzt</w:t>
            </w:r>
          </w:p>
        </w:tc>
        <w:tc>
          <w:tcPr>
            <w:tcW w:type="dxa" w:w="3485"/>
          </w:tcPr>
          <w:p>
            <w:pPr>
              <w:spacing w:after="0" w:line="252" w:lineRule="auto"/>
            </w:pPr>
            <w:r>
              <w:rPr>
                <w:sz w:val="17"/>
              </w:rPr>
              <w:t>Maximale Anzahl automatisch freigegebener Bedarfe; nur mit Aktivierungsmodus AUTOMATIC</w:t>
            </w:r>
          </w:p>
        </w:tc>
      </w:tr>
      <w:tr>
        <w:tc>
          <w:tcPr>
            <w:tcW w:type="dxa" w:w="2671"/>
          </w:tcPr>
          <w:p>
            <w:pPr>
              <w:spacing w:after="0" w:line="252" w:lineRule="auto"/>
            </w:pPr>
            <w:r>
              <w:rPr>
                <w:rFonts w:ascii="Consolas" w:hAnsi="Consolas" w:cs="Consolas" w:eastAsia="Consolas"/>
                <w:sz w:val="15"/>
              </w:rPr>
              <w:t>logimat.trayrequest.batchSize</w:t>
            </w:r>
          </w:p>
        </w:tc>
        <w:tc>
          <w:tcPr>
            <w:tcW w:type="dxa" w:w="3368"/>
          </w:tcPr>
          <w:p>
            <w:pPr>
              <w:spacing w:after="0" w:line="252" w:lineRule="auto"/>
            </w:pPr>
            <w:r>
              <w:rPr>
                <w:sz w:val="17"/>
              </w:rPr>
              <w:t>Integer, 0 = unbegrenzt</w:t>
            </w:r>
          </w:p>
        </w:tc>
        <w:tc>
          <w:tcPr>
            <w:tcW w:type="dxa" w:w="3485"/>
          </w:tcPr>
          <w:p>
            <w:pPr>
              <w:spacing w:after="0" w:line="252" w:lineRule="auto"/>
            </w:pPr>
            <w:r>
              <w:rPr>
                <w:sz w:val="17"/>
              </w:rPr>
              <w:t>Batchgröße für Tablaranforderungen</w:t>
            </w:r>
          </w:p>
        </w:tc>
      </w:tr>
    </w:tbl>
    <w:p>
      <w:pPr>
        <w:pStyle w:val="BeschriftungSSI"/>
      </w:pPr>
      <w:r>
        <w:t>Tab. 19: Ausführungssteuerung je Bedarfstyp (MD017) und global (FW028)</w:t>
      </w:r>
    </w:p>
    <w:p>
      <w:pPr>
        <w:pStyle w:val="Quelle"/>
      </w:pPr>
      <w:r>
        <w:rPr>
          <w:b/>
        </w:rPr>
        <w:t xml:space="preserve">Quelle: </w:t>
      </w:r>
      <w:r>
        <w:rPr>
          <w:sz w:val="17"/>
        </w:rPr>
        <w:t>Administratorhandbuch 2.7, Kap. 3.6.1.10–3.6.1.12 (S. 108–114), 3.11.2; Consultant Training Part 1</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In den Unterlagen nicht beschrieben</w:t>
            </w:r>
          </w:p>
          <w:p>
            <w:pPr>
              <w:spacing w:after="40"/>
            </w:pPr>
            <w:r>
              <w:rPr>
                <w:rFonts w:ascii="Consolas" w:hAnsi="Consolas" w:cs="Consolas" w:eastAsia="Consolas"/>
                <w:sz w:val="17"/>
              </w:rPr>
              <w:t>logimat.picking.reservation.version</w:t>
            </w:r>
            <w:r>
              <w:rPr>
                <w:sz w:val="19"/>
              </w:rPr>
              <w:t xml:space="preserve"> und </w:t>
            </w:r>
            <w:r>
              <w:rPr>
                <w:rFonts w:ascii="Consolas" w:hAnsi="Consolas" w:cs="Consolas" w:eastAsia="Consolas"/>
                <w:sz w:val="17"/>
              </w:rPr>
              <w:t>logimat.storage.reservation.version</w:t>
            </w:r>
            <w:r>
              <w:rPr>
                <w:sz w:val="19"/>
              </w:rPr>
              <w:t xml:space="preserve"> („Gibt den verwendeten Reservierungsmodus an“) sind ohne Werte dokumentiert. Das Installationshandbuch nennt außerdem </w:t>
            </w:r>
            <w:r>
              <w:rPr>
                <w:rFonts w:ascii="Consolas" w:hAnsi="Consolas" w:cs="Consolas" w:eastAsia="Consolas"/>
                <w:sz w:val="17"/>
              </w:rPr>
              <w:t>logimat.picking.activationStrategy</w:t>
            </w:r>
            <w:r>
              <w:rPr>
                <w:sz w:val="19"/>
              </w:rPr>
              <w:t xml:space="preserve"> / </w:t>
            </w:r>
            <w:r>
              <w:rPr>
                <w:rFonts w:ascii="Consolas" w:hAnsi="Consolas" w:cs="Consolas" w:eastAsia="Consolas"/>
                <w:sz w:val="17"/>
              </w:rPr>
              <w:t>logimat.storage.activationStrategy</w:t>
            </w:r>
            <w:r>
              <w:rPr>
                <w:sz w:val="19"/>
              </w:rPr>
              <w:t xml:space="preserve"> (Standard </w:t>
            </w:r>
            <w:r>
              <w:rPr>
                <w:rFonts w:ascii="Consolas" w:hAnsi="Consolas" w:cs="Consolas" w:eastAsia="Consolas"/>
                <w:sz w:val="17"/>
              </w:rPr>
              <w:t>FIRST_USER</w:t>
            </w:r>
            <w:r>
              <w:rPr>
                <w:sz w:val="19"/>
              </w:rPr>
              <w:t>) als globale Parameter, die im Administratorhandbuch nur noch am Bedarfstyp vorkommen.</w:t>
            </w:r>
          </w:p>
        </w:tc>
      </w:tr>
    </w:tbl>
    <w:p>
      <w:pPr>
        <w:spacing w:after="40"/>
      </w:pPr>
    </w:p>
    <w:p>
      <w:pPr>
        <w:pStyle w:val="Heading1"/>
      </w:pPr>
      <w:r>
        <w:t>8 Konsolidierung</w:t>
      </w:r>
    </w:p>
    <w:p>
      <w:pPr>
        <w:pStyle w:val="Heading2"/>
      </w:pPr>
      <w:r>
        <w:t>8.1 Boxen am Touch-Client konsolidieren</w:t>
      </w:r>
    </w:p>
    <w:p>
      <w:r>
        <w:t>Ziel: Die Anzahl der Boxen mit derselben Artikelzuordnung auf einem Tablar reduzieren.</w:t>
      </w:r>
    </w:p>
    <w:p>
      <w:pPr>
        <w:tabs>
          <w:tab w:pos="425" w:val="left"/>
        </w:tabs>
        <w:spacing w:after="60"/>
        <w:ind w:left="425" w:hanging="425"/>
      </w:pPr>
      <w:r>
        <w:rPr>
          <w:b/>
        </w:rPr>
        <w:t>1.</w:t>
        <w:tab/>
      </w:r>
      <w:r>
        <w:t xml:space="preserve">Tablar in der Zugriffsöffnung, Dialog </w:t>
      </w:r>
      <w:r>
        <w:rPr>
          <w:b/>
        </w:rPr>
        <w:t>LM002 Ausführen von Tablarvorgängen</w:t>
      </w:r>
      <w:r>
        <w:t xml:space="preserve"> offen.</w:t>
      </w:r>
    </w:p>
    <w:p>
      <w:pPr>
        <w:tabs>
          <w:tab w:pos="425" w:val="left"/>
        </w:tabs>
        <w:spacing w:after="60"/>
        <w:ind w:left="425" w:hanging="425"/>
      </w:pPr>
      <w:r>
        <w:rPr>
          <w:b/>
        </w:rPr>
        <w:t>2.</w:t>
        <w:tab/>
      </w:r>
      <w:r>
        <w:t xml:space="preserve">Im Tablarlayout die Quellbox wählen (Artikel zugeordnet, Bestand vorhanden), Icon </w:t>
      </w:r>
      <w:r>
        <w:rPr>
          <w:b/>
        </w:rPr>
        <w:t>Verdichten</w:t>
      </w:r>
      <w:r>
        <w:t xml:space="preserve">, </w:t>
      </w:r>
      <w:r>
        <w:rPr>
          <w:b/>
        </w:rPr>
        <w:t>OK</w:t>
      </w:r>
      <w:r>
        <w:t>.</w:t>
      </w:r>
    </w:p>
    <w:p>
      <w:pPr>
        <w:tabs>
          <w:tab w:pos="425" w:val="left"/>
        </w:tabs>
        <w:spacing w:after="60"/>
        <w:ind w:left="425" w:hanging="425"/>
      </w:pPr>
      <w:r>
        <w:rPr>
          <w:b/>
        </w:rPr>
        <w:t>3.</w:t>
        <w:tab/>
      </w:r>
      <w:r>
        <w:t>Eine der hervorgehobenen Zielboxen wählen; nicht hervorgehobene Boxen sind unzulässig.</w:t>
      </w:r>
    </w:p>
    <w:p>
      <w:pPr>
        <w:tabs>
          <w:tab w:pos="425" w:val="left"/>
        </w:tabs>
        <w:spacing w:after="60"/>
        <w:ind w:left="425" w:hanging="425"/>
      </w:pPr>
      <w:r>
        <w:rPr>
          <w:b/>
        </w:rPr>
        <w:t>4.</w:t>
        <w:tab/>
      </w:r>
      <w:r>
        <w:t xml:space="preserve">Menge über </w:t>
      </w:r>
      <w:r>
        <w:rPr>
          <w:b/>
        </w:rPr>
        <w:t>+</w:t>
      </w:r>
      <w:r>
        <w:t>/</w:t>
      </w:r>
      <w:r>
        <w:rPr>
          <w:b/>
        </w:rPr>
        <w:t>−</w:t>
      </w:r>
      <w:r>
        <w:t xml:space="preserve"> oder Tastatur eingeben, ggf. Mengeneinheit, </w:t>
      </w:r>
      <w:r>
        <w:rPr>
          <w:b/>
        </w:rPr>
        <w:t>OK</w:t>
      </w:r>
      <w:r>
        <w:t>.</w:t>
      </w:r>
    </w:p>
    <w:p>
      <w:pPr>
        <w:tabs>
          <w:tab w:pos="425" w:val="left"/>
        </w:tabs>
        <w:spacing w:after="60"/>
        <w:ind w:left="425" w:hanging="425"/>
      </w:pPr>
      <w:r>
        <w:rPr>
          <w:b/>
        </w:rPr>
        <w:t>5.</w:t>
        <w:tab/>
      </w:r>
      <w:r>
        <w:t xml:space="preserve">Wurde die Quellbox ganz geleert und ist der Zuordnungsmodus </w:t>
      </w:r>
      <w:r>
        <w:rPr>
          <w:b/>
        </w:rPr>
        <w:t>Standard</w:t>
      </w:r>
      <w:r>
        <w:t>, fragt WAMAS, ob die Artikel-zu-Box-Zuordnung entfernt werden soll.</w:t>
      </w:r>
    </w:p>
    <w:p>
      <w:r>
        <w:t xml:space="preserve">Einschränkungen: Bei Einlagerbedarfsreservierungen zeigt WAMAS die maximal freie Menge; Änderungen an Tablar oder Box während des Vorgangs führen zu einer Fehlermeldung. Für den Prozess </w:t>
      </w:r>
      <w:r>
        <w:rPr>
          <w:b/>
        </w:rPr>
        <w:t>Konsolidierung</w:t>
      </w:r>
      <w:r>
        <w:t xml:space="preserve"> lassen sich in </w:t>
      </w:r>
      <w:r>
        <w:rPr>
          <w:b/>
        </w:rPr>
        <w:t>LM060</w:t>
      </w:r>
      <w:r>
        <w:t xml:space="preserve"> eigene Bestätigungsarten und in LM053 ein eigenes Touch-Layout pflegen.</w:t>
      </w:r>
    </w:p>
    <w:p>
      <w:pPr>
        <w:pStyle w:val="Quelle"/>
      </w:pPr>
      <w:r>
        <w:rPr>
          <w:b/>
        </w:rPr>
        <w:t xml:space="preserve">Quelle: </w:t>
      </w:r>
      <w:r>
        <w:rPr>
          <w:sz w:val="17"/>
        </w:rPr>
        <w:t>Benutzerhandbuch 2.7, Kap. 6.1.6 (S. 86–87); Administratorhandbuch 2.7, Kap. 3.1.3.3, 3.1.6 (S. 21)</w:t>
      </w:r>
    </w:p>
    <w:p>
      <w:pPr>
        <w:pStyle w:val="Heading2"/>
      </w:pPr>
      <w:r>
        <w:t>8.2 Konsolidierung durch Einstellungen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528"/>
        <w:gridCol w:w="2469"/>
        <w:gridCol w:w="3528"/>
      </w:tblGrid>
      <w:tr>
        <w:trPr>
          <w:tblHeader w:val="true"/>
        </w:trPr>
        <w:tc>
          <w:tcPr>
            <w:tcW w:type="dxa" w:w="3528"/>
            <w:shd w:val="clear" w:color="auto" w:fill="FEEE19"/>
          </w:tcPr>
          <w:p>
            <w:pPr>
              <w:spacing w:after="0"/>
            </w:pPr>
            <w:r>
              <w:rPr>
                <w:b/>
                <w:sz w:val="17"/>
              </w:rPr>
              <w:t>Einstellung</w:t>
            </w:r>
          </w:p>
        </w:tc>
        <w:tc>
          <w:tcPr>
            <w:tcW w:type="dxa" w:w="2469"/>
            <w:shd w:val="clear" w:color="auto" w:fill="FEEE19"/>
          </w:tcPr>
          <w:p>
            <w:pPr>
              <w:spacing w:after="0"/>
            </w:pPr>
            <w:r>
              <w:rPr>
                <w:b/>
                <w:sz w:val="17"/>
              </w:rPr>
              <w:t>Ort</w:t>
            </w:r>
          </w:p>
        </w:tc>
        <w:tc>
          <w:tcPr>
            <w:tcW w:type="dxa" w:w="3528"/>
            <w:shd w:val="clear" w:color="auto" w:fill="FEEE19"/>
          </w:tcPr>
          <w:p>
            <w:pPr>
              <w:spacing w:after="0"/>
            </w:pPr>
            <w:r>
              <w:rPr>
                <w:b/>
                <w:sz w:val="17"/>
              </w:rPr>
              <w:t>Wirkung</w:t>
            </w:r>
          </w:p>
        </w:tc>
      </w:tr>
      <w:tr>
        <w:tc>
          <w:tcPr>
            <w:tcW w:type="dxa" w:w="3528"/>
          </w:tcPr>
          <w:p>
            <w:pPr>
              <w:spacing w:after="0" w:line="252" w:lineRule="auto"/>
            </w:pPr>
            <w:r>
              <w:rPr>
                <w:rFonts w:ascii="Consolas" w:hAnsi="Consolas" w:cs="Consolas" w:eastAsia="Consolas"/>
                <w:sz w:val="15"/>
              </w:rPr>
              <w:t>logimat.storage.wcs.workingMode</w:t>
            </w:r>
            <w:r>
              <w:rPr>
                <w:sz w:val="17"/>
              </w:rPr>
              <w:t xml:space="preserve"> = </w:t>
            </w:r>
            <w:r>
              <w:rPr>
                <w:rFonts w:ascii="Consolas" w:hAnsi="Consolas" w:cs="Consolas" w:eastAsia="Consolas"/>
                <w:sz w:val="15"/>
              </w:rPr>
              <w:t>PARTIAL_QUANTITY</w:t>
            </w:r>
            <w:r>
              <w:rPr>
                <w:sz w:val="17"/>
              </w:rPr>
              <w:t xml:space="preserve"> (Standard)</w:t>
            </w:r>
          </w:p>
        </w:tc>
        <w:tc>
          <w:tcPr>
            <w:tcW w:type="dxa" w:w="2469"/>
          </w:tcPr>
          <w:p>
            <w:pPr>
              <w:spacing w:after="0" w:line="252" w:lineRule="auto"/>
            </w:pPr>
            <w:r>
              <w:rPr>
                <w:sz w:val="17"/>
              </w:rPr>
              <w:t>FW028</w:t>
            </w:r>
          </w:p>
        </w:tc>
        <w:tc>
          <w:tcPr>
            <w:tcW w:type="dxa" w:w="3528"/>
          </w:tcPr>
          <w:p>
            <w:pPr>
              <w:spacing w:after="0" w:line="252" w:lineRule="auto"/>
            </w:pPr>
            <w:r>
              <w:rPr>
                <w:sz w:val="17"/>
              </w:rPr>
              <w:t>Im WCS-Szenario werden bestehende Boxen für die Einlagerung konsolidiert</w:t>
            </w:r>
          </w:p>
        </w:tc>
      </w:tr>
      <w:tr>
        <w:tc>
          <w:tcPr>
            <w:tcW w:type="dxa" w:w="3528"/>
          </w:tcPr>
          <w:p>
            <w:pPr>
              <w:spacing w:after="0" w:line="252" w:lineRule="auto"/>
            </w:pPr>
            <w:r>
              <w:rPr>
                <w:rFonts w:ascii="Consolas" w:hAnsi="Consolas" w:cs="Consolas" w:eastAsia="Consolas"/>
                <w:sz w:val="15"/>
              </w:rPr>
              <w:t>logimat.storage.wcs.workingMode</w:t>
            </w:r>
            <w:r>
              <w:rPr>
                <w:sz w:val="17"/>
              </w:rPr>
              <w:t xml:space="preserve"> = </w:t>
            </w:r>
            <w:r>
              <w:rPr>
                <w:rFonts w:ascii="Consolas" w:hAnsi="Consolas" w:cs="Consolas" w:eastAsia="Consolas"/>
                <w:sz w:val="15"/>
              </w:rPr>
              <w:t>FULL_BOX</w:t>
            </w:r>
          </w:p>
        </w:tc>
        <w:tc>
          <w:tcPr>
            <w:tcW w:type="dxa" w:w="2469"/>
          </w:tcPr>
          <w:p>
            <w:pPr>
              <w:spacing w:after="0" w:line="252" w:lineRule="auto"/>
            </w:pPr>
            <w:r>
              <w:rPr>
                <w:sz w:val="17"/>
              </w:rPr>
              <w:t>FW028</w:t>
            </w:r>
          </w:p>
        </w:tc>
        <w:tc>
          <w:tcPr>
            <w:tcW w:type="dxa" w:w="3528"/>
          </w:tcPr>
          <w:p>
            <w:pPr>
              <w:spacing w:after="0" w:line="252" w:lineRule="auto"/>
            </w:pPr>
            <w:r>
              <w:rPr>
                <w:sz w:val="17"/>
              </w:rPr>
              <w:t>Es wird automatisch eine neue Box angelegt</w:t>
            </w:r>
          </w:p>
        </w:tc>
      </w:tr>
      <w:tr>
        <w:tc>
          <w:tcPr>
            <w:tcW w:type="dxa" w:w="3528"/>
          </w:tcPr>
          <w:p>
            <w:pPr>
              <w:spacing w:after="0" w:line="252" w:lineRule="auto"/>
            </w:pPr>
            <w:r>
              <w:rPr>
                <w:rFonts w:ascii="Consolas" w:hAnsi="Consolas" w:cs="Consolas" w:eastAsia="Consolas"/>
                <w:sz w:val="15"/>
              </w:rPr>
              <w:t>Kommissionier-Plan-Ladeeinheiten konsolidieren</w:t>
            </w:r>
          </w:p>
        </w:tc>
        <w:tc>
          <w:tcPr>
            <w:tcW w:type="dxa" w:w="2469"/>
          </w:tcPr>
          <w:p>
            <w:pPr>
              <w:spacing w:after="0" w:line="252" w:lineRule="auto"/>
            </w:pPr>
            <w:r>
              <w:rPr>
                <w:sz w:val="17"/>
              </w:rPr>
              <w:t>Systempartner WMS→WCS</w:t>
            </w:r>
          </w:p>
        </w:tc>
        <w:tc>
          <w:tcPr>
            <w:tcW w:type="dxa" w:w="3528"/>
          </w:tcPr>
          <w:p>
            <w:pPr>
              <w:spacing w:after="0" w:line="252" w:lineRule="auto"/>
            </w:pPr>
            <w:r>
              <w:rPr>
                <w:sz w:val="17"/>
              </w:rPr>
              <w:t>Kommissionier-Plan-LE mit gleichem Ladehilfsmittel, gleicher Auslieferung, gleichem Kommissionierbereich und gleicher Kommissioniergruppe werden nach der Freigabe zu einem Kommissionierauftrag zusammengefasst</w:t>
            </w:r>
          </w:p>
        </w:tc>
      </w:tr>
      <w:tr>
        <w:tc>
          <w:tcPr>
            <w:tcW w:type="dxa" w:w="3528"/>
          </w:tcPr>
          <w:p>
            <w:pPr>
              <w:spacing w:after="0" w:line="252" w:lineRule="auto"/>
            </w:pPr>
            <w:r>
              <w:rPr>
                <w:sz w:val="17"/>
              </w:rPr>
              <w:t xml:space="preserve">Reservierungsstrategie </w:t>
            </w:r>
            <w:r>
              <w:rPr>
                <w:b/>
                <w:sz w:val="17"/>
              </w:rPr>
              <w:t>Belegung</w:t>
            </w:r>
            <w:r>
              <w:rPr>
                <w:sz w:val="17"/>
              </w:rPr>
              <w:t xml:space="preserve"> / </w:t>
            </w:r>
            <w:r>
              <w:rPr>
                <w:b/>
                <w:sz w:val="17"/>
              </w:rPr>
              <w:t>Fast leer</w:t>
            </w:r>
          </w:p>
        </w:tc>
        <w:tc>
          <w:tcPr>
            <w:tcW w:type="dxa" w:w="2469"/>
          </w:tcPr>
          <w:p>
            <w:pPr>
              <w:spacing w:after="0" w:line="252" w:lineRule="auto"/>
            </w:pPr>
            <w:r>
              <w:rPr>
                <w:sz w:val="17"/>
              </w:rPr>
              <w:t>Kommissionierbedarfstyp</w:t>
            </w:r>
          </w:p>
        </w:tc>
        <w:tc>
          <w:tcPr>
            <w:tcW w:type="dxa" w:w="3528"/>
          </w:tcPr>
          <w:p>
            <w:pPr>
              <w:spacing w:after="0" w:line="252" w:lineRule="auto"/>
            </w:pPr>
            <w:r>
              <w:rPr>
                <w:sz w:val="17"/>
              </w:rPr>
              <w:t>Leert Boxen gezielt und schafft Platz</w:t>
            </w:r>
          </w:p>
        </w:tc>
      </w:tr>
      <w:tr>
        <w:tc>
          <w:tcPr>
            <w:tcW w:type="dxa" w:w="3528"/>
          </w:tcPr>
          <w:p>
            <w:pPr>
              <w:spacing w:after="0" w:line="252" w:lineRule="auto"/>
            </w:pPr>
            <w:r>
              <w:rPr>
                <w:sz w:val="17"/>
              </w:rPr>
              <w:t xml:space="preserve">Lagerreservierungsstrategie </w:t>
            </w:r>
            <w:r>
              <w:rPr>
                <w:rFonts w:ascii="Consolas" w:hAnsi="Consolas" w:cs="Consolas" w:eastAsia="Consolas"/>
                <w:sz w:val="15"/>
              </w:rPr>
              <w:t>STORAGE</w:t>
            </w:r>
          </w:p>
        </w:tc>
        <w:tc>
          <w:tcPr>
            <w:tcW w:type="dxa" w:w="2469"/>
          </w:tcPr>
          <w:p>
            <w:pPr>
              <w:spacing w:after="0" w:line="252" w:lineRule="auto"/>
            </w:pPr>
            <w:r>
              <w:rPr>
                <w:sz w:val="17"/>
              </w:rPr>
              <w:t>Artikel / Warengruppe / Einlagerbedarfstyp</w:t>
            </w:r>
          </w:p>
        </w:tc>
        <w:tc>
          <w:tcPr>
            <w:tcW w:type="dxa" w:w="3528"/>
          </w:tcPr>
          <w:p>
            <w:pPr>
              <w:spacing w:after="0" w:line="252" w:lineRule="auto"/>
            </w:pPr>
            <w:r>
              <w:rPr>
                <w:sz w:val="17"/>
              </w:rPr>
              <w:t>Füllt teilbelegte Boxen vor leeren auf</w:t>
            </w:r>
          </w:p>
        </w:tc>
      </w:tr>
      <w:tr>
        <w:tc>
          <w:tcPr>
            <w:tcW w:type="dxa" w:w="3528"/>
          </w:tcPr>
          <w:p>
            <w:pPr>
              <w:spacing w:after="0" w:line="252" w:lineRule="auto"/>
            </w:pPr>
            <w:r>
              <w:rPr>
                <w:rFonts w:ascii="Consolas" w:hAnsi="Consolas" w:cs="Consolas" w:eastAsia="Consolas"/>
                <w:sz w:val="15"/>
              </w:rPr>
              <w:t>Leere Box nach Kommissionierung entfernen</w:t>
            </w:r>
          </w:p>
        </w:tc>
        <w:tc>
          <w:tcPr>
            <w:tcW w:type="dxa" w:w="2469"/>
          </w:tcPr>
          <w:p>
            <w:pPr>
              <w:spacing w:after="0" w:line="252" w:lineRule="auto"/>
            </w:pPr>
            <w:r>
              <w:rPr>
                <w:sz w:val="17"/>
              </w:rPr>
              <w:t>Kommissionierbedarfstyp</w:t>
            </w:r>
          </w:p>
        </w:tc>
        <w:tc>
          <w:tcPr>
            <w:tcW w:type="dxa" w:w="3528"/>
          </w:tcPr>
          <w:p>
            <w:pPr>
              <w:spacing w:after="0" w:line="252" w:lineRule="auto"/>
            </w:pPr>
            <w:r>
              <w:rPr>
                <w:sz w:val="17"/>
              </w:rPr>
              <w:t>Leere Boxen verlassen den LOGIMAT</w:t>
            </w:r>
          </w:p>
        </w:tc>
      </w:tr>
    </w:tbl>
    <w:p>
      <w:pPr>
        <w:pStyle w:val="BeschriftungSSI"/>
      </w:pPr>
      <w:r>
        <w:t>Tab. 20: Konsolidierende Einstellungen</w:t>
      </w:r>
    </w:p>
    <w:p>
      <w:pPr>
        <w:pStyle w:val="Quelle"/>
      </w:pPr>
      <w:r>
        <w:rPr>
          <w:b/>
        </w:rPr>
        <w:t xml:space="preserve">Quelle: </w:t>
      </w:r>
      <w:r>
        <w:rPr>
          <w:sz w:val="17"/>
        </w:rPr>
        <w:t>Administratorhandbuch 2.7, Kap. 3.5.3.1 (S. 90), 3.6.1.10, 3.11.2</w:t>
      </w:r>
    </w:p>
    <w:p>
      <w:pPr>
        <w:pStyle w:val="Heading1"/>
      </w:pPr>
      <w:r>
        <w:t>9 Strategien der WMS-Ebene (Lagerstandort)</w:t>
      </w:r>
    </w:p>
    <w:p>
      <w:r>
        <w:t>Wenn WAMAS neben den SSI LOGIMAT weitere Lagerbereiche verwaltet, wirken zusätzlich die Einstellungen des Lagerstandorts (</w:t>
      </w:r>
      <w:r>
        <w:rPr>
          <w:b/>
        </w:rPr>
        <w:t>Lagerstandort pflegen</w:t>
      </w:r>
      <w:r>
        <w:t xml:space="preserve">, Registerkarten </w:t>
      </w:r>
      <w:r>
        <w:rPr>
          <w:b/>
        </w:rPr>
        <w:t>Strategischer Lagerbereich</w:t>
      </w:r>
      <w:r>
        <w:t xml:space="preserve">, </w:t>
      </w:r>
      <w:r>
        <w:rPr>
          <w:b/>
        </w:rPr>
        <w:t>Kommissionierbereich</w:t>
      </w:r>
      <w:r>
        <w:t xml:space="preserve">, </w:t>
      </w:r>
      <w:r>
        <w:rPr>
          <w:b/>
        </w:rPr>
        <w:t>Inventurbereich</w:t>
      </w:r>
      <w:r>
        <w: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361"/>
        <w:gridCol w:w="2801"/>
        <w:gridCol w:w="3361"/>
      </w:tblGrid>
      <w:tr>
        <w:trPr>
          <w:tblHeader w:val="true"/>
        </w:trPr>
        <w:tc>
          <w:tcPr>
            <w:tcW w:type="dxa" w:w="3362"/>
            <w:shd w:val="clear" w:color="auto" w:fill="FEEE19"/>
          </w:tcPr>
          <w:p>
            <w:pPr>
              <w:spacing w:after="0"/>
            </w:pPr>
            <w:r>
              <w:rPr>
                <w:b/>
                <w:sz w:val="17"/>
              </w:rPr>
              <w:t>Einstellung</w:t>
            </w:r>
          </w:p>
        </w:tc>
        <w:tc>
          <w:tcPr>
            <w:tcW w:type="dxa" w:w="2801"/>
            <w:shd w:val="clear" w:color="auto" w:fill="FEEE19"/>
          </w:tcPr>
          <w:p>
            <w:pPr>
              <w:spacing w:after="0"/>
            </w:pPr>
            <w:r>
              <w:rPr>
                <w:b/>
                <w:sz w:val="17"/>
              </w:rPr>
              <w:t>Werte</w:t>
            </w:r>
          </w:p>
        </w:tc>
        <w:tc>
          <w:tcPr>
            <w:tcW w:type="dxa" w:w="3362"/>
            <w:shd w:val="clear" w:color="auto" w:fill="FEEE19"/>
          </w:tcPr>
          <w:p>
            <w:pPr>
              <w:spacing w:after="0"/>
            </w:pPr>
            <w:r>
              <w:rPr>
                <w:b/>
                <w:sz w:val="17"/>
              </w:rPr>
              <w:t>Wirkung</w:t>
            </w:r>
          </w:p>
        </w:tc>
      </w:tr>
      <w:tr>
        <w:tc>
          <w:tcPr>
            <w:tcW w:type="dxa" w:w="3362"/>
          </w:tcPr>
          <w:p>
            <w:pPr>
              <w:spacing w:after="0" w:line="252" w:lineRule="auto"/>
            </w:pPr>
            <w:r>
              <w:rPr>
                <w:rFonts w:ascii="Consolas" w:hAnsi="Consolas" w:cs="Consolas" w:eastAsia="Consolas"/>
                <w:sz w:val="15"/>
              </w:rPr>
              <w:t>Nachschubmodus</w:t>
            </w:r>
          </w:p>
        </w:tc>
        <w:tc>
          <w:tcPr>
            <w:tcW w:type="dxa" w:w="2801"/>
          </w:tcPr>
          <w:p>
            <w:pPr>
              <w:spacing w:after="0" w:line="252" w:lineRule="auto"/>
            </w:pPr>
            <w:r>
              <w:rPr>
                <w:sz w:val="17"/>
              </w:rPr>
              <w:t>Präventiv / Bedarfsbezogen</w:t>
            </w:r>
          </w:p>
        </w:tc>
        <w:tc>
          <w:tcPr>
            <w:tcW w:type="dxa" w:w="3362"/>
          </w:tcPr>
          <w:p>
            <w:pPr>
              <w:spacing w:after="0" w:line="252" w:lineRule="auto"/>
            </w:pPr>
            <w:r>
              <w:rPr>
                <w:sz w:val="17"/>
              </w:rPr>
              <w:t>Nachschub bei Unterschreiten des Schwellenwerts (WH038) bzw. wenn die Menge für Kommissionier-Plan-LE/Auftrag nicht reicht</w:t>
            </w:r>
          </w:p>
        </w:tc>
      </w:tr>
      <w:tr>
        <w:tc>
          <w:tcPr>
            <w:tcW w:type="dxa" w:w="3362"/>
          </w:tcPr>
          <w:p>
            <w:pPr>
              <w:spacing w:after="0" w:line="252" w:lineRule="auto"/>
            </w:pPr>
            <w:r>
              <w:rPr>
                <w:rFonts w:ascii="Consolas" w:hAnsi="Consolas" w:cs="Consolas" w:eastAsia="Consolas"/>
                <w:sz w:val="15"/>
              </w:rPr>
              <w:t>Einlagerungsreservierungsart</w:t>
            </w:r>
          </w:p>
        </w:tc>
        <w:tc>
          <w:tcPr>
            <w:tcW w:type="dxa" w:w="2801"/>
          </w:tcPr>
          <w:p>
            <w:pPr>
              <w:spacing w:after="0" w:line="252" w:lineRule="auto"/>
            </w:pPr>
            <w:r>
              <w:rPr>
                <w:sz w:val="17"/>
              </w:rPr>
              <w:t>Vorläufig / Standard / Optional / Keine</w:t>
            </w:r>
          </w:p>
        </w:tc>
        <w:tc>
          <w:tcPr>
            <w:tcW w:type="dxa" w:w="3362"/>
          </w:tcPr>
          <w:p>
            <w:pPr>
              <w:spacing w:after="0" w:line="252" w:lineRule="auto"/>
            </w:pPr>
            <w:r>
              <w:rPr>
                <w:sz w:val="17"/>
              </w:rPr>
              <w:t>Wie Lagerplätze bei der Lagerplatzsuche reserviert werden</w:t>
            </w:r>
          </w:p>
        </w:tc>
      </w:tr>
      <w:tr>
        <w:tc>
          <w:tcPr>
            <w:tcW w:type="dxa" w:w="3362"/>
          </w:tcPr>
          <w:p>
            <w:pPr>
              <w:spacing w:after="0" w:line="252" w:lineRule="auto"/>
            </w:pPr>
            <w:r>
              <w:rPr>
                <w:rFonts w:ascii="Consolas" w:hAnsi="Consolas" w:cs="Consolas" w:eastAsia="Consolas"/>
                <w:sz w:val="15"/>
              </w:rPr>
              <w:t>LP-Suchtyp</w:t>
            </w:r>
          </w:p>
        </w:tc>
        <w:tc>
          <w:tcPr>
            <w:tcW w:type="dxa" w:w="2801"/>
          </w:tcPr>
          <w:p>
            <w:pPr>
              <w:spacing w:after="0" w:line="252" w:lineRule="auto"/>
            </w:pPr>
            <w:r>
              <w:rPr>
                <w:sz w:val="17"/>
              </w:rPr>
              <w:t xml:space="preserve">aus </w:t>
            </w:r>
            <w:r>
              <w:rPr>
                <w:b/>
                <w:sz w:val="17"/>
              </w:rPr>
              <w:t>WH027</w:t>
            </w:r>
            <w:r>
              <w:rPr>
                <w:sz w:val="17"/>
              </w:rPr>
              <w:t xml:space="preserve"> (milde Kriterien)</w:t>
            </w:r>
          </w:p>
        </w:tc>
        <w:tc>
          <w:tcPr>
            <w:tcW w:type="dxa" w:w="3362"/>
          </w:tcPr>
          <w:p>
            <w:pPr>
              <w:spacing w:after="0" w:line="252" w:lineRule="auto"/>
            </w:pPr>
            <w:r>
              <w:rPr>
                <w:sz w:val="17"/>
              </w:rPr>
              <w:t>Warenflusskriterien der Lagerplatzsuche</w:t>
            </w:r>
          </w:p>
        </w:tc>
      </w:tr>
      <w:tr>
        <w:tc>
          <w:tcPr>
            <w:tcW w:type="dxa" w:w="3362"/>
          </w:tcPr>
          <w:p>
            <w:pPr>
              <w:spacing w:after="0" w:line="252" w:lineRule="auto"/>
            </w:pPr>
            <w:r>
              <w:rPr>
                <w:rFonts w:ascii="Consolas" w:hAnsi="Consolas" w:cs="Consolas" w:eastAsia="Consolas"/>
                <w:sz w:val="15"/>
              </w:rPr>
              <w:t>Zulagerung</w:t>
            </w:r>
          </w:p>
        </w:tc>
        <w:tc>
          <w:tcPr>
            <w:tcW w:type="dxa" w:w="2801"/>
          </w:tcPr>
          <w:p>
            <w:pPr>
              <w:spacing w:after="0" w:line="252" w:lineRule="auto"/>
            </w:pPr>
            <w:r>
              <w:rPr>
                <w:sz w:val="17"/>
              </w:rPr>
              <w:t>Nicht erlaubt / Erlaubt / Bevorzugt</w:t>
            </w:r>
          </w:p>
        </w:tc>
        <w:tc>
          <w:tcPr>
            <w:tcW w:type="dxa" w:w="3362"/>
          </w:tcPr>
          <w:p>
            <w:pPr>
              <w:spacing w:after="0" w:line="252" w:lineRule="auto"/>
            </w:pPr>
            <w:r>
              <w:rPr>
                <w:sz w:val="17"/>
              </w:rPr>
              <w:t>Zulagerung und Teilmengenabgabe</w:t>
            </w:r>
          </w:p>
        </w:tc>
      </w:tr>
      <w:tr>
        <w:tc>
          <w:tcPr>
            <w:tcW w:type="dxa" w:w="3362"/>
          </w:tcPr>
          <w:p>
            <w:pPr>
              <w:spacing w:after="0" w:line="252" w:lineRule="auto"/>
            </w:pPr>
            <w:r>
              <w:rPr>
                <w:rFonts w:ascii="Consolas" w:hAnsi="Consolas" w:cs="Consolas" w:eastAsia="Consolas"/>
                <w:sz w:val="15"/>
              </w:rPr>
              <w:t>LP-Suchstrategie</w:t>
            </w:r>
          </w:p>
        </w:tc>
        <w:tc>
          <w:tcPr>
            <w:tcW w:type="dxa" w:w="2801"/>
          </w:tcPr>
          <w:p>
            <w:pPr>
              <w:spacing w:after="0" w:line="252" w:lineRule="auto"/>
            </w:pPr>
            <w:r>
              <w:rPr>
                <w:sz w:val="17"/>
              </w:rPr>
              <w:t>WMS / MFS</w:t>
            </w:r>
          </w:p>
        </w:tc>
        <w:tc>
          <w:tcPr>
            <w:tcW w:type="dxa" w:w="3362"/>
          </w:tcPr>
          <w:p>
            <w:pPr>
              <w:spacing w:after="0" w:line="252" w:lineRule="auto"/>
            </w:pPr>
            <w:r>
              <w:rPr>
                <w:sz w:val="17"/>
              </w:rPr>
              <w:t>Gleichmäßige Verteilung über Bereiche gleicher Reihenfolge und Verteilungssektoren (WMS) oder Suche im MFS</w:t>
            </w:r>
          </w:p>
        </w:tc>
      </w:tr>
      <w:tr>
        <w:tc>
          <w:tcPr>
            <w:tcW w:type="dxa" w:w="3362"/>
          </w:tcPr>
          <w:p>
            <w:pPr>
              <w:spacing w:after="0" w:line="252" w:lineRule="auto"/>
            </w:pPr>
            <w:r>
              <w:rPr>
                <w:rFonts w:ascii="Consolas" w:hAnsi="Consolas" w:cs="Consolas" w:eastAsia="Consolas"/>
                <w:sz w:val="15"/>
              </w:rPr>
              <w:t>Standardreihenfolgealgorithmus</w:t>
            </w:r>
          </w:p>
        </w:tc>
        <w:tc>
          <w:tcPr>
            <w:tcW w:type="dxa" w:w="2801"/>
          </w:tcPr>
          <w:p>
            <w:pPr>
              <w:spacing w:after="0" w:line="252" w:lineRule="auto"/>
            </w:pPr>
            <w:r>
              <w:rPr>
                <w:sz w:val="17"/>
              </w:rPr>
              <w:t xml:space="preserve">aus </w:t>
            </w:r>
            <w:r>
              <w:rPr>
                <w:b/>
                <w:sz w:val="17"/>
              </w:rPr>
              <w:t>WH030</w:t>
            </w:r>
          </w:p>
        </w:tc>
        <w:tc>
          <w:tcPr>
            <w:tcW w:type="dxa" w:w="3362"/>
          </w:tcPr>
          <w:p>
            <w:pPr>
              <w:spacing w:after="0" w:line="252" w:lineRule="auto"/>
            </w:pPr>
            <w:r>
              <w:rPr>
                <w:sz w:val="17"/>
              </w:rPr>
              <w:t>Reihenfolge der Verteilung (nicht bei der Lagerplatzsuche) bzw. Kommissionierreihenfolge</w:t>
            </w:r>
          </w:p>
        </w:tc>
      </w:tr>
      <w:tr>
        <w:tc>
          <w:tcPr>
            <w:tcW w:type="dxa" w:w="3362"/>
          </w:tcPr>
          <w:p>
            <w:pPr>
              <w:spacing w:after="0" w:line="252" w:lineRule="auto"/>
            </w:pPr>
            <w:r>
              <w:rPr>
                <w:rFonts w:ascii="Consolas" w:hAnsi="Consolas" w:cs="Consolas" w:eastAsia="Consolas"/>
                <w:sz w:val="15"/>
              </w:rPr>
              <w:t>Leer-LE-Auslagerungsstrategie</w:t>
            </w:r>
          </w:p>
        </w:tc>
        <w:tc>
          <w:tcPr>
            <w:tcW w:type="dxa" w:w="2801"/>
          </w:tcPr>
          <w:p>
            <w:pPr>
              <w:spacing w:after="0" w:line="252" w:lineRule="auto"/>
            </w:pPr>
            <w:r>
              <w:rPr>
                <w:sz w:val="17"/>
              </w:rPr>
              <w:t>Shuttle / RBG einfachtief / RBG doppeltief / Keine</w:t>
            </w:r>
          </w:p>
        </w:tc>
        <w:tc>
          <w:tcPr>
            <w:tcW w:type="dxa" w:w="3362"/>
          </w:tcPr>
          <w:p>
            <w:pPr>
              <w:spacing w:after="0" w:line="252" w:lineRule="auto"/>
            </w:pPr>
            <w:r>
              <w:rPr>
                <w:sz w:val="17"/>
              </w:rPr>
              <w:t>Auslagerung leerer LE für Nachschub</w:t>
            </w:r>
          </w:p>
        </w:tc>
      </w:tr>
      <w:tr>
        <w:tc>
          <w:tcPr>
            <w:tcW w:type="dxa" w:w="3362"/>
          </w:tcPr>
          <w:p>
            <w:pPr>
              <w:spacing w:after="0" w:line="252" w:lineRule="auto"/>
            </w:pPr>
            <w:r>
              <w:rPr>
                <w:rFonts w:ascii="Consolas" w:hAnsi="Consolas" w:cs="Consolas" w:eastAsia="Consolas"/>
                <w:sz w:val="15"/>
              </w:rPr>
              <w:t>Kommissioniermodus</w:t>
            </w:r>
          </w:p>
        </w:tc>
        <w:tc>
          <w:tcPr>
            <w:tcW w:type="dxa" w:w="2801"/>
          </w:tcPr>
          <w:p>
            <w:pPr>
              <w:spacing w:after="0" w:line="252" w:lineRule="auto"/>
            </w:pPr>
            <w:r>
              <w:rPr>
                <w:sz w:val="17"/>
              </w:rPr>
              <w:t>Standard / einfach (je „standardmäßig“ oder „nur“)</w:t>
            </w:r>
          </w:p>
        </w:tc>
        <w:tc>
          <w:tcPr>
            <w:tcW w:type="dxa" w:w="3362"/>
          </w:tcPr>
          <w:p>
            <w:pPr>
              <w:spacing w:after="0" w:line="252" w:lineRule="auto"/>
            </w:pPr>
            <w:r>
              <w:rPr>
                <w:sz w:val="17"/>
              </w:rPr>
              <w:t>Art der Kommissionierung im Bereich</w:t>
            </w:r>
          </w:p>
        </w:tc>
      </w:tr>
      <w:tr>
        <w:tc>
          <w:tcPr>
            <w:tcW w:type="dxa" w:w="3362"/>
          </w:tcPr>
          <w:p>
            <w:pPr>
              <w:spacing w:after="0" w:line="252" w:lineRule="auto"/>
            </w:pPr>
            <w:r>
              <w:rPr>
                <w:rFonts w:ascii="Consolas" w:hAnsi="Consolas" w:cs="Consolas" w:eastAsia="Consolas"/>
                <w:sz w:val="15"/>
              </w:rPr>
              <w:t>Kommissionierplanung</w:t>
            </w:r>
          </w:p>
        </w:tc>
        <w:tc>
          <w:tcPr>
            <w:tcW w:type="dxa" w:w="2801"/>
          </w:tcPr>
          <w:p>
            <w:pPr>
              <w:spacing w:after="0" w:line="252" w:lineRule="auto"/>
            </w:pPr>
            <w:r>
              <w:rPr>
                <w:sz w:val="17"/>
              </w:rPr>
              <w:t>Standard / WCS</w:t>
            </w:r>
          </w:p>
        </w:tc>
        <w:tc>
          <w:tcPr>
            <w:tcW w:type="dxa" w:w="3362"/>
          </w:tcPr>
          <w:p>
            <w:pPr>
              <w:spacing w:after="0" w:line="252" w:lineRule="auto"/>
            </w:pPr>
            <w:r>
              <w:rPr>
                <w:sz w:val="17"/>
              </w:rPr>
              <w:t>WCS: Sortierung nach Sortiment, Warengruppe, Packreihenfolge, Artikelnummer, Variante</w:t>
            </w:r>
          </w:p>
        </w:tc>
      </w:tr>
      <w:tr>
        <w:tc>
          <w:tcPr>
            <w:tcW w:type="dxa" w:w="3362"/>
          </w:tcPr>
          <w:p>
            <w:pPr>
              <w:spacing w:after="0" w:line="252" w:lineRule="auto"/>
            </w:pPr>
            <w:r>
              <w:rPr>
                <w:rFonts w:ascii="Consolas" w:hAnsi="Consolas" w:cs="Consolas" w:eastAsia="Consolas"/>
                <w:sz w:val="15"/>
              </w:rPr>
              <w:t>Reihenfolge</w:t>
            </w:r>
            <w:r>
              <w:rPr>
                <w:sz w:val="17"/>
              </w:rPr>
              <w:t xml:space="preserve"> Inventurbereich, </w:t>
            </w:r>
            <w:r>
              <w:rPr>
                <w:rFonts w:ascii="Consolas" w:hAnsi="Consolas" w:cs="Consolas" w:eastAsia="Consolas"/>
                <w:sz w:val="15"/>
              </w:rPr>
              <w:t>Vereinfachte Inventur erlauben</w:t>
            </w:r>
          </w:p>
        </w:tc>
        <w:tc>
          <w:tcPr>
            <w:tcW w:type="dxa" w:w="2801"/>
          </w:tcPr>
          <w:p>
            <w:pPr>
              <w:spacing w:after="0" w:line="252" w:lineRule="auto"/>
            </w:pPr>
            <w:r>
              <w:rPr>
                <w:sz w:val="17"/>
              </w:rPr>
              <w:t>Zahl / Checkbox</w:t>
            </w:r>
          </w:p>
        </w:tc>
        <w:tc>
          <w:tcPr>
            <w:tcW w:type="dxa" w:w="3362"/>
          </w:tcPr>
          <w:p>
            <w:pPr>
              <w:spacing w:after="0" w:line="252" w:lineRule="auto"/>
            </w:pPr>
            <w:r>
              <w:rPr>
                <w:sz w:val="17"/>
              </w:rPr>
              <w:t>Inventurreihenfolge; Inventur ohne MHD/Charge</w:t>
            </w:r>
          </w:p>
        </w:tc>
      </w:tr>
    </w:tbl>
    <w:p>
      <w:pPr>
        <w:pStyle w:val="BeschriftungSSI"/>
      </w:pPr>
      <w:r>
        <w:t>Tab. 21: Strategien auf Lagerstandortebene</w:t>
      </w:r>
    </w:p>
    <w:p>
      <w:pPr>
        <w:pStyle w:val="Quelle"/>
      </w:pPr>
      <w:r>
        <w:rPr>
          <w:b/>
        </w:rPr>
        <w:t xml:space="preserve">Quelle: </w:t>
      </w:r>
      <w:r>
        <w:rPr>
          <w:sz w:val="17"/>
        </w:rPr>
        <w:t>Administratorhandbuch 2.7, Kap. 3.4.1.3–3.4.1.5 (S. 59–65)</w:t>
      </w:r>
    </w:p>
    <w:p>
      <w:pPr>
        <w:pStyle w:val="Heading1"/>
      </w:pPr>
      <w:r>
        <w:t>10 Vergleichstabelle</w:t>
      </w:r>
    </w:p>
    <w:p>
      <w:pPr>
        <w:pStyle w:val="Heading2"/>
      </w:pPr>
      <w:r>
        <w:t>10.1 Einlagerung</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246"/>
        <w:gridCol w:w="2606"/>
        <w:gridCol w:w="1258"/>
        <w:gridCol w:w="3414"/>
      </w:tblGrid>
      <w:tr>
        <w:trPr>
          <w:tblHeader w:val="true"/>
        </w:trPr>
        <w:tc>
          <w:tcPr>
            <w:tcW w:type="dxa" w:w="2246"/>
            <w:shd w:val="clear" w:color="auto" w:fill="FEEE19"/>
          </w:tcPr>
          <w:p>
            <w:pPr>
              <w:spacing w:after="0"/>
            </w:pPr>
            <w:r>
              <w:rPr>
                <w:b/>
                <w:sz w:val="17"/>
              </w:rPr>
              <w:t>Strategie / Einstellung</w:t>
            </w:r>
          </w:p>
        </w:tc>
        <w:tc>
          <w:tcPr>
            <w:tcW w:type="dxa" w:w="2606"/>
            <w:shd w:val="clear" w:color="auto" w:fill="FEEE19"/>
          </w:tcPr>
          <w:p>
            <w:pPr>
              <w:spacing w:after="0"/>
            </w:pPr>
            <w:r>
              <w:rPr>
                <w:b/>
                <w:sz w:val="17"/>
              </w:rPr>
              <w:t>Optimiert auf</w:t>
            </w:r>
          </w:p>
        </w:tc>
        <w:tc>
          <w:tcPr>
            <w:tcW w:type="dxa" w:w="1258"/>
            <w:shd w:val="clear" w:color="auto" w:fill="FEEE19"/>
          </w:tcPr>
          <w:p>
            <w:pPr>
              <w:spacing w:after="0"/>
            </w:pPr>
            <w:r>
              <w:rPr>
                <w:b/>
                <w:sz w:val="17"/>
              </w:rPr>
              <w:t>Ebene</w:t>
            </w:r>
          </w:p>
        </w:tc>
        <w:tc>
          <w:tcPr>
            <w:tcW w:type="dxa" w:w="3414"/>
            <w:shd w:val="clear" w:color="auto" w:fill="FEEE19"/>
          </w:tcPr>
          <w:p>
            <w:pPr>
              <w:spacing w:after="0"/>
            </w:pPr>
            <w:r>
              <w:rPr>
                <w:b/>
                <w:sz w:val="17"/>
              </w:rPr>
              <w:t>Nachteil / Hinweis</w:t>
            </w:r>
          </w:p>
        </w:tc>
      </w:tr>
      <w:tr>
        <w:tc>
          <w:tcPr>
            <w:tcW w:type="dxa" w:w="2246"/>
          </w:tcPr>
          <w:p>
            <w:pPr>
              <w:spacing w:after="0" w:line="252" w:lineRule="auto"/>
            </w:pPr>
            <w:r>
              <w:rPr>
                <w:rFonts w:ascii="Consolas" w:hAnsi="Consolas" w:cs="Consolas" w:eastAsia="Consolas"/>
                <w:sz w:val="15"/>
              </w:rPr>
              <w:t>TRANSPORT</w:t>
            </w:r>
          </w:p>
        </w:tc>
        <w:tc>
          <w:tcPr>
            <w:tcW w:type="dxa" w:w="2606"/>
          </w:tcPr>
          <w:p>
            <w:pPr>
              <w:spacing w:after="0" w:line="252" w:lineRule="auto"/>
            </w:pPr>
            <w:r>
              <w:rPr>
                <w:sz w:val="17"/>
              </w:rPr>
              <w:t>Wenige Tablarbewegungen</w:t>
            </w:r>
          </w:p>
        </w:tc>
        <w:tc>
          <w:tcPr>
            <w:tcW w:type="dxa" w:w="1258"/>
          </w:tcPr>
          <w:p>
            <w:pPr>
              <w:spacing w:after="0" w:line="252" w:lineRule="auto"/>
            </w:pPr>
            <w:r>
              <w:rPr>
                <w:sz w:val="17"/>
              </w:rPr>
              <w:t>Box/Tablar</w:t>
            </w:r>
          </w:p>
        </w:tc>
        <w:tc>
          <w:tcPr>
            <w:tcW w:type="dxa" w:w="3414"/>
          </w:tcPr>
          <w:p>
            <w:pPr>
              <w:spacing w:after="0" w:line="252" w:lineRule="auto"/>
            </w:pPr>
            <w:r>
              <w:rPr>
                <w:sz w:val="17"/>
              </w:rPr>
              <w:t>Kann Boxen ungleichmäßig füllen</w:t>
            </w:r>
          </w:p>
        </w:tc>
      </w:tr>
      <w:tr>
        <w:tc>
          <w:tcPr>
            <w:tcW w:type="dxa" w:w="2246"/>
          </w:tcPr>
          <w:p>
            <w:pPr>
              <w:spacing w:after="0" w:line="252" w:lineRule="auto"/>
            </w:pPr>
            <w:r>
              <w:rPr>
                <w:rFonts w:ascii="Consolas" w:hAnsi="Consolas" w:cs="Consolas" w:eastAsia="Consolas"/>
                <w:sz w:val="15"/>
              </w:rPr>
              <w:t>STORAGE</w:t>
            </w:r>
          </w:p>
        </w:tc>
        <w:tc>
          <w:tcPr>
            <w:tcW w:type="dxa" w:w="2606"/>
          </w:tcPr>
          <w:p>
            <w:pPr>
              <w:spacing w:after="0" w:line="252" w:lineRule="auto"/>
            </w:pPr>
            <w:r>
              <w:rPr>
                <w:sz w:val="17"/>
              </w:rPr>
              <w:t>Wenige belegte Boxen</w:t>
            </w:r>
          </w:p>
        </w:tc>
        <w:tc>
          <w:tcPr>
            <w:tcW w:type="dxa" w:w="1258"/>
          </w:tcPr>
          <w:p>
            <w:pPr>
              <w:spacing w:after="0" w:line="252" w:lineRule="auto"/>
            </w:pPr>
            <w:r>
              <w:rPr>
                <w:sz w:val="17"/>
              </w:rPr>
              <w:t>Box</w:t>
            </w:r>
          </w:p>
        </w:tc>
        <w:tc>
          <w:tcPr>
            <w:tcW w:type="dxa" w:w="3414"/>
          </w:tcPr>
          <w:p>
            <w:pPr>
              <w:spacing w:after="0" w:line="252" w:lineRule="auto"/>
            </w:pPr>
            <w:r>
              <w:rPr>
                <w:sz w:val="17"/>
              </w:rPr>
              <w:t>Ggf. mehrere Bedienschritte bei Splits</w:t>
            </w:r>
          </w:p>
        </w:tc>
      </w:tr>
      <w:tr>
        <w:tc>
          <w:tcPr>
            <w:tcW w:type="dxa" w:w="2246"/>
          </w:tcPr>
          <w:p>
            <w:pPr>
              <w:spacing w:after="0" w:line="252" w:lineRule="auto"/>
            </w:pPr>
            <w:r>
              <w:rPr>
                <w:rFonts w:ascii="Consolas" w:hAnsi="Consolas" w:cs="Consolas" w:eastAsia="Consolas"/>
                <w:sz w:val="15"/>
              </w:rPr>
              <w:t>OPERATIONS</w:t>
            </w:r>
          </w:p>
        </w:tc>
        <w:tc>
          <w:tcPr>
            <w:tcW w:type="dxa" w:w="2606"/>
          </w:tcPr>
          <w:p>
            <w:pPr>
              <w:spacing w:after="0" w:line="252" w:lineRule="auto"/>
            </w:pPr>
            <w:r>
              <w:rPr>
                <w:sz w:val="17"/>
              </w:rPr>
              <w:t>Wenige Bedienschritte</w:t>
            </w:r>
          </w:p>
        </w:tc>
        <w:tc>
          <w:tcPr>
            <w:tcW w:type="dxa" w:w="1258"/>
          </w:tcPr>
          <w:p>
            <w:pPr>
              <w:spacing w:after="0" w:line="252" w:lineRule="auto"/>
            </w:pPr>
            <w:r>
              <w:rPr>
                <w:sz w:val="17"/>
              </w:rPr>
              <w:t>Box</w:t>
            </w:r>
          </w:p>
        </w:tc>
        <w:tc>
          <w:tcPr>
            <w:tcW w:type="dxa" w:w="3414"/>
          </w:tcPr>
          <w:p>
            <w:pPr>
              <w:spacing w:after="0" w:line="252" w:lineRule="auto"/>
            </w:pPr>
            <w:r>
              <w:rPr>
                <w:sz w:val="17"/>
              </w:rPr>
              <w:t>Mehr angebrochene Boxen</w:t>
            </w:r>
          </w:p>
        </w:tc>
      </w:tr>
      <w:tr>
        <w:tc>
          <w:tcPr>
            <w:tcW w:type="dxa" w:w="2246"/>
          </w:tcPr>
          <w:p>
            <w:pPr>
              <w:spacing w:after="0" w:line="252" w:lineRule="auto"/>
            </w:pPr>
            <w:r>
              <w:rPr>
                <w:rFonts w:ascii="Consolas" w:hAnsi="Consolas" w:cs="Consolas" w:eastAsia="Consolas"/>
                <w:sz w:val="15"/>
              </w:rPr>
              <w:t>ASSIGNMENT</w:t>
            </w:r>
          </w:p>
        </w:tc>
        <w:tc>
          <w:tcPr>
            <w:tcW w:type="dxa" w:w="2606"/>
          </w:tcPr>
          <w:p>
            <w:pPr>
              <w:spacing w:after="0" w:line="252" w:lineRule="auto"/>
            </w:pPr>
            <w:r>
              <w:rPr>
                <w:sz w:val="17"/>
              </w:rPr>
              <w:t>Feste Plätze</w:t>
            </w:r>
          </w:p>
        </w:tc>
        <w:tc>
          <w:tcPr>
            <w:tcW w:type="dxa" w:w="1258"/>
          </w:tcPr>
          <w:p>
            <w:pPr>
              <w:spacing w:after="0" w:line="252" w:lineRule="auto"/>
            </w:pPr>
            <w:r>
              <w:rPr>
                <w:sz w:val="17"/>
              </w:rPr>
              <w:t>Box</w:t>
            </w:r>
          </w:p>
        </w:tc>
        <w:tc>
          <w:tcPr>
            <w:tcW w:type="dxa" w:w="3414"/>
          </w:tcPr>
          <w:p>
            <w:pPr>
              <w:spacing w:after="0" w:line="252" w:lineRule="auto"/>
            </w:pPr>
            <w:r>
              <w:rPr>
                <w:sz w:val="17"/>
              </w:rPr>
              <w:t>Setzt gepflegte Zuordnungen voraus</w:t>
            </w:r>
          </w:p>
        </w:tc>
      </w:tr>
      <w:tr>
        <w:tc>
          <w:tcPr>
            <w:tcW w:type="dxa" w:w="2246"/>
          </w:tcPr>
          <w:p>
            <w:pPr>
              <w:spacing w:after="0" w:line="252" w:lineRule="auto"/>
            </w:pPr>
            <w:r>
              <w:rPr>
                <w:rFonts w:ascii="Consolas" w:hAnsi="Consolas" w:cs="Consolas" w:eastAsia="Consolas"/>
                <w:sz w:val="15"/>
              </w:rPr>
              <w:t>BALANCE</w:t>
            </w:r>
          </w:p>
        </w:tc>
        <w:tc>
          <w:tcPr>
            <w:tcW w:type="dxa" w:w="2606"/>
          </w:tcPr>
          <w:p>
            <w:pPr>
              <w:spacing w:after="0" w:line="252" w:lineRule="auto"/>
            </w:pPr>
            <w:r>
              <w:rPr>
                <w:sz w:val="17"/>
              </w:rPr>
              <w:t>Gleichverteilung über LOGIMAT</w:t>
            </w:r>
          </w:p>
        </w:tc>
        <w:tc>
          <w:tcPr>
            <w:tcW w:type="dxa" w:w="1258"/>
          </w:tcPr>
          <w:p>
            <w:pPr>
              <w:spacing w:after="0" w:line="252" w:lineRule="auto"/>
            </w:pPr>
            <w:r>
              <w:rPr>
                <w:sz w:val="17"/>
              </w:rPr>
              <w:t>LOGIMAT</w:t>
            </w:r>
          </w:p>
        </w:tc>
        <w:tc>
          <w:tcPr>
            <w:tcW w:type="dxa" w:w="3414"/>
          </w:tcPr>
          <w:p>
            <w:pPr>
              <w:spacing w:after="0" w:line="252" w:lineRule="auto"/>
            </w:pPr>
            <w:r>
              <w:rPr>
                <w:sz w:val="17"/>
              </w:rPr>
              <w:t>Splittet Zeilen, mehr Vorgänge</w:t>
            </w:r>
          </w:p>
        </w:tc>
      </w:tr>
      <w:tr>
        <w:tc>
          <w:tcPr>
            <w:tcW w:type="dxa" w:w="2246"/>
          </w:tcPr>
          <w:p>
            <w:pPr>
              <w:spacing w:after="0" w:line="252" w:lineRule="auto"/>
            </w:pPr>
            <w:r>
              <w:rPr>
                <w:rFonts w:ascii="Consolas" w:hAnsi="Consolas" w:cs="Consolas" w:eastAsia="Consolas"/>
                <w:sz w:val="15"/>
              </w:rPr>
              <w:t>LOWEST_STOCK</w:t>
            </w:r>
          </w:p>
        </w:tc>
        <w:tc>
          <w:tcPr>
            <w:tcW w:type="dxa" w:w="2606"/>
          </w:tcPr>
          <w:p>
            <w:pPr>
              <w:spacing w:after="0" w:line="252" w:lineRule="auto"/>
            </w:pPr>
            <w:r>
              <w:rPr>
                <w:sz w:val="17"/>
              </w:rPr>
              <w:t>Ausgleich ohne Split</w:t>
            </w:r>
          </w:p>
        </w:tc>
        <w:tc>
          <w:tcPr>
            <w:tcW w:type="dxa" w:w="1258"/>
          </w:tcPr>
          <w:p>
            <w:pPr>
              <w:spacing w:after="0" w:line="252" w:lineRule="auto"/>
            </w:pPr>
            <w:r>
              <w:rPr>
                <w:sz w:val="17"/>
              </w:rPr>
              <w:t>LOGIMAT</w:t>
            </w:r>
          </w:p>
        </w:tc>
        <w:tc>
          <w:tcPr>
            <w:tcW w:type="dxa" w:w="3414"/>
          </w:tcPr>
          <w:p>
            <w:pPr>
              <w:spacing w:after="0" w:line="252" w:lineRule="auto"/>
            </w:pPr>
            <w:r>
              <w:rPr>
                <w:sz w:val="17"/>
              </w:rPr>
              <w:t>Andere LOGIMAT nur ohne passende Box</w:t>
            </w:r>
          </w:p>
        </w:tc>
      </w:tr>
      <w:tr>
        <w:tc>
          <w:tcPr>
            <w:tcW w:type="dxa" w:w="2246"/>
          </w:tcPr>
          <w:p>
            <w:pPr>
              <w:spacing w:after="0" w:line="252" w:lineRule="auto"/>
            </w:pPr>
            <w:r>
              <w:rPr>
                <w:rFonts w:ascii="Consolas" w:hAnsi="Consolas" w:cs="Consolas" w:eastAsia="Consolas"/>
                <w:sz w:val="15"/>
              </w:rPr>
              <w:t>ABC</w:t>
            </w:r>
          </w:p>
        </w:tc>
        <w:tc>
          <w:tcPr>
            <w:tcW w:type="dxa" w:w="2606"/>
          </w:tcPr>
          <w:p>
            <w:pPr>
              <w:spacing w:after="0" w:line="252" w:lineRule="auto"/>
            </w:pPr>
            <w:r>
              <w:rPr>
                <w:sz w:val="17"/>
              </w:rPr>
              <w:t>Je Drehgeschwindigkeit</w:t>
            </w:r>
          </w:p>
        </w:tc>
        <w:tc>
          <w:tcPr>
            <w:tcW w:type="dxa" w:w="1258"/>
          </w:tcPr>
          <w:p>
            <w:pPr>
              <w:spacing w:after="0" w:line="252" w:lineRule="auto"/>
            </w:pPr>
            <w:r>
              <w:rPr>
                <w:sz w:val="17"/>
              </w:rPr>
              <w:t>Dynamisch</w:t>
            </w:r>
          </w:p>
        </w:tc>
        <w:tc>
          <w:tcPr>
            <w:tcW w:type="dxa" w:w="3414"/>
          </w:tcPr>
          <w:p>
            <w:pPr>
              <w:spacing w:after="0" w:line="252" w:lineRule="auto"/>
            </w:pPr>
            <w:r>
              <w:rPr>
                <w:sz w:val="17"/>
              </w:rPr>
              <w:t>Pflege der ABC-Werte und LM145 nötig</w:t>
            </w:r>
          </w:p>
        </w:tc>
      </w:tr>
      <w:tr>
        <w:tc>
          <w:tcPr>
            <w:tcW w:type="dxa" w:w="2246"/>
          </w:tcPr>
          <w:p>
            <w:pPr>
              <w:spacing w:after="0" w:line="252" w:lineRule="auto"/>
            </w:pPr>
            <w:r>
              <w:rPr>
                <w:rFonts w:ascii="Consolas" w:hAnsi="Consolas" w:cs="Consolas" w:eastAsia="Consolas"/>
                <w:sz w:val="15"/>
              </w:rPr>
              <w:t>ASSIGNMENT_EXTERN</w:t>
            </w:r>
          </w:p>
        </w:tc>
        <w:tc>
          <w:tcPr>
            <w:tcW w:type="dxa" w:w="2606"/>
          </w:tcPr>
          <w:p>
            <w:pPr>
              <w:spacing w:after="0" w:line="252" w:lineRule="auto"/>
            </w:pPr>
            <w:r>
              <w:rPr>
                <w:sz w:val="17"/>
              </w:rPr>
              <w:t>Reihenfolge externer Plätze</w:t>
            </w:r>
          </w:p>
        </w:tc>
        <w:tc>
          <w:tcPr>
            <w:tcW w:type="dxa" w:w="1258"/>
          </w:tcPr>
          <w:p>
            <w:pPr>
              <w:spacing w:after="0" w:line="252" w:lineRule="auto"/>
            </w:pPr>
            <w:r>
              <w:rPr>
                <w:sz w:val="17"/>
              </w:rPr>
              <w:t>Externer Platz</w:t>
            </w:r>
          </w:p>
        </w:tc>
        <w:tc>
          <w:tcPr>
            <w:tcW w:type="dxa" w:w="3414"/>
          </w:tcPr>
          <w:p>
            <w:pPr>
              <w:spacing w:after="0" w:line="252" w:lineRule="auto"/>
            </w:pPr>
            <w:r>
              <w:rPr>
                <w:sz w:val="17"/>
              </w:rPr>
              <w:t>Reihenfolgen müssen gepflegt sein</w:t>
            </w:r>
          </w:p>
        </w:tc>
      </w:tr>
      <w:tr>
        <w:tc>
          <w:tcPr>
            <w:tcW w:type="dxa" w:w="2246"/>
          </w:tcPr>
          <w:p>
            <w:pPr>
              <w:spacing w:after="0" w:line="252" w:lineRule="auto"/>
            </w:pPr>
            <w:r>
              <w:rPr>
                <w:rFonts w:ascii="Consolas" w:hAnsi="Consolas" w:cs="Consolas" w:eastAsia="Consolas"/>
                <w:sz w:val="15"/>
              </w:rPr>
              <w:t>LOWEST_STOCK_EXTERN</w:t>
            </w:r>
          </w:p>
        </w:tc>
        <w:tc>
          <w:tcPr>
            <w:tcW w:type="dxa" w:w="2606"/>
          </w:tcPr>
          <w:p>
            <w:pPr>
              <w:spacing w:after="0" w:line="252" w:lineRule="auto"/>
            </w:pPr>
            <w:r>
              <w:rPr>
                <w:sz w:val="17"/>
              </w:rPr>
              <w:t>Ausgleich externer Gruppen</w:t>
            </w:r>
          </w:p>
        </w:tc>
        <w:tc>
          <w:tcPr>
            <w:tcW w:type="dxa" w:w="1258"/>
          </w:tcPr>
          <w:p>
            <w:pPr>
              <w:spacing w:after="0" w:line="252" w:lineRule="auto"/>
            </w:pPr>
            <w:r>
              <w:rPr>
                <w:sz w:val="17"/>
              </w:rPr>
              <w:t>Externe Gruppe</w:t>
            </w:r>
          </w:p>
        </w:tc>
        <w:tc>
          <w:tcPr>
            <w:tcW w:type="dxa" w:w="3414"/>
          </w:tcPr>
          <w:p>
            <w:pPr>
              <w:spacing w:after="0" w:line="252" w:lineRule="auto"/>
            </w:pPr>
            <w:r>
              <w:rPr>
                <w:sz w:val="17"/>
              </w:rPr>
              <w:t>–</w:t>
            </w:r>
          </w:p>
        </w:tc>
      </w:tr>
      <w:tr>
        <w:tc>
          <w:tcPr>
            <w:tcW w:type="dxa" w:w="2246"/>
          </w:tcPr>
          <w:p>
            <w:pPr>
              <w:spacing w:after="0" w:line="252" w:lineRule="auto"/>
            </w:pPr>
            <w:r>
              <w:rPr>
                <w:rFonts w:ascii="Consolas" w:hAnsi="Consolas" w:cs="Consolas" w:eastAsia="Consolas"/>
                <w:sz w:val="15"/>
              </w:rPr>
              <w:t>ABC_EXTERNAL</w:t>
            </w:r>
          </w:p>
        </w:tc>
        <w:tc>
          <w:tcPr>
            <w:tcW w:type="dxa" w:w="2606"/>
          </w:tcPr>
          <w:p>
            <w:pPr>
              <w:spacing w:after="0" w:line="252" w:lineRule="auto"/>
            </w:pPr>
            <w:r>
              <w:rPr>
                <w:sz w:val="17"/>
              </w:rPr>
              <w:t>Je Drehgeschwindigkeit extern</w:t>
            </w:r>
          </w:p>
        </w:tc>
        <w:tc>
          <w:tcPr>
            <w:tcW w:type="dxa" w:w="1258"/>
          </w:tcPr>
          <w:p>
            <w:pPr>
              <w:spacing w:after="0" w:line="252" w:lineRule="auto"/>
            </w:pPr>
            <w:r>
              <w:rPr>
                <w:sz w:val="17"/>
              </w:rPr>
              <w:t>Dynamisch</w:t>
            </w:r>
          </w:p>
        </w:tc>
        <w:tc>
          <w:tcPr>
            <w:tcW w:type="dxa" w:w="3414"/>
          </w:tcPr>
          <w:p>
            <w:pPr>
              <w:spacing w:after="0" w:line="252" w:lineRule="auto"/>
            </w:pPr>
            <w:r>
              <w:rPr>
                <w:sz w:val="17"/>
              </w:rPr>
              <w:t>Wie ABC</w:t>
            </w:r>
          </w:p>
        </w:tc>
      </w:tr>
      <w:tr>
        <w:tc>
          <w:tcPr>
            <w:tcW w:type="dxa" w:w="2246"/>
          </w:tcPr>
          <w:p>
            <w:pPr>
              <w:spacing w:after="0" w:line="252" w:lineRule="auto"/>
            </w:pPr>
            <w:r>
              <w:rPr>
                <w:sz w:val="17"/>
              </w:rPr>
              <w:t>Homogenität (SM041/SM042)</w:t>
            </w:r>
          </w:p>
        </w:tc>
        <w:tc>
          <w:tcPr>
            <w:tcW w:type="dxa" w:w="2606"/>
          </w:tcPr>
          <w:p>
            <w:pPr>
              <w:spacing w:after="0" w:line="252" w:lineRule="auto"/>
            </w:pPr>
            <w:r>
              <w:rPr>
                <w:sz w:val="17"/>
              </w:rPr>
              <w:t>Reine Boxen (z. B. Charge)</w:t>
            </w:r>
          </w:p>
        </w:tc>
        <w:tc>
          <w:tcPr>
            <w:tcW w:type="dxa" w:w="1258"/>
          </w:tcPr>
          <w:p>
            <w:pPr>
              <w:spacing w:after="0" w:line="252" w:lineRule="auto"/>
            </w:pPr>
            <w:r>
              <w:rPr>
                <w:sz w:val="17"/>
              </w:rPr>
              <w:t>Box/LE/Fach</w:t>
            </w:r>
          </w:p>
        </w:tc>
        <w:tc>
          <w:tcPr>
            <w:tcW w:type="dxa" w:w="3414"/>
          </w:tcPr>
          <w:p>
            <w:pPr>
              <w:spacing w:after="0" w:line="252" w:lineRule="auto"/>
            </w:pPr>
            <w:r>
              <w:rPr>
                <w:sz w:val="17"/>
              </w:rPr>
              <w:t>Mehr Boxen nötig</w:t>
            </w:r>
          </w:p>
        </w:tc>
      </w:tr>
      <w:tr>
        <w:tc>
          <w:tcPr>
            <w:tcW w:type="dxa" w:w="2246"/>
          </w:tcPr>
          <w:p>
            <w:pPr>
              <w:spacing w:after="0" w:line="252" w:lineRule="auto"/>
            </w:pPr>
            <w:r>
              <w:rPr>
                <w:sz w:val="17"/>
              </w:rPr>
              <w:t>Tablar-zu-Klient</w:t>
            </w:r>
          </w:p>
        </w:tc>
        <w:tc>
          <w:tcPr>
            <w:tcW w:type="dxa" w:w="2606"/>
          </w:tcPr>
          <w:p>
            <w:pPr>
              <w:spacing w:after="0" w:line="252" w:lineRule="auto"/>
            </w:pPr>
            <w:r>
              <w:rPr>
                <w:sz w:val="17"/>
              </w:rPr>
              <w:t>Mandantentrennung</w:t>
            </w:r>
          </w:p>
        </w:tc>
        <w:tc>
          <w:tcPr>
            <w:tcW w:type="dxa" w:w="1258"/>
          </w:tcPr>
          <w:p>
            <w:pPr>
              <w:spacing w:after="0" w:line="252" w:lineRule="auto"/>
            </w:pPr>
            <w:r>
              <w:rPr>
                <w:sz w:val="17"/>
              </w:rPr>
              <w:t>Tablar</w:t>
            </w:r>
          </w:p>
        </w:tc>
        <w:tc>
          <w:tcPr>
            <w:tcW w:type="dxa" w:w="3414"/>
          </w:tcPr>
          <w:p>
            <w:pPr>
              <w:spacing w:after="0" w:line="252" w:lineRule="auto"/>
            </w:pPr>
            <w:r>
              <w:rPr>
                <w:sz w:val="17"/>
              </w:rPr>
              <w:t>Platzreserve je Klient</w:t>
            </w:r>
          </w:p>
        </w:tc>
      </w:tr>
    </w:tbl>
    <w:p>
      <w:pPr>
        <w:pStyle w:val="BeschriftungSSI"/>
      </w:pPr>
      <w:r>
        <w:t>Tab. 22: Vergleich der Einlagerstrategien</w:t>
      </w:r>
    </w:p>
    <w:p>
      <w:pPr>
        <w:pStyle w:val="Heading2"/>
      </w:pPr>
      <w:r>
        <w:t>10.2 Auslagerung und Kommissionierung</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135"/>
        <w:gridCol w:w="1868"/>
        <w:gridCol w:w="2170"/>
        <w:gridCol w:w="2351"/>
      </w:tblGrid>
      <w:tr>
        <w:trPr>
          <w:tblHeader w:val="true"/>
        </w:trPr>
        <w:tc>
          <w:tcPr>
            <w:tcW w:type="dxa" w:w="3135"/>
            <w:shd w:val="clear" w:color="auto" w:fill="FEEE19"/>
          </w:tcPr>
          <w:p>
            <w:pPr>
              <w:spacing w:after="0"/>
            </w:pPr>
            <w:r>
              <w:rPr>
                <w:b/>
                <w:sz w:val="17"/>
              </w:rPr>
              <w:t>Strategie / Einstellung</w:t>
            </w:r>
          </w:p>
        </w:tc>
        <w:tc>
          <w:tcPr>
            <w:tcW w:type="dxa" w:w="1869"/>
            <w:shd w:val="clear" w:color="auto" w:fill="FEEE19"/>
          </w:tcPr>
          <w:p>
            <w:pPr>
              <w:spacing w:after="0"/>
            </w:pPr>
            <w:r>
              <w:rPr>
                <w:b/>
                <w:sz w:val="17"/>
              </w:rPr>
              <w:t>Optimiert auf</w:t>
            </w:r>
          </w:p>
        </w:tc>
        <w:tc>
          <w:tcPr>
            <w:tcW w:type="dxa" w:w="2170"/>
            <w:shd w:val="clear" w:color="auto" w:fill="FEEE19"/>
          </w:tcPr>
          <w:p>
            <w:pPr>
              <w:spacing w:after="0"/>
            </w:pPr>
            <w:r>
              <w:rPr>
                <w:b/>
                <w:sz w:val="17"/>
              </w:rPr>
              <w:t>Einstellort</w:t>
            </w:r>
          </w:p>
        </w:tc>
        <w:tc>
          <w:tcPr>
            <w:tcW w:type="dxa" w:w="2351"/>
            <w:shd w:val="clear" w:color="auto" w:fill="FEEE19"/>
          </w:tcPr>
          <w:p>
            <w:pPr>
              <w:spacing w:after="0"/>
            </w:pPr>
            <w:r>
              <w:rPr>
                <w:b/>
                <w:sz w:val="17"/>
              </w:rPr>
              <w:t>Hinweis</w:t>
            </w:r>
          </w:p>
        </w:tc>
      </w:tr>
      <w:tr>
        <w:tc>
          <w:tcPr>
            <w:tcW w:type="dxa" w:w="3135"/>
          </w:tcPr>
          <w:p>
            <w:pPr>
              <w:spacing w:after="0" w:line="252" w:lineRule="auto"/>
            </w:pPr>
            <w:r>
              <w:rPr>
                <w:sz w:val="17"/>
              </w:rPr>
              <w:t xml:space="preserve">Reservierung </w:t>
            </w:r>
            <w:r>
              <w:rPr>
                <w:b/>
                <w:sz w:val="17"/>
              </w:rPr>
              <w:t>Transport</w:t>
            </w:r>
          </w:p>
        </w:tc>
        <w:tc>
          <w:tcPr>
            <w:tcW w:type="dxa" w:w="1869"/>
          </w:tcPr>
          <w:p>
            <w:pPr>
              <w:spacing w:after="0" w:line="252" w:lineRule="auto"/>
            </w:pPr>
            <w:r>
              <w:rPr>
                <w:sz w:val="17"/>
              </w:rPr>
              <w:t>Wenige Tablarbewegungen</w:t>
            </w:r>
          </w:p>
        </w:tc>
        <w:tc>
          <w:tcPr>
            <w:tcW w:type="dxa" w:w="2170"/>
          </w:tcPr>
          <w:p>
            <w:pPr>
              <w:spacing w:after="0" w:line="252" w:lineRule="auto"/>
            </w:pPr>
            <w:r>
              <w:rPr>
                <w:sz w:val="17"/>
              </w:rPr>
              <w:t>Kommissionierbedarfstyp</w:t>
            </w:r>
          </w:p>
        </w:tc>
        <w:tc>
          <w:tcPr>
            <w:tcW w:type="dxa" w:w="2351"/>
          </w:tcPr>
          <w:p>
            <w:pPr>
              <w:spacing w:after="0" w:line="252" w:lineRule="auto"/>
            </w:pPr>
            <w:r>
              <w:rPr>
                <w:sz w:val="17"/>
              </w:rPr>
              <w:t>Ältere Bestände ggf. später</w:t>
            </w:r>
          </w:p>
        </w:tc>
      </w:tr>
      <w:tr>
        <w:tc>
          <w:tcPr>
            <w:tcW w:type="dxa" w:w="3135"/>
          </w:tcPr>
          <w:p>
            <w:pPr>
              <w:spacing w:after="0" w:line="252" w:lineRule="auto"/>
            </w:pPr>
            <w:r>
              <w:rPr>
                <w:sz w:val="17"/>
              </w:rPr>
              <w:t xml:space="preserve">Reservierung </w:t>
            </w:r>
            <w:r>
              <w:rPr>
                <w:b/>
                <w:sz w:val="17"/>
              </w:rPr>
              <w:t>Belegung</w:t>
            </w:r>
          </w:p>
        </w:tc>
        <w:tc>
          <w:tcPr>
            <w:tcW w:type="dxa" w:w="1869"/>
          </w:tcPr>
          <w:p>
            <w:pPr>
              <w:spacing w:after="0" w:line="252" w:lineRule="auto"/>
            </w:pPr>
            <w:r>
              <w:rPr>
                <w:sz w:val="17"/>
              </w:rPr>
              <w:t>Boxen leeren</w:t>
            </w:r>
          </w:p>
        </w:tc>
        <w:tc>
          <w:tcPr>
            <w:tcW w:type="dxa" w:w="2170"/>
          </w:tcPr>
          <w:p>
            <w:pPr>
              <w:spacing w:after="0" w:line="252" w:lineRule="auto"/>
            </w:pPr>
            <w:r>
              <w:rPr>
                <w:sz w:val="17"/>
              </w:rPr>
              <w:t>Kommissionierbedarfstyp</w:t>
            </w:r>
          </w:p>
        </w:tc>
        <w:tc>
          <w:tcPr>
            <w:tcW w:type="dxa" w:w="2351"/>
          </w:tcPr>
          <w:p>
            <w:pPr>
              <w:spacing w:after="0" w:line="252" w:lineRule="auto"/>
            </w:pPr>
            <w:r>
              <w:rPr>
                <w:sz w:val="17"/>
              </w:rPr>
              <w:t>Mehr Tablarbewegungen möglich</w:t>
            </w:r>
          </w:p>
        </w:tc>
      </w:tr>
      <w:tr>
        <w:tc>
          <w:tcPr>
            <w:tcW w:type="dxa" w:w="3135"/>
          </w:tcPr>
          <w:p>
            <w:pPr>
              <w:spacing w:after="0" w:line="252" w:lineRule="auto"/>
            </w:pPr>
            <w:r>
              <w:rPr>
                <w:sz w:val="17"/>
              </w:rPr>
              <w:t xml:space="preserve">Reservierung </w:t>
            </w:r>
            <w:r>
              <w:rPr>
                <w:b/>
                <w:sz w:val="17"/>
              </w:rPr>
              <w:t>Fast leer</w:t>
            </w:r>
          </w:p>
        </w:tc>
        <w:tc>
          <w:tcPr>
            <w:tcW w:type="dxa" w:w="1869"/>
          </w:tcPr>
          <w:p>
            <w:pPr>
              <w:spacing w:after="0" w:line="252" w:lineRule="auto"/>
            </w:pPr>
            <w:r>
              <w:rPr>
                <w:sz w:val="17"/>
              </w:rPr>
              <w:t>Restmengen abbauen</w:t>
            </w:r>
          </w:p>
        </w:tc>
        <w:tc>
          <w:tcPr>
            <w:tcW w:type="dxa" w:w="2170"/>
          </w:tcPr>
          <w:p>
            <w:pPr>
              <w:spacing w:after="0" w:line="252" w:lineRule="auto"/>
            </w:pPr>
            <w:r>
              <w:rPr>
                <w:sz w:val="17"/>
              </w:rPr>
              <w:t>Kommissionierbedarfstyp</w:t>
            </w:r>
          </w:p>
        </w:tc>
        <w:tc>
          <w:tcPr>
            <w:tcW w:type="dxa" w:w="2351"/>
          </w:tcPr>
          <w:p>
            <w:pPr>
              <w:spacing w:after="0" w:line="252" w:lineRule="auto"/>
            </w:pPr>
            <w:r>
              <w:rPr>
                <w:sz w:val="17"/>
              </w:rPr>
              <w:t>–</w:t>
            </w:r>
          </w:p>
        </w:tc>
      </w:tr>
      <w:tr>
        <w:tc>
          <w:tcPr>
            <w:tcW w:type="dxa" w:w="3135"/>
          </w:tcPr>
          <w:p>
            <w:pPr>
              <w:spacing w:after="0" w:line="252" w:lineRule="auto"/>
            </w:pPr>
            <w:r>
              <w:rPr>
                <w:b/>
                <w:sz w:val="17"/>
              </w:rPr>
              <w:t>FIFO</w:t>
            </w:r>
            <w:r>
              <w:rPr>
                <w:sz w:val="17"/>
              </w:rPr>
              <w:t xml:space="preserve"> (Zeitzugriffsmodus)</w:t>
            </w:r>
          </w:p>
        </w:tc>
        <w:tc>
          <w:tcPr>
            <w:tcW w:type="dxa" w:w="1869"/>
          </w:tcPr>
          <w:p>
            <w:pPr>
              <w:spacing w:after="0" w:line="252" w:lineRule="auto"/>
            </w:pPr>
            <w:r>
              <w:rPr>
                <w:sz w:val="17"/>
              </w:rPr>
              <w:t>Ältester Bestand zuerst</w:t>
            </w:r>
          </w:p>
        </w:tc>
        <w:tc>
          <w:tcPr>
            <w:tcW w:type="dxa" w:w="2170"/>
          </w:tcPr>
          <w:p>
            <w:pPr>
              <w:spacing w:after="0" w:line="252" w:lineRule="auto"/>
            </w:pPr>
            <w:r>
              <w:rPr>
                <w:sz w:val="17"/>
              </w:rPr>
              <w:t>Kommissionierbedarfstyp</w:t>
            </w:r>
          </w:p>
        </w:tc>
        <w:tc>
          <w:tcPr>
            <w:tcW w:type="dxa" w:w="2351"/>
          </w:tcPr>
          <w:p>
            <w:pPr>
              <w:spacing w:after="0" w:line="252" w:lineRule="auto"/>
            </w:pPr>
            <w:r>
              <w:rPr>
                <w:sz w:val="17"/>
              </w:rPr>
              <w:t>Nach Erfassungszeit</w:t>
            </w:r>
          </w:p>
        </w:tc>
      </w:tr>
      <w:tr>
        <w:tc>
          <w:tcPr>
            <w:tcW w:type="dxa" w:w="3135"/>
          </w:tcPr>
          <w:p>
            <w:pPr>
              <w:spacing w:after="0" w:line="252" w:lineRule="auto"/>
            </w:pPr>
            <w:r>
              <w:rPr>
                <w:b/>
                <w:sz w:val="17"/>
              </w:rPr>
              <w:t>LIFO</w:t>
            </w:r>
            <w:r>
              <w:rPr>
                <w:sz w:val="17"/>
              </w:rPr>
              <w:t xml:space="preserve"> (Zeitzugriffsmodus)</w:t>
            </w:r>
          </w:p>
        </w:tc>
        <w:tc>
          <w:tcPr>
            <w:tcW w:type="dxa" w:w="1869"/>
          </w:tcPr>
          <w:p>
            <w:pPr>
              <w:spacing w:after="0" w:line="252" w:lineRule="auto"/>
            </w:pPr>
            <w:r>
              <w:rPr>
                <w:sz w:val="17"/>
              </w:rPr>
              <w:t>Jüngster Bestand zuerst</w:t>
            </w:r>
          </w:p>
        </w:tc>
        <w:tc>
          <w:tcPr>
            <w:tcW w:type="dxa" w:w="2170"/>
          </w:tcPr>
          <w:p>
            <w:pPr>
              <w:spacing w:after="0" w:line="252" w:lineRule="auto"/>
            </w:pPr>
            <w:r>
              <w:rPr>
                <w:sz w:val="17"/>
              </w:rPr>
              <w:t>Kommissionierbedarfstyp</w:t>
            </w:r>
          </w:p>
        </w:tc>
        <w:tc>
          <w:tcPr>
            <w:tcW w:type="dxa" w:w="2351"/>
          </w:tcPr>
          <w:p>
            <w:pPr>
              <w:spacing w:after="0" w:line="252" w:lineRule="auto"/>
            </w:pPr>
            <w:r>
              <w:rPr>
                <w:sz w:val="17"/>
              </w:rPr>
              <w:t>Nach Erfassungszeit</w:t>
            </w:r>
          </w:p>
        </w:tc>
      </w:tr>
      <w:tr>
        <w:tc>
          <w:tcPr>
            <w:tcW w:type="dxa" w:w="3135"/>
          </w:tcPr>
          <w:p>
            <w:pPr>
              <w:spacing w:after="0" w:line="252" w:lineRule="auto"/>
            </w:pPr>
            <w:r>
              <w:rPr>
                <w:sz w:val="17"/>
              </w:rPr>
              <w:t>Zeitbezogener Zugriffsmodus + Gleichwertigkeitsdauer</w:t>
            </w:r>
          </w:p>
        </w:tc>
        <w:tc>
          <w:tcPr>
            <w:tcW w:type="dxa" w:w="1869"/>
          </w:tcPr>
          <w:p>
            <w:pPr>
              <w:spacing w:after="0" w:line="252" w:lineRule="auto"/>
            </w:pPr>
            <w:r>
              <w:rPr>
                <w:sz w:val="17"/>
              </w:rPr>
              <w:t>Datum und Toleranz</w:t>
            </w:r>
          </w:p>
        </w:tc>
        <w:tc>
          <w:tcPr>
            <w:tcW w:type="dxa" w:w="2170"/>
          </w:tcPr>
          <w:p>
            <w:pPr>
              <w:spacing w:after="0" w:line="252" w:lineRule="auto"/>
            </w:pPr>
            <w:r>
              <w:rPr>
                <w:sz w:val="17"/>
              </w:rPr>
              <w:t>Artikel, Warengruppe, LM053, Partner</w:t>
            </w:r>
          </w:p>
        </w:tc>
        <w:tc>
          <w:tcPr>
            <w:tcW w:type="dxa" w:w="2351"/>
          </w:tcPr>
          <w:p>
            <w:pPr>
              <w:spacing w:after="0" w:line="252" w:lineRule="auto"/>
            </w:pPr>
            <w:r>
              <w:rPr>
                <w:sz w:val="17"/>
              </w:rPr>
              <w:t xml:space="preserve">Partner muss </w:t>
            </w:r>
            <w:r>
              <w:rPr>
                <w:b/>
                <w:sz w:val="17"/>
              </w:rPr>
              <w:t>Mild</w:t>
            </w:r>
            <w:r>
              <w:rPr>
                <w:sz w:val="17"/>
              </w:rPr>
              <w:t xml:space="preserve"> haben</w:t>
            </w:r>
          </w:p>
        </w:tc>
      </w:tr>
      <w:tr>
        <w:tc>
          <w:tcPr>
            <w:tcW w:type="dxa" w:w="3135"/>
          </w:tcPr>
          <w:p>
            <w:pPr>
              <w:spacing w:after="0" w:line="252" w:lineRule="auto"/>
            </w:pPr>
            <w:r>
              <w:rPr>
                <w:sz w:val="17"/>
              </w:rPr>
              <w:t>Bestandsauswahlmodus (MHD/Produktionsdatum)</w:t>
            </w:r>
          </w:p>
        </w:tc>
        <w:tc>
          <w:tcPr>
            <w:tcW w:type="dxa" w:w="1869"/>
          </w:tcPr>
          <w:p>
            <w:pPr>
              <w:spacing w:after="0" w:line="252" w:lineRule="auto"/>
            </w:pPr>
            <w:r>
              <w:rPr>
                <w:sz w:val="17"/>
              </w:rPr>
              <w:t>Datumsregel ≤ / ≥ / =</w:t>
            </w:r>
          </w:p>
        </w:tc>
        <w:tc>
          <w:tcPr>
            <w:tcW w:type="dxa" w:w="2170"/>
          </w:tcPr>
          <w:p>
            <w:pPr>
              <w:spacing w:after="0" w:line="252" w:lineRule="auto"/>
            </w:pPr>
            <w:r>
              <w:rPr>
                <w:sz w:val="17"/>
              </w:rPr>
              <w:t>LM053</w:t>
            </w:r>
          </w:p>
        </w:tc>
        <w:tc>
          <w:tcPr>
            <w:tcW w:type="dxa" w:w="2351"/>
          </w:tcPr>
          <w:p>
            <w:pPr>
              <w:spacing w:after="0" w:line="252" w:lineRule="auto"/>
            </w:pPr>
            <w:r>
              <w:rPr>
                <w:sz w:val="17"/>
              </w:rPr>
              <w:t>Datum muss im Bedarf stehen</w:t>
            </w:r>
          </w:p>
        </w:tc>
      </w:tr>
      <w:tr>
        <w:tc>
          <w:tcPr>
            <w:tcW w:type="dxa" w:w="3135"/>
          </w:tcPr>
          <w:p>
            <w:pPr>
              <w:spacing w:after="0" w:line="252" w:lineRule="auto"/>
            </w:pPr>
            <w:r>
              <w:rPr>
                <w:sz w:val="17"/>
              </w:rPr>
              <w:t>ABIA Mild / Streng</w:t>
            </w:r>
          </w:p>
        </w:tc>
        <w:tc>
          <w:tcPr>
            <w:tcW w:type="dxa" w:w="1869"/>
          </w:tcPr>
          <w:p>
            <w:pPr>
              <w:spacing w:after="0" w:line="252" w:lineRule="auto"/>
            </w:pPr>
            <w:r>
              <w:rPr>
                <w:sz w:val="17"/>
              </w:rPr>
              <w:t>Attributreinheit</w:t>
            </w:r>
          </w:p>
        </w:tc>
        <w:tc>
          <w:tcPr>
            <w:tcW w:type="dxa" w:w="2170"/>
          </w:tcPr>
          <w:p>
            <w:pPr>
              <w:spacing w:after="0" w:line="252" w:lineRule="auto"/>
            </w:pPr>
            <w:r>
              <w:rPr>
                <w:sz w:val="17"/>
              </w:rPr>
              <w:t>MD017 › Anpassbare BIA</w:t>
            </w:r>
          </w:p>
        </w:tc>
        <w:tc>
          <w:tcPr>
            <w:tcW w:type="dxa" w:w="2351"/>
          </w:tcPr>
          <w:p>
            <w:pPr>
              <w:spacing w:after="0" w:line="252" w:lineRule="auto"/>
            </w:pPr>
            <w:r>
              <w:rPr>
                <w:sz w:val="17"/>
              </w:rPr>
              <w:t>Streng: ohne ABIA nur Bestand ohne ABIA</w:t>
            </w:r>
          </w:p>
        </w:tc>
      </w:tr>
      <w:tr>
        <w:tc>
          <w:tcPr>
            <w:tcW w:type="dxa" w:w="3135"/>
          </w:tcPr>
          <w:p>
            <w:pPr>
              <w:spacing w:after="0" w:line="252" w:lineRule="auto"/>
            </w:pPr>
            <w:r>
              <w:rPr>
                <w:sz w:val="17"/>
              </w:rPr>
              <w:t>Milde Bestandsobjektsuche</w:t>
            </w:r>
          </w:p>
        </w:tc>
        <w:tc>
          <w:tcPr>
            <w:tcW w:type="dxa" w:w="1869"/>
          </w:tcPr>
          <w:p>
            <w:pPr>
              <w:spacing w:after="0" w:line="252" w:lineRule="auto"/>
            </w:pPr>
            <w:r>
              <w:rPr>
                <w:sz w:val="17"/>
              </w:rPr>
              <w:t>Fallback-Suche</w:t>
            </w:r>
          </w:p>
        </w:tc>
        <w:tc>
          <w:tcPr>
            <w:tcW w:type="dxa" w:w="2170"/>
          </w:tcPr>
          <w:p>
            <w:pPr>
              <w:spacing w:after="0" w:line="252" w:lineRule="auto"/>
            </w:pPr>
            <w:r>
              <w:rPr>
                <w:sz w:val="17"/>
              </w:rPr>
              <w:t>Systempartner WCS</w:t>
            </w:r>
          </w:p>
        </w:tc>
        <w:tc>
          <w:tcPr>
            <w:tcW w:type="dxa" w:w="2351"/>
          </w:tcPr>
          <w:p>
            <w:pPr>
              <w:spacing w:after="0" w:line="252" w:lineRule="auto"/>
            </w:pPr>
            <w:r>
              <w:rPr>
                <w:sz w:val="17"/>
              </w:rPr>
              <w:t>Erst streng, dann mild</w:t>
            </w:r>
          </w:p>
        </w:tc>
      </w:tr>
      <w:tr>
        <w:tc>
          <w:tcPr>
            <w:tcW w:type="dxa" w:w="3135"/>
          </w:tcPr>
          <w:p>
            <w:pPr>
              <w:spacing w:after="0" w:line="252" w:lineRule="auto"/>
            </w:pPr>
            <w:r>
              <w:rPr>
                <w:sz w:val="17"/>
              </w:rPr>
              <w:t>Priorität / Express</w:t>
            </w:r>
          </w:p>
        </w:tc>
        <w:tc>
          <w:tcPr>
            <w:tcW w:type="dxa" w:w="1869"/>
          </w:tcPr>
          <w:p>
            <w:pPr>
              <w:spacing w:after="0" w:line="252" w:lineRule="auto"/>
            </w:pPr>
            <w:r>
              <w:rPr>
                <w:sz w:val="17"/>
              </w:rPr>
              <w:t>Reihenfolge der Bedarfe</w:t>
            </w:r>
          </w:p>
        </w:tc>
        <w:tc>
          <w:tcPr>
            <w:tcW w:type="dxa" w:w="2170"/>
          </w:tcPr>
          <w:p>
            <w:pPr>
              <w:spacing w:after="0" w:line="252" w:lineRule="auto"/>
            </w:pPr>
            <w:r>
              <w:rPr>
                <w:sz w:val="17"/>
              </w:rPr>
              <w:t>Bedarf, LM053</w:t>
            </w:r>
          </w:p>
        </w:tc>
        <w:tc>
          <w:tcPr>
            <w:tcW w:type="dxa" w:w="2351"/>
          </w:tcPr>
          <w:p>
            <w:pPr>
              <w:spacing w:after="0" w:line="252" w:lineRule="auto"/>
            </w:pPr>
            <w:r>
              <w:rPr>
                <w:sz w:val="17"/>
              </w:rPr>
              <w:t>Express unterbricht</w:t>
            </w:r>
          </w:p>
        </w:tc>
      </w:tr>
      <w:tr>
        <w:tc>
          <w:tcPr>
            <w:tcW w:type="dxa" w:w="3135"/>
          </w:tcPr>
          <w:p>
            <w:pPr>
              <w:spacing w:after="0" w:line="252" w:lineRule="auto"/>
            </w:pPr>
            <w:r>
              <w:rPr>
                <w:rFonts w:ascii="Consolas" w:hAnsi="Consolas" w:cs="Consolas" w:eastAsia="Consolas"/>
                <w:sz w:val="15"/>
              </w:rPr>
              <w:t>allocationMode</w:t>
            </w:r>
            <w:r>
              <w:rPr>
                <w:sz w:val="17"/>
              </w:rPr>
              <w:t xml:space="preserve"> NORMAL / CONTINUE</w:t>
            </w:r>
          </w:p>
        </w:tc>
        <w:tc>
          <w:tcPr>
            <w:tcW w:type="dxa" w:w="1869"/>
          </w:tcPr>
          <w:p>
            <w:pPr>
              <w:spacing w:after="0" w:line="252" w:lineRule="auto"/>
            </w:pPr>
            <w:r>
              <w:rPr>
                <w:sz w:val="17"/>
              </w:rPr>
              <w:t>Priorität vs. Auftragsabschluss</w:t>
            </w:r>
          </w:p>
        </w:tc>
        <w:tc>
          <w:tcPr>
            <w:tcW w:type="dxa" w:w="2170"/>
          </w:tcPr>
          <w:p>
            <w:pPr>
              <w:spacing w:after="0" w:line="252" w:lineRule="auto"/>
            </w:pPr>
            <w:r>
              <w:rPr>
                <w:sz w:val="17"/>
              </w:rPr>
              <w:t>FW028</w:t>
            </w:r>
          </w:p>
        </w:tc>
        <w:tc>
          <w:tcPr>
            <w:tcW w:type="dxa" w:w="2351"/>
          </w:tcPr>
          <w:p>
            <w:pPr>
              <w:spacing w:after="0" w:line="252" w:lineRule="auto"/>
            </w:pPr>
            <w:r>
              <w:rPr>
                <w:sz w:val="17"/>
              </w:rPr>
              <w:t>Standard CONTINUE</w:t>
            </w:r>
          </w:p>
        </w:tc>
      </w:tr>
      <w:tr>
        <w:tc>
          <w:tcPr>
            <w:tcW w:type="dxa" w:w="3135"/>
          </w:tcPr>
          <w:p>
            <w:pPr>
              <w:spacing w:after="0" w:line="252" w:lineRule="auto"/>
            </w:pPr>
            <w:r>
              <w:rPr>
                <w:sz w:val="17"/>
              </w:rPr>
              <w:t>Aktivierungsstrategie</w:t>
            </w:r>
          </w:p>
        </w:tc>
        <w:tc>
          <w:tcPr>
            <w:tcW w:type="dxa" w:w="1869"/>
          </w:tcPr>
          <w:p>
            <w:pPr>
              <w:spacing w:after="0" w:line="252" w:lineRule="auto"/>
            </w:pPr>
            <w:r>
              <w:rPr>
                <w:sz w:val="17"/>
              </w:rPr>
              <w:t>Benutzerwahl</w:t>
            </w:r>
          </w:p>
        </w:tc>
        <w:tc>
          <w:tcPr>
            <w:tcW w:type="dxa" w:w="2170"/>
          </w:tcPr>
          <w:p>
            <w:pPr>
              <w:spacing w:after="0" w:line="252" w:lineRule="auto"/>
            </w:pPr>
            <w:r>
              <w:rPr>
                <w:sz w:val="17"/>
              </w:rPr>
              <w:t>Bedarfstyp</w:t>
            </w:r>
          </w:p>
        </w:tc>
        <w:tc>
          <w:tcPr>
            <w:tcW w:type="dxa" w:w="2351"/>
          </w:tcPr>
          <w:p>
            <w:pPr>
              <w:spacing w:after="0" w:line="252" w:lineRule="auto"/>
            </w:pPr>
            <w:r>
              <w:rPr>
                <w:sz w:val="17"/>
              </w:rPr>
              <w:t>Nur bei automatischer Aktivierung</w:t>
            </w:r>
          </w:p>
        </w:tc>
      </w:tr>
    </w:tbl>
    <w:p>
      <w:pPr>
        <w:pStyle w:val="BeschriftungSSI"/>
      </w:pPr>
      <w:r>
        <w:t>Tab. 23: Vergleich der Auslager- und Kommissionierstrategien</w:t>
      </w:r>
    </w:p>
    <w:p>
      <w:pPr>
        <w:pStyle w:val="Quelle"/>
      </w:pPr>
      <w:r>
        <w:rPr>
          <w:b/>
        </w:rPr>
        <w:t xml:space="preserve">Quelle: </w:t>
      </w:r>
      <w:r>
        <w:rPr>
          <w:sz w:val="17"/>
        </w:rPr>
        <w:t>Zusammenfassung der Kapitel 3–8</w:t>
      </w:r>
    </w:p>
    <w:p>
      <w:pPr>
        <w:pStyle w:val="Heading1"/>
      </w:pPr>
      <w:r>
        <w:t>11 Stolperfallen</w:t>
      </w:r>
    </w:p>
    <w:p>
      <w:pPr>
        <w:pStyle w:val="ListBullet"/>
      </w:pPr>
      <w:r>
        <w:rPr>
          <w:b/>
        </w:rPr>
        <w:t>Reihenfolge der Strategieermittlung:</w:t>
      </w:r>
      <w:r>
        <w:t xml:space="preserve"> Eine Strategie am Artikel übersteuert Warengruppe und Bedarfstyp. Ein „vergessener“ Artikelwert erklärt oft unerwartetes Verhalten.</w:t>
      </w:r>
    </w:p>
    <w:p>
      <w:pPr>
        <w:pStyle w:val="ListBullet"/>
      </w:pPr>
      <w:r>
        <w:rPr>
          <w:b/>
        </w:rPr>
        <w:t>Standardstrategien sind schreibgeschützt.</w:t>
      </w:r>
      <w:r>
        <w:t xml:space="preserve"> Anpassungen nur über neue CUSTOM-Strategien in LM145.</w:t>
      </w:r>
    </w:p>
    <w:p>
      <w:pPr>
        <w:pStyle w:val="ListBullet"/>
      </w:pPr>
      <w:r>
        <w:rPr>
          <w:b/>
        </w:rPr>
        <w:t>ABC-Nummernkreis</w:t>
      </w:r>
      <w:r>
        <w:t xml:space="preserve"> muss laut Handbuch bei jeder Änderung von Zeile, Minimum oder Maximum für den gesamten Bereich 0–999 validiert und abgedeckt sein.</w:t>
      </w:r>
    </w:p>
    <w:p>
      <w:pPr>
        <w:pStyle w:val="ListBullet"/>
      </w:pPr>
      <w:r>
        <w:rPr>
          <w:b/>
        </w:rPr>
        <w:t>FIFO/LIFO am Bedarfstyp</w:t>
      </w:r>
      <w:r>
        <w:t xml:space="preserve"> bezieht sich auf die </w:t>
      </w:r>
      <w:r>
        <w:rPr>
          <w:b/>
        </w:rPr>
        <w:t>Erfassungszeit</w:t>
      </w:r>
      <w:r>
        <w:t>, nicht auf das MHD. Für MHD-gesteuerte Auslagerung zusätzlich Artikelmodus, MHD-Erfassung und Bestandsauswahlmodus prüfen.</w:t>
      </w:r>
    </w:p>
    <w:p>
      <w:pPr>
        <w:pStyle w:val="ListBullet"/>
      </w:pPr>
      <w:r>
        <w:rPr>
          <w:b/>
        </w:rPr>
        <w:t>Bestandsauswahlmodus wirkt nur mit Datum im Bedarf.</w:t>
      </w:r>
      <w:r>
        <w:t xml:space="preserve"> Ohne </w:t>
      </w:r>
      <w:r>
        <w:rPr>
          <w:rFonts w:ascii="Consolas" w:hAnsi="Consolas" w:cs="Consolas" w:eastAsia="Consolas"/>
          <w:sz w:val="18"/>
        </w:rPr>
        <w:t>bbDate</w:t>
      </w:r>
      <w:r>
        <w:t>/</w:t>
      </w:r>
      <w:r>
        <w:rPr>
          <w:rFonts w:ascii="Consolas" w:hAnsi="Consolas" w:cs="Consolas" w:eastAsia="Consolas"/>
          <w:sz w:val="18"/>
        </w:rPr>
        <w:t>prodDate</w:t>
      </w:r>
      <w:r>
        <w:t xml:space="preserve"> in der Bedarfszeile hat eine MHD-Regel nichts zu vergleichen.</w:t>
      </w:r>
    </w:p>
    <w:p>
      <w:pPr>
        <w:pStyle w:val="ListBullet"/>
      </w:pPr>
      <w:r>
        <w:rPr>
          <w:b/>
        </w:rPr>
        <w:t>Gleichwertigkeitsdauer</w:t>
      </w:r>
      <w:r>
        <w:t xml:space="preserve"> braucht beim Partner </w:t>
      </w:r>
      <w:r>
        <w:rPr>
          <w:b/>
        </w:rPr>
        <w:t>Gleichwertigkeitsdauerstrategie = Mild</w:t>
      </w:r>
      <w:r>
        <w:t>.</w:t>
      </w:r>
    </w:p>
    <w:p>
      <w:pPr>
        <w:pStyle w:val="ListBullet"/>
      </w:pPr>
      <w:r>
        <w:rPr>
          <w:b/>
        </w:rPr>
        <w:t>ABIA streng</w:t>
      </w:r>
      <w:r>
        <w:t xml:space="preserve"> liefert bei Bedarfen ohne ABIA nur Bestand </w:t>
      </w:r>
      <w:r>
        <w:rPr>
          <w:b/>
        </w:rPr>
        <w:t>ohne</w:t>
      </w:r>
      <w:r>
        <w:t xml:space="preserve"> ABIA – Bestand mit beliebigem ABIA bleibt liegen.</w:t>
      </w:r>
    </w:p>
    <w:p>
      <w:pPr>
        <w:pStyle w:val="ListBullet"/>
      </w:pPr>
      <w:r>
        <w:rPr>
          <w:b/>
        </w:rPr>
        <w:t>Homogenität</w:t>
      </w:r>
      <w:r>
        <w:t xml:space="preserve"> greift nur, wenn SM042 für den strategischen Bereich gepflegt ist, die Zone in LM069 diesen Bereich führt und die Homogenitätsprüfung aktiv ist.</w:t>
      </w:r>
    </w:p>
    <w:p>
      <w:pPr>
        <w:pStyle w:val="ListBullet"/>
      </w:pPr>
      <w:r>
        <w:rPr>
          <w:b/>
        </w:rPr>
        <w:t>Boxtyp-Zuordnungen</w:t>
      </w:r>
      <w:r>
        <w:t xml:space="preserve"> mit Status ungleich Normal werden für Einlagerreservierungen ignoriert.</w:t>
      </w:r>
    </w:p>
    <w:p>
      <w:pPr>
        <w:pStyle w:val="ListBullet"/>
      </w:pPr>
      <w:r>
        <w:rPr>
          <w:b/>
        </w:rPr>
        <w:t>Füllgrad 0</w:t>
      </w:r>
      <w:r>
        <w:t xml:space="preserve"> heißt 100 %, nicht 0 %.</w:t>
      </w:r>
    </w:p>
    <w:p>
      <w:pPr>
        <w:pStyle w:val="ListBullet"/>
      </w:pPr>
      <w:r>
        <w:rPr>
          <w:b/>
        </w:rPr>
        <w:t>`allocationMode` CONTINUE</w:t>
      </w:r>
      <w:r>
        <w:t xml:space="preserve"> kann höher priorisierte Bedarfe (außer Express) verzögern.</w:t>
      </w:r>
    </w:p>
    <w:p>
      <w:pPr>
        <w:pStyle w:val="ListBullet"/>
      </w:pPr>
      <w:r>
        <w:rPr>
          <w:b/>
        </w:rPr>
        <w:t>Dokumentationsfehler:</w:t>
      </w:r>
      <w:r>
        <w:t xml:space="preserve"> „LM040 Bestandshomogenitätstypen“ = SM041; Produktionsdatum-Regel spricht von MHD.</w:t>
      </w:r>
    </w:p>
    <w:p>
      <w:pPr>
        <w:pStyle w:val="ListBullet"/>
      </w:pPr>
      <w:r>
        <w:rPr>
          <w:b/>
        </w:rPr>
        <w:t>Parameter nur im Installationshandbuch</w:t>
      </w:r>
      <w:r>
        <w:t xml:space="preserve"> (</w:t>
      </w:r>
      <w:r>
        <w:rPr>
          <w:rFonts w:ascii="Consolas" w:hAnsi="Consolas" w:cs="Consolas" w:eastAsia="Consolas"/>
          <w:sz w:val="18"/>
        </w:rPr>
        <w:t>logimat.storageOptimization</w:t>
      </w:r>
      <w:r>
        <w:t xml:space="preserve">, </w:t>
      </w:r>
      <w:r>
        <w:rPr>
          <w:rFonts w:ascii="Consolas" w:hAnsi="Consolas" w:cs="Consolas" w:eastAsia="Consolas"/>
          <w:sz w:val="18"/>
        </w:rPr>
        <w:t>logimat.picking.reservationStrategy</w:t>
      </w:r>
      <w:r>
        <w:t xml:space="preserve">, </w:t>
      </w:r>
      <w:r>
        <w:rPr>
          <w:rFonts w:ascii="Consolas" w:hAnsi="Consolas" w:cs="Consolas" w:eastAsia="Consolas"/>
          <w:sz w:val="18"/>
        </w:rPr>
        <w:t>…activationStrategy</w:t>
      </w:r>
      <w:r>
        <w:t>) sind im Administratorhandbuch nicht mehr enthalten; Wirkung im Projekt testen.</w:t>
      </w:r>
    </w:p>
    <w:p>
      <w:pPr>
        <w:pStyle w:val="Quelle"/>
      </w:pPr>
      <w:r>
        <w:rPr>
          <w:b/>
        </w:rPr>
        <w:t xml:space="preserve">Quelle: </w:t>
      </w:r>
      <w:r>
        <w:rPr>
          <w:sz w:val="17"/>
        </w:rPr>
        <w:t>Zusammenstellung aus den in Kapitel 3–9 genannten Quellen</w:t>
      </w:r>
    </w:p>
    <w:p>
      <w:pPr>
        <w:pStyle w:val="Heading1"/>
      </w:pPr>
      <w:r>
        <w:t>12 Praxisbeispiele</w:t>
      </w:r>
    </w:p>
    <w:p>
      <w:pPr>
        <w:pStyle w:val="Heading2"/>
      </w:pPr>
      <w:r>
        <w:t>12.1 MHD-gesteuerte Auslagerung (FEFO-nah) für einen Lebensmittel-Klienten</w:t>
      </w:r>
    </w:p>
    <w:p>
      <w:r>
        <w:t xml:space="preserve">Beispiel (konstruiert, bitte prüfen): Klient </w:t>
      </w:r>
      <w:r>
        <w:rPr>
          <w:rFonts w:ascii="Consolas" w:hAnsi="Consolas" w:cs="Consolas" w:eastAsia="Consolas"/>
          <w:sz w:val="18"/>
        </w:rPr>
        <w:t>FOOD</w:t>
      </w:r>
      <w:r>
        <w:t xml:space="preserve"> lagert Artikel mit MHD. Ausgeliefert werden soll immer der Bestand mit dem frühesten MHD; Kunden mit Mindest-MHD sollen nur passende Ware erhalten.</w:t>
      </w:r>
    </w:p>
    <w:p>
      <w:pPr>
        <w:tabs>
          <w:tab w:pos="425" w:val="left"/>
        </w:tabs>
        <w:spacing w:after="60"/>
        <w:ind w:left="425" w:hanging="425"/>
      </w:pPr>
      <w:r>
        <w:rPr>
          <w:b/>
        </w:rPr>
        <w:t>1.</w:t>
        <w:tab/>
      </w:r>
      <w:r>
        <w:rPr>
          <w:b/>
        </w:rPr>
        <w:t>MD002</w:t>
      </w:r>
      <w:r>
        <w:t xml:space="preserve"> je Artikel: Bestandsidentifizierende Attribute </w:t>
      </w:r>
      <w:r>
        <w:rPr>
          <w:b/>
        </w:rPr>
        <w:t>MHD</w:t>
      </w:r>
      <w:r>
        <w:t xml:space="preserve"> im Wareneingang = </w:t>
      </w:r>
      <w:r>
        <w:rPr>
          <w:b/>
        </w:rPr>
        <w:t>Obligatorisch</w:t>
      </w:r>
      <w:r>
        <w:t xml:space="preserve"> (Schnittstelle </w:t>
      </w:r>
      <w:r>
        <w:rPr>
          <w:rFonts w:ascii="Consolas" w:hAnsi="Consolas" w:cs="Consolas" w:eastAsia="Consolas"/>
          <w:sz w:val="18"/>
        </w:rPr>
        <w:t>igBbDateRegistration</w:t>
      </w:r>
      <w:r>
        <w:t xml:space="preserve"> = </w:t>
      </w:r>
      <w:r>
        <w:rPr>
          <w:rFonts w:ascii="Consolas" w:hAnsi="Consolas" w:cs="Consolas" w:eastAsia="Consolas"/>
          <w:sz w:val="18"/>
        </w:rPr>
        <w:t>MANDATORY</w:t>
      </w:r>
      <w:r>
        <w:t>).</w:t>
      </w:r>
    </w:p>
    <w:p>
      <w:pPr>
        <w:tabs>
          <w:tab w:pos="425" w:val="left"/>
        </w:tabs>
        <w:spacing w:after="60"/>
        <w:ind w:left="425" w:hanging="425"/>
      </w:pPr>
      <w:r>
        <w:rPr>
          <w:b/>
        </w:rPr>
        <w:t>2.</w:t>
        <w:tab/>
      </w:r>
      <w:r>
        <w:rPr>
          <w:b/>
        </w:rPr>
        <w:t>MD002</w:t>
      </w:r>
      <w:r>
        <w:t xml:space="preserve"> › Artikel › </w:t>
      </w:r>
      <w:r>
        <w:rPr>
          <w:rFonts w:ascii="Consolas" w:hAnsi="Consolas" w:cs="Consolas" w:eastAsia="Consolas"/>
          <w:sz w:val="18"/>
        </w:rPr>
        <w:t>Zeitbezogener Zugriffsmodus</w:t>
      </w:r>
      <w:r>
        <w:t xml:space="preserve"> = </w:t>
      </w:r>
      <w:r>
        <w:rPr>
          <w:b/>
        </w:rPr>
        <w:t>Mindesthaltbarkeitsdatum</w:t>
      </w:r>
      <w:r>
        <w:t xml:space="preserve"> (Schnittstelle </w:t>
      </w:r>
      <w:r>
        <w:rPr>
          <w:rFonts w:ascii="Consolas" w:hAnsi="Consolas" w:cs="Consolas" w:eastAsia="Consolas"/>
          <w:sz w:val="18"/>
        </w:rPr>
        <w:t>timeBasedAccMode</w:t>
      </w:r>
      <w:r>
        <w:t xml:space="preserve"> = </w:t>
      </w:r>
      <w:r>
        <w:rPr>
          <w:rFonts w:ascii="Consolas" w:hAnsi="Consolas" w:cs="Consolas" w:eastAsia="Consolas"/>
          <w:sz w:val="18"/>
        </w:rPr>
        <w:t>BBD</w:t>
      </w:r>
      <w:r>
        <w:t xml:space="preserve">), </w:t>
      </w:r>
      <w:r>
        <w:rPr>
          <w:rFonts w:ascii="Consolas" w:hAnsi="Consolas" w:cs="Consolas" w:eastAsia="Consolas"/>
          <w:sz w:val="18"/>
        </w:rPr>
        <w:t>Artikelgleichwertigkeitsdauer</w:t>
      </w:r>
      <w:r>
        <w:t xml:space="preserve"> z. B. 0 d oder kleine Toleranz.</w:t>
      </w:r>
    </w:p>
    <w:p>
      <w:pPr>
        <w:tabs>
          <w:tab w:pos="425" w:val="left"/>
        </w:tabs>
        <w:spacing w:after="60"/>
        <w:ind w:left="425" w:hanging="425"/>
      </w:pPr>
      <w:r>
        <w:rPr>
          <w:b/>
        </w:rPr>
        <w:t>3.</w:t>
        <w:tab/>
      </w:r>
      <w:r>
        <w:rPr>
          <w:b/>
        </w:rPr>
        <w:t>MD017</w:t>
      </w:r>
      <w:r>
        <w:t xml:space="preserve"> › Kommissionierbedarfstyp </w:t>
      </w:r>
      <w:r>
        <w:rPr>
          <w:rFonts w:ascii="Consolas" w:hAnsi="Consolas" w:cs="Consolas" w:eastAsia="Consolas"/>
          <w:sz w:val="18"/>
        </w:rPr>
        <w:t>SHPG</w:t>
      </w:r>
      <w:r>
        <w:t xml:space="preserve">: </w:t>
      </w:r>
      <w:r>
        <w:rPr>
          <w:rFonts w:ascii="Consolas" w:hAnsi="Consolas" w:cs="Consolas" w:eastAsia="Consolas"/>
          <w:sz w:val="18"/>
        </w:rPr>
        <w:t>Zeitzugriffsmodus</w:t>
      </w:r>
      <w:r>
        <w:t xml:space="preserve"> = </w:t>
      </w:r>
      <w:r>
        <w:rPr>
          <w:b/>
        </w:rPr>
        <w:t>First In – First Out</w:t>
      </w:r>
      <w:r>
        <w:t xml:space="preserve">, </w:t>
      </w:r>
      <w:r>
        <w:rPr>
          <w:rFonts w:ascii="Consolas" w:hAnsi="Consolas" w:cs="Consolas" w:eastAsia="Consolas"/>
          <w:sz w:val="18"/>
        </w:rPr>
        <w:t>Reservierungsstrategie</w:t>
      </w:r>
      <w:r>
        <w:t xml:space="preserve"> = </w:t>
      </w:r>
      <w:r>
        <w:rPr>
          <w:b/>
        </w:rPr>
        <w:t>Belegung</w:t>
      </w:r>
      <w:r>
        <w:t>.</w:t>
      </w:r>
    </w:p>
    <w:p>
      <w:pPr>
        <w:tabs>
          <w:tab w:pos="425" w:val="left"/>
        </w:tabs>
        <w:spacing w:after="60"/>
        <w:ind w:left="425" w:hanging="425"/>
      </w:pPr>
      <w:r>
        <w:rPr>
          <w:b/>
        </w:rPr>
        <w:t>4.</w:t>
        <w:tab/>
      </w:r>
      <w:r>
        <w:rPr>
          <w:b/>
        </w:rPr>
        <w:t>LM053</w:t>
      </w:r>
      <w:r>
        <w:t xml:space="preserve"> › Bestandsauswahlmodus: Prozess </w:t>
      </w:r>
      <w:r>
        <w:rPr>
          <w:b/>
        </w:rPr>
        <w:t>Kommissionierreservierung</w:t>
      </w:r>
      <w:r>
        <w:t xml:space="preserve">, MHD-Regel </w:t>
      </w:r>
      <w:r>
        <w:rPr>
          <w:b/>
        </w:rPr>
        <w:t>Größer als oder gleich</w:t>
      </w:r>
      <w:r>
        <w:t xml:space="preserve">, Produktionsdatum </w:t>
      </w:r>
      <w:r>
        <w:rPr>
          <w:b/>
        </w:rPr>
        <w:t>Irrelevant</w:t>
      </w:r>
      <w:r>
        <w:t>.</w:t>
      </w:r>
    </w:p>
    <w:p>
      <w:pPr>
        <w:tabs>
          <w:tab w:pos="425" w:val="left"/>
        </w:tabs>
        <w:spacing w:after="60"/>
        <w:ind w:left="425" w:hanging="425"/>
      </w:pPr>
      <w:r>
        <w:rPr>
          <w:b/>
        </w:rPr>
        <w:t>5.</w:t>
        <w:tab/>
      </w:r>
      <w:r>
        <w:rPr>
          <w:b/>
        </w:rPr>
        <w:t>SM041/SM042</w:t>
      </w:r>
      <w:r>
        <w:t>: Homogenitätstyp mit Klient, Artikel, Variante, MHD für den LOGIMAT-Bereich, damit unterschiedliche MHD nicht in einer Box liegen.</w:t>
      </w:r>
    </w:p>
    <w:p>
      <w:pPr>
        <w:tabs>
          <w:tab w:pos="425" w:val="left"/>
        </w:tabs>
        <w:spacing w:after="60"/>
        <w:ind w:left="425" w:hanging="425"/>
      </w:pPr>
      <w:r>
        <w:rPr>
          <w:b/>
        </w:rPr>
        <w:t>6.</w:t>
        <w:tab/>
      </w:r>
      <w:r>
        <w:t xml:space="preserve">ERP sendet für Kunden mit Mindest-MHD die Bedarfszeile mit </w:t>
      </w:r>
      <w:r>
        <w:rPr>
          <w:rFonts w:ascii="Consolas" w:hAnsi="Consolas" w:cs="Consolas" w:eastAsia="Consolas"/>
          <w:sz w:val="18"/>
        </w:rPr>
        <w:t>bbDate</w:t>
      </w:r>
      <w:r>
        <w:t>; ohne Vorgabe bleibt das Feld leer.</w:t>
      </w:r>
    </w:p>
    <w:p>
      <w:pPr>
        <w:tabs>
          <w:tab w:pos="425" w:val="left"/>
        </w:tabs>
        <w:spacing w:after="60"/>
        <w:ind w:left="425" w:hanging="425"/>
      </w:pPr>
      <w:r>
        <w:rPr>
          <w:b/>
        </w:rPr>
        <w:t>7.</w:t>
        <w:tab/>
      </w:r>
      <w:r>
        <w:t xml:space="preserve">Test: Zwei Boxen mit MHD 01.05. und 01.08.; Bedarf ohne </w:t>
      </w:r>
      <w:r>
        <w:rPr>
          <w:rFonts w:ascii="Consolas" w:hAnsi="Consolas" w:cs="Consolas" w:eastAsia="Consolas"/>
          <w:sz w:val="18"/>
        </w:rPr>
        <w:t>bbDate</w:t>
      </w:r>
      <w:r>
        <w:t xml:space="preserve"> → erwartet Box 01.05.; Bedarf mit </w:t>
      </w:r>
      <w:r>
        <w:rPr>
          <w:rFonts w:ascii="Consolas" w:hAnsi="Consolas" w:cs="Consolas" w:eastAsia="Consolas"/>
          <w:sz w:val="18"/>
        </w:rPr>
        <w:t>bbDate</w:t>
      </w:r>
      <w:r>
        <w:t xml:space="preserve"> = 01.06. → erwartet Box 01.08.</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In den Unterlagen nicht beschrieben</w:t>
            </w:r>
          </w:p>
          <w:p>
            <w:pPr>
              <w:spacing w:after="40"/>
            </w:pPr>
            <w:r>
              <w:rPr>
                <w:sz w:val="19"/>
              </w:rPr>
              <w:t>Ob Schritt 2 zusammen mit FIFO tatsächlich nach MHD sortiert (echtes FEFO), ist nicht dokumentiert. Der Test in Schritt 7 ist deshalb vor Go-live zwingend.</w:t>
            </w:r>
          </w:p>
        </w:tc>
      </w:tr>
    </w:tbl>
    <w:p>
      <w:pPr>
        <w:spacing w:after="40"/>
      </w:pPr>
    </w:p>
    <w:p>
      <w:pPr>
        <w:pStyle w:val="Quelle"/>
      </w:pPr>
      <w:r>
        <w:rPr>
          <w:b/>
        </w:rPr>
        <w:t xml:space="preserve">Quelle: </w:t>
      </w:r>
      <w:r>
        <w:rPr>
          <w:sz w:val="17"/>
        </w:rPr>
        <w:t>Administratorhandbuch 2.7, Kap. 3.1.3.2, 3.6.1.10, 3.6.3.1, 3.6.3.3, 3.6.6–3.6.7; Schnittstellenhandbuch WLS–ERP 2.7, WLSITEM001 und WLSPDL002</w:t>
      </w:r>
    </w:p>
    <w:p>
      <w:pPr>
        <w:pStyle w:val="Heading2"/>
      </w:pPr>
      <w:r>
        <w:t>12.2 Drei SSI LOGIMAT gleichmäßig belegen und Schnelldreher bündeln</w:t>
      </w:r>
    </w:p>
    <w:p>
      <w:r>
        <w:t xml:space="preserve">Beispiel (konstruiert, bitte prüfen): Zone </w:t>
      </w:r>
      <w:r>
        <w:rPr>
          <w:rFonts w:ascii="Consolas" w:hAnsi="Consolas" w:cs="Consolas" w:eastAsia="Consolas"/>
          <w:sz w:val="18"/>
        </w:rPr>
        <w:t>ZONE1</w:t>
      </w:r>
      <w:r>
        <w:t xml:space="preserve"> mit drei SSI LOGIMAT. Schnelldreher sollen tablaroptimiert in den LOGIMAT mit dem geringsten Bestand, Langsamdreher platzsparend eingelagert werden.</w:t>
      </w:r>
    </w:p>
    <w:p>
      <w:pPr>
        <w:tabs>
          <w:tab w:pos="425" w:val="left"/>
        </w:tabs>
        <w:spacing w:after="60"/>
        <w:ind w:left="425" w:hanging="425"/>
      </w:pPr>
      <w:r>
        <w:rPr>
          <w:b/>
        </w:rPr>
        <w:t>1.</w:t>
        <w:tab/>
      </w:r>
      <w:r>
        <w:t xml:space="preserve">ABC-Werte pflegen: Warengruppe </w:t>
      </w:r>
      <w:r>
        <w:rPr>
          <w:rFonts w:ascii="Consolas" w:hAnsi="Consolas" w:cs="Consolas" w:eastAsia="Consolas"/>
          <w:sz w:val="18"/>
        </w:rPr>
        <w:t>Artikel-ABC-Berechnung</w:t>
      </w:r>
      <w:r>
        <w:t xml:space="preserve"> aktiv, in </w:t>
      </w:r>
      <w:r>
        <w:rPr>
          <w:b/>
        </w:rPr>
        <w:t>LM069</w:t>
      </w:r>
      <w:r>
        <w:t xml:space="preserve"> › ABC-Wertberechnungen z. B. </w:t>
      </w:r>
      <w:r>
        <w:rPr>
          <w:b/>
        </w:rPr>
        <w:t># Picks</w:t>
      </w:r>
      <w:r>
        <w:t xml:space="preserve"> mit Gewichtung 1; Vorschläge in </w:t>
      </w:r>
      <w:r>
        <w:rPr>
          <w:b/>
        </w:rPr>
        <w:t>MD081/MD082</w:t>
      </w:r>
      <w:r>
        <w:t xml:space="preserve"> berechnen und annehmen.</w:t>
      </w:r>
    </w:p>
    <w:p>
      <w:pPr>
        <w:tabs>
          <w:tab w:pos="425" w:val="left"/>
        </w:tabs>
        <w:spacing w:after="60"/>
        <w:ind w:left="425" w:hanging="425"/>
      </w:pPr>
      <w:r>
        <w:rPr>
          <w:b/>
        </w:rPr>
        <w:t>2.</w:t>
        <w:tab/>
      </w:r>
      <w:r>
        <w:rPr>
          <w:b/>
        </w:rPr>
        <w:t>LM145</w:t>
      </w:r>
      <w:r>
        <w:t xml:space="preserve">: Strategie </w:t>
      </w:r>
      <w:r>
        <w:rPr>
          <w:rFonts w:ascii="Consolas" w:hAnsi="Consolas" w:cs="Consolas" w:eastAsia="Consolas"/>
          <w:sz w:val="18"/>
        </w:rPr>
        <w:t>LS_SCHNELL</w:t>
      </w:r>
      <w:r>
        <w:t xml:space="preserve"> (Zweck SSI LOGIMAT, </w:t>
      </w:r>
      <w:r>
        <w:rPr>
          <w:rFonts w:ascii="Consolas" w:hAnsi="Consolas" w:cs="Consolas" w:eastAsia="Consolas"/>
          <w:sz w:val="18"/>
        </w:rPr>
        <w:t>Niedrigste Bestandsniveaus berechnen</w:t>
      </w:r>
      <w:r>
        <w:t xml:space="preserve"> aktiv) anlegen; Kriterien nach Systemangebot.</w:t>
      </w:r>
    </w:p>
    <w:p>
      <w:pPr>
        <w:tabs>
          <w:tab w:pos="425" w:val="left"/>
        </w:tabs>
        <w:spacing w:after="60"/>
        <w:ind w:left="425" w:hanging="425"/>
      </w:pPr>
      <w:r>
        <w:rPr>
          <w:b/>
        </w:rPr>
        <w:t>3.</w:t>
        <w:tab/>
      </w:r>
      <w:r>
        <w:rPr>
          <w:b/>
        </w:rPr>
        <w:t>LM145</w:t>
      </w:r>
      <w:r>
        <w:t xml:space="preserve">: Strategie </w:t>
      </w:r>
      <w:r>
        <w:rPr>
          <w:rFonts w:ascii="Consolas" w:hAnsi="Consolas" w:cs="Consolas" w:eastAsia="Consolas"/>
          <w:sz w:val="18"/>
        </w:rPr>
        <w:t>LS_ABC</w:t>
      </w:r>
      <w:r>
        <w:t xml:space="preserve"> (Zweck SSI LOGIMAT, </w:t>
      </w:r>
      <w:r>
        <w:rPr>
          <w:rFonts w:ascii="Consolas" w:hAnsi="Consolas" w:cs="Consolas" w:eastAsia="Consolas"/>
          <w:sz w:val="18"/>
        </w:rPr>
        <w:t>ABC</w:t>
      </w:r>
      <w:r>
        <w:t xml:space="preserve"> aktiv) mit Nummernkreisen 0–333 → </w:t>
      </w:r>
      <w:r>
        <w:rPr>
          <w:rFonts w:ascii="Consolas" w:hAnsi="Consolas" w:cs="Consolas" w:eastAsia="Consolas"/>
          <w:sz w:val="18"/>
        </w:rPr>
        <w:t>LS_SCHNELL</w:t>
      </w:r>
      <w:r>
        <w:t xml:space="preserve">, 334–666 → </w:t>
      </w:r>
      <w:r>
        <w:rPr>
          <w:rFonts w:ascii="Consolas" w:hAnsi="Consolas" w:cs="Consolas" w:eastAsia="Consolas"/>
          <w:sz w:val="18"/>
        </w:rPr>
        <w:t>OPERATIONS</w:t>
      </w:r>
      <w:r>
        <w:t xml:space="preserve">, 667–999 → </w:t>
      </w:r>
      <w:r>
        <w:rPr>
          <w:rFonts w:ascii="Consolas" w:hAnsi="Consolas" w:cs="Consolas" w:eastAsia="Consolas"/>
          <w:sz w:val="18"/>
        </w:rPr>
        <w:t>STORAGE</w:t>
      </w:r>
      <w:r>
        <w:t>.</w:t>
      </w:r>
    </w:p>
    <w:p>
      <w:pPr>
        <w:tabs>
          <w:tab w:pos="425" w:val="left"/>
        </w:tabs>
        <w:spacing w:after="60"/>
        <w:ind w:left="425" w:hanging="425"/>
      </w:pPr>
      <w:r>
        <w:rPr>
          <w:b/>
        </w:rPr>
        <w:t>4.</w:t>
        <w:tab/>
      </w:r>
      <w:r>
        <w:rPr>
          <w:b/>
        </w:rPr>
        <w:t>MD017</w:t>
      </w:r>
      <w:r>
        <w:t xml:space="preserve"> › Warengruppe: </w:t>
      </w:r>
      <w:r>
        <w:rPr>
          <w:rFonts w:ascii="Consolas" w:hAnsi="Consolas" w:cs="Consolas" w:eastAsia="Consolas"/>
          <w:sz w:val="18"/>
        </w:rPr>
        <w:t>Lagerreservierungsstrategie</w:t>
      </w:r>
      <w:r>
        <w:t xml:space="preserve"> = </w:t>
      </w:r>
      <w:r>
        <w:rPr>
          <w:rFonts w:ascii="Consolas" w:hAnsi="Consolas" w:cs="Consolas" w:eastAsia="Consolas"/>
          <w:sz w:val="18"/>
        </w:rPr>
        <w:t>ABC</w:t>
      </w:r>
      <w:r>
        <w:t xml:space="preserve">; Einlagerbedarfstyp als Fallback </w:t>
      </w:r>
      <w:r>
        <w:rPr>
          <w:rFonts w:ascii="Consolas" w:hAnsi="Consolas" w:cs="Consolas" w:eastAsia="Consolas"/>
          <w:sz w:val="18"/>
        </w:rPr>
        <w:t>TRANSPORT</w:t>
      </w:r>
      <w:r>
        <w:t>.</w:t>
      </w:r>
    </w:p>
    <w:p>
      <w:pPr>
        <w:tabs>
          <w:tab w:pos="425" w:val="left"/>
        </w:tabs>
        <w:spacing w:after="60"/>
        <w:ind w:left="425" w:hanging="425"/>
      </w:pPr>
      <w:r>
        <w:rPr>
          <w:b/>
        </w:rPr>
        <w:t>5.</w:t>
        <w:tab/>
      </w:r>
      <w:r>
        <w:t xml:space="preserve">Kontrolle über die Belegung in </w:t>
      </w:r>
      <w:r>
        <w:rPr>
          <w:b/>
        </w:rPr>
        <w:t>LM200</w:t>
      </w:r>
      <w:r>
        <w:t xml:space="preserve"> und Einlagerungen eines Schnelldrehers: die ganze Zeile sollte im LOGIMAT mit dem geringsten Bestand landen (kein Split).</w:t>
      </w:r>
    </w:p>
    <w:p>
      <w:pPr>
        <w:tabs>
          <w:tab w:pos="425" w:val="left"/>
        </w:tabs>
        <w:spacing w:after="60"/>
        <w:ind w:left="425" w:hanging="425"/>
      </w:pPr>
      <w:r>
        <w:rPr>
          <w:b/>
        </w:rPr>
        <w:t>6.</w:t>
        <w:tab/>
      </w:r>
      <w:r>
        <w:t xml:space="preserve">Alternative bei Ausfallsicherheit: </w:t>
      </w:r>
      <w:r>
        <w:rPr>
          <w:rFonts w:ascii="Consolas" w:hAnsi="Consolas" w:cs="Consolas" w:eastAsia="Consolas"/>
          <w:sz w:val="18"/>
        </w:rPr>
        <w:t>BALANCE</w:t>
      </w:r>
      <w:r>
        <w:t xml:space="preserve"> für Schnelldreher, wenn Splits auf mehrere LOGIMAT ausdrücklich gewünscht sind.</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In den Unterlagen nicht beschrieben</w:t>
            </w:r>
          </w:p>
          <w:p>
            <w:pPr>
              <w:spacing w:after="40"/>
            </w:pPr>
            <w:r>
              <w:rPr>
                <w:sz w:val="19"/>
              </w:rPr>
              <w:t xml:space="preserve">Wie die Auswahl </w:t>
            </w:r>
            <w:r>
              <w:rPr>
                <w:rFonts w:ascii="Consolas" w:hAnsi="Consolas" w:cs="Consolas" w:eastAsia="Consolas"/>
                <w:sz w:val="17"/>
              </w:rPr>
              <w:t>ABC</w:t>
            </w:r>
            <w:r>
              <w:rPr>
                <w:sz w:val="19"/>
              </w:rPr>
              <w:t xml:space="preserve"> in der Warengruppe auf eine bestimmte LM145-ABC-Strategie (</w:t>
            </w:r>
            <w:r>
              <w:rPr>
                <w:rFonts w:ascii="Consolas" w:hAnsi="Consolas" w:cs="Consolas" w:eastAsia="Consolas"/>
                <w:sz w:val="17"/>
              </w:rPr>
              <w:t>LS_ABC</w:t>
            </w:r>
            <w:r>
              <w:rPr>
                <w:sz w:val="19"/>
              </w:rPr>
              <w:t>) verweist, wenn mehrere ABC-Strategien existieren, ist nicht beschrieben.</w:t>
            </w:r>
          </w:p>
        </w:tc>
      </w:tr>
    </w:tbl>
    <w:p>
      <w:pPr>
        <w:spacing w:after="40"/>
      </w:pPr>
    </w:p>
    <w:p>
      <w:pPr>
        <w:pStyle w:val="Quelle"/>
      </w:pPr>
      <w:r>
        <w:rPr>
          <w:b/>
        </w:rPr>
        <w:t xml:space="preserve">Quelle: </w:t>
      </w:r>
      <w:r>
        <w:rPr>
          <w:sz w:val="17"/>
        </w:rPr>
        <w:t>Administratorhandbuch 2.7, Kap. 3.1.10.3, 3.1.16, 3.6.1.5, 3.6.11</w:t>
      </w:r>
    </w:p>
    <w:p>
      <w:pPr>
        <w:pStyle w:val="Heading1"/>
      </w:pPr>
      <w:r>
        <w:t>13 Dokumentationslücken und offene Fragen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Offene Punkte aus der Recherche</w:t>
            </w:r>
          </w:p>
          <w:p>
            <w:pPr>
              <w:spacing w:after="40"/>
            </w:pPr>
            <w:r>
              <w:rPr>
                <w:sz w:val="19"/>
              </w:rPr>
              <w:t xml:space="preserve">1. Auswahlwerte im Feld </w:t>
            </w:r>
            <w:r>
              <w:rPr>
                <w:rFonts w:ascii="Consolas" w:hAnsi="Consolas" w:cs="Consolas" w:eastAsia="Consolas"/>
                <w:sz w:val="17"/>
              </w:rPr>
              <w:t>Kriterium</w:t>
            </w:r>
            <w:r>
              <w:rPr>
                <w:sz w:val="19"/>
              </w:rPr>
              <w:t xml:space="preserve"> (LM145) und interne Kriterienfolge der Standardstrategien fehlen.</w:t>
            </w:r>
          </w:p>
          <w:p>
            <w:pPr>
              <w:spacing w:after="40"/>
            </w:pPr>
            <w:r>
              <w:rPr>
                <w:sz w:val="19"/>
              </w:rPr>
              <w:t>2. Zusammenspiel Zeitzugriffsmodus (FIFO/LIFO), zeitbezogener Zugriffsmodus (MHD) und Gleichwertigkeitsdauer, also ob echtes FEFO möglich ist, ist nicht beschrieben.</w:t>
            </w:r>
          </w:p>
          <w:p>
            <w:pPr>
              <w:spacing w:after="40"/>
            </w:pPr>
            <w:r>
              <w:rPr>
                <w:sz w:val="19"/>
              </w:rPr>
              <w:t>3. Rangfolge Reservierungsstrategie (Transport/Belegung/Fast leer) gegenüber FIFO und Bestandsauswahlmodus ist offen.</w:t>
            </w:r>
          </w:p>
          <w:p>
            <w:pPr>
              <w:spacing w:after="40"/>
            </w:pPr>
            <w:r>
              <w:rPr>
                <w:sz w:val="19"/>
              </w:rPr>
              <w:t xml:space="preserve">4. Werte von </w:t>
            </w:r>
            <w:r>
              <w:rPr>
                <w:rFonts w:ascii="Consolas" w:hAnsi="Consolas" w:cs="Consolas" w:eastAsia="Consolas"/>
                <w:sz w:val="17"/>
              </w:rPr>
              <w:t>logimat.picking.reservation.version</w:t>
            </w:r>
            <w:r>
              <w:rPr>
                <w:sz w:val="19"/>
              </w:rPr>
              <w:t xml:space="preserve"> / </w:t>
            </w:r>
            <w:r>
              <w:rPr>
                <w:rFonts w:ascii="Consolas" w:hAnsi="Consolas" w:cs="Consolas" w:eastAsia="Consolas"/>
                <w:sz w:val="17"/>
              </w:rPr>
              <w:t>logimat.storage.reservation.version</w:t>
            </w:r>
            <w:r>
              <w:rPr>
                <w:sz w:val="19"/>
              </w:rPr>
              <w:t xml:space="preserve"> und </w:t>
            </w:r>
            <w:r>
              <w:rPr>
                <w:rFonts w:ascii="Consolas" w:hAnsi="Consolas" w:cs="Consolas" w:eastAsia="Consolas"/>
                <w:sz w:val="17"/>
              </w:rPr>
              <w:t>logimat.dialogs.lm040.trays.sort.mode</w:t>
            </w:r>
            <w:r>
              <w:rPr>
                <w:sz w:val="19"/>
              </w:rPr>
              <w:t xml:space="preserve"> fehlen.</w:t>
            </w:r>
          </w:p>
          <w:p>
            <w:pPr>
              <w:spacing w:after="40"/>
            </w:pPr>
            <w:r>
              <w:rPr>
                <w:sz w:val="19"/>
              </w:rPr>
              <w:t xml:space="preserve">5. Gültigkeit der nur im Installationshandbuch genannten Parameter </w:t>
            </w:r>
            <w:r>
              <w:rPr>
                <w:rFonts w:ascii="Consolas" w:hAnsi="Consolas" w:cs="Consolas" w:eastAsia="Consolas"/>
                <w:sz w:val="17"/>
              </w:rPr>
              <w:t>logimat.storageOptimization</w:t>
            </w:r>
            <w:r>
              <w:rPr>
                <w:sz w:val="19"/>
              </w:rPr>
              <w:t xml:space="preserve">, </w:t>
            </w:r>
            <w:r>
              <w:rPr>
                <w:rFonts w:ascii="Consolas" w:hAnsi="Consolas" w:cs="Consolas" w:eastAsia="Consolas"/>
                <w:sz w:val="17"/>
              </w:rPr>
              <w:t>logimat.picking.reservationStrategy</w:t>
            </w:r>
            <w:r>
              <w:rPr>
                <w:sz w:val="19"/>
              </w:rPr>
              <w:t xml:space="preserve">, </w:t>
            </w:r>
            <w:r>
              <w:rPr>
                <w:rFonts w:ascii="Consolas" w:hAnsi="Consolas" w:cs="Consolas" w:eastAsia="Consolas"/>
                <w:sz w:val="17"/>
              </w:rPr>
              <w:t>…activationStrategy</w:t>
            </w:r>
            <w:r>
              <w:rPr>
                <w:sz w:val="19"/>
              </w:rPr>
              <w:t xml:space="preserve"> ist unklar.</w:t>
            </w:r>
          </w:p>
          <w:p>
            <w:pPr>
              <w:spacing w:after="40"/>
            </w:pPr>
            <w:r>
              <w:rPr>
                <w:sz w:val="19"/>
              </w:rPr>
              <w:t xml:space="preserve">6. Registerkarte </w:t>
            </w:r>
            <w:r>
              <w:rPr>
                <w:b/>
                <w:sz w:val="19"/>
              </w:rPr>
              <w:t>Warenausgang</w:t>
            </w:r>
            <w:r>
              <w:rPr>
                <w:sz w:val="19"/>
              </w:rPr>
              <w:t xml:space="preserve"> in MD018 (</w:t>
            </w:r>
            <w:r>
              <w:rPr>
                <w:rFonts w:ascii="Consolas" w:hAnsi="Consolas" w:cs="Consolas" w:eastAsia="Consolas"/>
                <w:sz w:val="17"/>
              </w:rPr>
              <w:t>Gleichwertigkeitsdauerstrategie</w:t>
            </w:r>
            <w:r>
              <w:rPr>
                <w:sz w:val="19"/>
              </w:rPr>
              <w:t>, Werte außer Mild) ist nicht beschrieben.</w:t>
            </w:r>
          </w:p>
          <w:p>
            <w:pPr>
              <w:spacing w:after="40"/>
            </w:pPr>
            <w:r>
              <w:rPr>
                <w:sz w:val="19"/>
              </w:rPr>
              <w:t xml:space="preserve">7. Zuordnung der Auswahl </w:t>
            </w:r>
            <w:r>
              <w:rPr>
                <w:rFonts w:ascii="Consolas" w:hAnsi="Consolas" w:cs="Consolas" w:eastAsia="Consolas"/>
                <w:sz w:val="17"/>
              </w:rPr>
              <w:t>ABC</w:t>
            </w:r>
            <w:r>
              <w:rPr>
                <w:sz w:val="19"/>
              </w:rPr>
              <w:t xml:space="preserve"> (Warengruppe/Artikel) zu einer konkreten ABC-Strategie in LM145 ist nicht beschrieben.</w:t>
            </w:r>
          </w:p>
        </w:tc>
      </w:tr>
    </w:tbl>
    <w:p>
      <w:pPr>
        <w:spacing w:after="40"/>
      </w:pPr>
    </w:p>
    <w:p>
      <w:pPr>
        <w:pStyle w:val="Heading1"/>
      </w:pPr>
      <w:r>
        <w:t>14 Quellenverzeichnis</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116"/>
        <w:gridCol w:w="3944"/>
        <w:gridCol w:w="4465"/>
      </w:tblGrid>
      <w:tr>
        <w:trPr>
          <w:tblHeader w:val="true"/>
        </w:trPr>
        <w:tc>
          <w:tcPr>
            <w:tcW w:type="dxa" w:w="1116"/>
            <w:shd w:val="clear" w:color="auto" w:fill="FEEE19"/>
          </w:tcPr>
          <w:p>
            <w:pPr>
              <w:spacing w:after="0"/>
            </w:pPr>
            <w:r>
              <w:rPr>
                <w:b/>
                <w:sz w:val="17"/>
              </w:rPr>
              <w:t>Kürzel (Quelle)</w:t>
            </w:r>
          </w:p>
        </w:tc>
        <w:tc>
          <w:tcPr>
            <w:tcW w:type="dxa" w:w="3944"/>
            <w:shd w:val="clear" w:color="auto" w:fill="FEEE19"/>
          </w:tcPr>
          <w:p>
            <w:pPr>
              <w:spacing w:after="0"/>
            </w:pPr>
            <w:r>
              <w:rPr>
                <w:b/>
                <w:sz w:val="17"/>
              </w:rPr>
              <w:t>Dokument</w:t>
            </w:r>
          </w:p>
        </w:tc>
        <w:tc>
          <w:tcPr>
            <w:tcW w:type="dxa" w:w="4465"/>
            <w:shd w:val="clear" w:color="auto" w:fill="FEEE19"/>
          </w:tcPr>
          <w:p>
            <w:pPr>
              <w:spacing w:after="0"/>
            </w:pPr>
            <w:r>
              <w:rPr>
                <w:b/>
                <w:sz w:val="17"/>
              </w:rPr>
              <w:t>Verwendete Kapitel</w:t>
            </w:r>
          </w:p>
        </w:tc>
      </w:tr>
      <w:tr>
        <w:tc>
          <w:tcPr>
            <w:tcW w:type="dxa" w:w="1116"/>
          </w:tcPr>
          <w:p>
            <w:pPr>
              <w:spacing w:after="0" w:line="252" w:lineRule="auto"/>
            </w:pPr>
            <w:r>
              <w:rPr>
                <w:sz w:val="17"/>
              </w:rPr>
              <w:t>AH 2.7</w:t>
            </w:r>
          </w:p>
        </w:tc>
        <w:tc>
          <w:tcPr>
            <w:tcW w:type="dxa" w:w="3944"/>
          </w:tcPr>
          <w:p>
            <w:pPr>
              <w:spacing w:after="0" w:line="252" w:lineRule="auto"/>
            </w:pPr>
            <w:r>
              <w:rPr>
                <w:sz w:val="17"/>
              </w:rPr>
              <w:t>WAMAS.LS_2.7_man.administrator_V01.0_deDE</w:t>
            </w:r>
          </w:p>
        </w:tc>
        <w:tc>
          <w:tcPr>
            <w:tcW w:type="dxa" w:w="4465"/>
          </w:tcPr>
          <w:p>
            <w:pPr>
              <w:spacing w:after="0" w:line="252" w:lineRule="auto"/>
            </w:pPr>
            <w:r>
              <w:rPr>
                <w:sz w:val="17"/>
              </w:rPr>
              <w:t>3.1.3, 3.1.5–3.1.8, 3.1.10, 3.1.16, 3.4.1.3–3.4.1.5, 3.5.3.1, 3.6.1.5, 3.6.1.7, 3.6.1.10–3.6.1.13, 3.6.3.1, 3.6.3.3, 3.6.3.6–3.6.3.7, 3.6.6–3.6.8, 3.6.11, 3.11.2</w:t>
            </w:r>
          </w:p>
        </w:tc>
      </w:tr>
      <w:tr>
        <w:tc>
          <w:tcPr>
            <w:tcW w:type="dxa" w:w="1116"/>
          </w:tcPr>
          <w:p>
            <w:pPr>
              <w:spacing w:after="0" w:line="252" w:lineRule="auto"/>
            </w:pPr>
            <w:r>
              <w:rPr>
                <w:sz w:val="17"/>
              </w:rPr>
              <w:t>BH 2.7</w:t>
            </w:r>
          </w:p>
        </w:tc>
        <w:tc>
          <w:tcPr>
            <w:tcW w:type="dxa" w:w="3944"/>
          </w:tcPr>
          <w:p>
            <w:pPr>
              <w:spacing w:after="0" w:line="252" w:lineRule="auto"/>
            </w:pPr>
            <w:r>
              <w:rPr>
                <w:sz w:val="17"/>
              </w:rPr>
              <w:t>WAMAS.LS_2.7_man.user_V01.0_deDE</w:t>
            </w:r>
          </w:p>
        </w:tc>
        <w:tc>
          <w:tcPr>
            <w:tcW w:type="dxa" w:w="4465"/>
          </w:tcPr>
          <w:p>
            <w:pPr>
              <w:spacing w:after="0" w:line="252" w:lineRule="auto"/>
            </w:pPr>
            <w:r>
              <w:rPr>
                <w:sz w:val="17"/>
              </w:rPr>
              <w:t>5.6, 6.1.1, 6.1.6, 6.2.2.1, 6.4</w:t>
            </w:r>
          </w:p>
        </w:tc>
      </w:tr>
      <w:tr>
        <w:tc>
          <w:tcPr>
            <w:tcW w:type="dxa" w:w="1116"/>
          </w:tcPr>
          <w:p>
            <w:pPr>
              <w:spacing w:after="0" w:line="252" w:lineRule="auto"/>
            </w:pPr>
            <w:r>
              <w:rPr>
                <w:sz w:val="17"/>
              </w:rPr>
              <w:t>IH 2.7</w:t>
            </w:r>
          </w:p>
        </w:tc>
        <w:tc>
          <w:tcPr>
            <w:tcW w:type="dxa" w:w="3944"/>
          </w:tcPr>
          <w:p>
            <w:pPr>
              <w:spacing w:after="0" w:line="252" w:lineRule="auto"/>
            </w:pPr>
            <w:r>
              <w:rPr>
                <w:sz w:val="17"/>
              </w:rPr>
              <w:t>WAMAS.LS_2.7_man.installation_V01.1_enUS</w:t>
            </w:r>
          </w:p>
        </w:tc>
        <w:tc>
          <w:tcPr>
            <w:tcW w:type="dxa" w:w="4465"/>
          </w:tcPr>
          <w:p>
            <w:pPr>
              <w:spacing w:after="0" w:line="252" w:lineRule="auto"/>
            </w:pPr>
            <w:r>
              <w:rPr>
                <w:sz w:val="17"/>
              </w:rPr>
              <w:t>6.7 Global parameters</w:t>
            </w:r>
          </w:p>
        </w:tc>
      </w:tr>
      <w:tr>
        <w:tc>
          <w:tcPr>
            <w:tcW w:type="dxa" w:w="1116"/>
          </w:tcPr>
          <w:p>
            <w:pPr>
              <w:spacing w:after="0" w:line="252" w:lineRule="auto"/>
            </w:pPr>
            <w:r>
              <w:rPr>
                <w:sz w:val="17"/>
              </w:rPr>
              <w:t>SH ERP 2.7</w:t>
            </w:r>
          </w:p>
        </w:tc>
        <w:tc>
          <w:tcPr>
            <w:tcW w:type="dxa" w:w="3944"/>
          </w:tcPr>
          <w:p>
            <w:pPr>
              <w:spacing w:after="0" w:line="252" w:lineRule="auto"/>
            </w:pPr>
            <w:r>
              <w:rPr>
                <w:sz w:val="17"/>
              </w:rPr>
              <w:t>WAMAS.LS_2.7_man.interface.wls.erp_V01.0_enUS</w:t>
            </w:r>
          </w:p>
        </w:tc>
        <w:tc>
          <w:tcPr>
            <w:tcW w:type="dxa" w:w="4465"/>
          </w:tcPr>
          <w:p>
            <w:pPr>
              <w:spacing w:after="0" w:line="252" w:lineRule="auto"/>
            </w:pPr>
            <w:r>
              <w:rPr>
                <w:sz w:val="17"/>
              </w:rPr>
              <w:t>5.1.2.1 WLSITEM001, 6.1.2.1 WLSSD001, 7.1.2.1–7.1.2.2 WLSPD002/WLSPDL002</w:t>
            </w:r>
          </w:p>
        </w:tc>
      </w:tr>
      <w:tr>
        <w:tc>
          <w:tcPr>
            <w:tcW w:type="dxa" w:w="1116"/>
          </w:tcPr>
          <w:p>
            <w:pPr>
              <w:spacing w:after="0" w:line="252" w:lineRule="auto"/>
            </w:pPr>
            <w:r>
              <w:rPr>
                <w:sz w:val="17"/>
              </w:rPr>
              <w:t>TB 2.7</w:t>
            </w:r>
          </w:p>
        </w:tc>
        <w:tc>
          <w:tcPr>
            <w:tcW w:type="dxa" w:w="3944"/>
          </w:tcPr>
          <w:p>
            <w:pPr>
              <w:spacing w:after="0" w:line="252" w:lineRule="auto"/>
            </w:pPr>
            <w:r>
              <w:rPr>
                <w:sz w:val="17"/>
              </w:rPr>
              <w:t>2.7.0_IN_OUT_CSV_TXT_XML_JSON (Telegrammbeispiele)</w:t>
            </w:r>
          </w:p>
        </w:tc>
        <w:tc>
          <w:tcPr>
            <w:tcW w:type="dxa" w:w="4465"/>
          </w:tcPr>
          <w:p>
            <w:pPr>
              <w:spacing w:after="0" w:line="252" w:lineRule="auto"/>
            </w:pPr>
            <w:r>
              <w:rPr>
                <w:sz w:val="17"/>
              </w:rPr>
              <w:t>ITEM/1.xml, PD/with PARTNER/pd4_part.xml</w:t>
            </w:r>
          </w:p>
        </w:tc>
      </w:tr>
      <w:tr>
        <w:tc>
          <w:tcPr>
            <w:tcW w:type="dxa" w:w="1116"/>
          </w:tcPr>
          <w:p>
            <w:pPr>
              <w:spacing w:after="0" w:line="252" w:lineRule="auto"/>
            </w:pPr>
            <w:r>
              <w:rPr>
                <w:sz w:val="17"/>
              </w:rPr>
              <w:t>AH 2.8</w:t>
            </w:r>
          </w:p>
        </w:tc>
        <w:tc>
          <w:tcPr>
            <w:tcW w:type="dxa" w:w="3944"/>
          </w:tcPr>
          <w:p>
            <w:pPr>
              <w:spacing w:after="0" w:line="252" w:lineRule="auto"/>
            </w:pPr>
            <w:r>
              <w:rPr>
                <w:sz w:val="17"/>
              </w:rPr>
              <w:t>WAMAS.LS_2.8 Administrator Manual (enUS)</w:t>
            </w:r>
          </w:p>
        </w:tc>
        <w:tc>
          <w:tcPr>
            <w:tcW w:type="dxa" w:w="4465"/>
          </w:tcPr>
          <w:p>
            <w:pPr>
              <w:spacing w:after="0" w:line="252" w:lineRule="auto"/>
            </w:pPr>
            <w:r>
              <w:rPr>
                <w:sz w:val="17"/>
              </w:rPr>
              <w:t>3.1.3, 3.1.17, 3.6.1.10–3.6.1.11, 3.11.2 (Abgleich)</w:t>
            </w:r>
          </w:p>
        </w:tc>
      </w:tr>
      <w:tr>
        <w:tc>
          <w:tcPr>
            <w:tcW w:type="dxa" w:w="1116"/>
          </w:tcPr>
          <w:p>
            <w:pPr>
              <w:spacing w:after="0" w:line="252" w:lineRule="auto"/>
            </w:pPr>
            <w:r>
              <w:rPr>
                <w:sz w:val="17"/>
              </w:rPr>
              <w:t>SCH</w:t>
            </w:r>
          </w:p>
        </w:tc>
        <w:tc>
          <w:tcPr>
            <w:tcW w:type="dxa" w:w="3944"/>
          </w:tcPr>
          <w:p>
            <w:pPr>
              <w:spacing w:after="0" w:line="252" w:lineRule="auto"/>
            </w:pPr>
            <w:r>
              <w:rPr>
                <w:sz w:val="17"/>
              </w:rPr>
              <w:t>WAMAS LogiMat Consultant Training Part 1 (12.01.2024)</w:t>
            </w:r>
          </w:p>
        </w:tc>
        <w:tc>
          <w:tcPr>
            <w:tcW w:type="dxa" w:w="4465"/>
          </w:tcPr>
          <w:p>
            <w:pPr>
              <w:spacing w:after="0" w:line="252" w:lineRule="auto"/>
            </w:pPr>
            <w:r>
              <w:rPr>
                <w:sz w:val="17"/>
              </w:rPr>
              <w:t>Clients, Items, Global parameters</w:t>
            </w:r>
          </w:p>
        </w:tc>
      </w:tr>
    </w:tbl>
    <w:p>
      <w:pPr>
        <w:pStyle w:val="BeschriftungSSI"/>
      </w:pPr>
      <w:r>
        <w:t>Tab. 24: Quellen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198"/>
        <w:gridCol w:w="7327"/>
      </w:tblGrid>
      <w:tr>
        <w:trPr>
          <w:tblHeader w:val="true"/>
        </w:trPr>
        <w:tc>
          <w:tcPr>
            <w:tcW w:type="dxa" w:w="2198"/>
            <w:shd w:val="clear" w:color="auto" w:fill="FEEE19"/>
          </w:tcPr>
          <w:p>
            <w:pPr>
              <w:spacing w:after="0"/>
            </w:pPr>
            <w:r>
              <w:rPr>
                <w:b/>
                <w:sz w:val="17"/>
              </w:rPr>
              <w:t>Abkürzung</w:t>
            </w:r>
          </w:p>
        </w:tc>
        <w:tc>
          <w:tcPr>
            <w:tcW w:type="dxa" w:w="7326"/>
            <w:shd w:val="clear" w:color="auto" w:fill="FEEE19"/>
          </w:tcPr>
          <w:p>
            <w:pPr>
              <w:spacing w:after="0"/>
            </w:pPr>
            <w:r>
              <w:rPr>
                <w:b/>
                <w:sz w:val="17"/>
              </w:rPr>
              <w:t>Bedeutung</w:t>
            </w:r>
          </w:p>
        </w:tc>
      </w:tr>
      <w:tr>
        <w:tc>
          <w:tcPr>
            <w:tcW w:type="dxa" w:w="2198"/>
          </w:tcPr>
          <w:p>
            <w:pPr>
              <w:spacing w:after="0" w:line="252" w:lineRule="auto"/>
            </w:pPr>
            <w:r>
              <w:rPr>
                <w:sz w:val="17"/>
              </w:rPr>
              <w:t>ABC</w:t>
            </w:r>
          </w:p>
        </w:tc>
        <w:tc>
          <w:tcPr>
            <w:tcW w:type="dxa" w:w="7326"/>
          </w:tcPr>
          <w:p>
            <w:pPr>
              <w:spacing w:after="0" w:line="252" w:lineRule="auto"/>
            </w:pPr>
            <w:r>
              <w:rPr>
                <w:sz w:val="17"/>
              </w:rPr>
              <w:t>Klassifizierung nach Umschlaghäufigkeit (Schnell-, Mittel-, Langsamdreher)</w:t>
            </w:r>
          </w:p>
        </w:tc>
      </w:tr>
      <w:tr>
        <w:tc>
          <w:tcPr>
            <w:tcW w:type="dxa" w:w="2198"/>
          </w:tcPr>
          <w:p>
            <w:pPr>
              <w:spacing w:after="0" w:line="252" w:lineRule="auto"/>
            </w:pPr>
            <w:r>
              <w:rPr>
                <w:sz w:val="17"/>
              </w:rPr>
              <w:t>ABIA / BIA</w:t>
            </w:r>
          </w:p>
        </w:tc>
        <w:tc>
          <w:tcPr>
            <w:tcW w:type="dxa" w:w="7326"/>
          </w:tcPr>
          <w:p>
            <w:pPr>
              <w:spacing w:after="0" w:line="252" w:lineRule="auto"/>
            </w:pPr>
            <w:r>
              <w:rPr>
                <w:sz w:val="17"/>
              </w:rPr>
              <w:t>(Anpassbares) bestandsidentifizierendes Attribut</w:t>
            </w:r>
          </w:p>
        </w:tc>
      </w:tr>
      <w:tr>
        <w:tc>
          <w:tcPr>
            <w:tcW w:type="dxa" w:w="2198"/>
          </w:tcPr>
          <w:p>
            <w:pPr>
              <w:spacing w:after="0" w:line="252" w:lineRule="auto"/>
            </w:pPr>
            <w:r>
              <w:rPr>
                <w:sz w:val="17"/>
              </w:rPr>
              <w:t>BME / LME</w:t>
            </w:r>
          </w:p>
        </w:tc>
        <w:tc>
          <w:tcPr>
            <w:tcW w:type="dxa" w:w="7326"/>
          </w:tcPr>
          <w:p>
            <w:pPr>
              <w:spacing w:after="0" w:line="252" w:lineRule="auto"/>
            </w:pPr>
            <w:r>
              <w:rPr>
                <w:sz w:val="17"/>
              </w:rPr>
              <w:t>Basismengeneinheit / Lagermengeneinheit</w:t>
            </w:r>
          </w:p>
        </w:tc>
      </w:tr>
      <w:tr>
        <w:tc>
          <w:tcPr>
            <w:tcW w:type="dxa" w:w="2198"/>
          </w:tcPr>
          <w:p>
            <w:pPr>
              <w:spacing w:after="0" w:line="252" w:lineRule="auto"/>
            </w:pPr>
            <w:r>
              <w:rPr>
                <w:sz w:val="17"/>
              </w:rPr>
              <w:t>FIFO / LIFO / FEFO</w:t>
            </w:r>
          </w:p>
        </w:tc>
        <w:tc>
          <w:tcPr>
            <w:tcW w:type="dxa" w:w="7326"/>
          </w:tcPr>
          <w:p>
            <w:pPr>
              <w:spacing w:after="0" w:line="252" w:lineRule="auto"/>
            </w:pPr>
            <w:r>
              <w:rPr>
                <w:sz w:val="17"/>
              </w:rPr>
              <w:t>First In / Last In / First Expired – First Out</w:t>
            </w:r>
          </w:p>
        </w:tc>
      </w:tr>
      <w:tr>
        <w:tc>
          <w:tcPr>
            <w:tcW w:type="dxa" w:w="2198"/>
          </w:tcPr>
          <w:p>
            <w:pPr>
              <w:spacing w:after="0" w:line="252" w:lineRule="auto"/>
            </w:pPr>
            <w:r>
              <w:rPr>
                <w:sz w:val="17"/>
              </w:rPr>
              <w:t>MHD</w:t>
            </w:r>
          </w:p>
        </w:tc>
        <w:tc>
          <w:tcPr>
            <w:tcW w:type="dxa" w:w="7326"/>
          </w:tcPr>
          <w:p>
            <w:pPr>
              <w:spacing w:after="0" w:line="252" w:lineRule="auto"/>
            </w:pPr>
            <w:r>
              <w:rPr>
                <w:sz w:val="17"/>
              </w:rPr>
              <w:t>Mindesthaltbarkeitsdatum (BBD)</w:t>
            </w:r>
          </w:p>
        </w:tc>
      </w:tr>
      <w:tr>
        <w:tc>
          <w:tcPr>
            <w:tcW w:type="dxa" w:w="2198"/>
          </w:tcPr>
          <w:p>
            <w:pPr>
              <w:spacing w:after="0" w:line="252" w:lineRule="auto"/>
            </w:pPr>
            <w:r>
              <w:rPr>
                <w:sz w:val="17"/>
              </w:rPr>
              <w:t>WCS / WMS</w:t>
            </w:r>
          </w:p>
        </w:tc>
        <w:tc>
          <w:tcPr>
            <w:tcW w:type="dxa" w:w="7326"/>
          </w:tcPr>
          <w:p>
            <w:pPr>
              <w:spacing w:after="0" w:line="252" w:lineRule="auto"/>
            </w:pPr>
            <w:r>
              <w:rPr>
                <w:sz w:val="17"/>
              </w:rPr>
              <w:t>Warehouse Control System / Warehouse Management System</w:t>
            </w:r>
          </w:p>
        </w:tc>
      </w:tr>
    </w:tbl>
    <w:p>
      <w:pPr>
        <w:pStyle w:val="BeschriftungSSI"/>
      </w:pPr>
      <w:r>
        <w:t>Tab. 25: Abkürzungen</w:t>
      </w:r>
    </w:p>
    <w:sectPr w:rsidR="00FC693F" w:rsidRPr="0006063C" w:rsidSect="00034616">
      <w:headerReference w:type="default" r:id="rId12"/>
      <w:footerReference w:type="default" r:id="rId13"/>
      <w:pgSz w:w="11906" w:h="16838"/>
      <w:pgMar w:top="1474" w:right="1134" w:bottom="1474" w:left="1247" w:header="567" w:footer="454"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drawing>
        <wp:anchor distT="0" distB="0" distL="0" distR="0" simplePos="0" relativeHeight="251658344" behindDoc="1" locked="0" layoutInCell="1" allowOverlap="1">
          <wp:simplePos x="0" y="0"/>
          <wp:positionH relativeFrom="page">
            <wp:posOffset>6983999</wp:posOffset>
          </wp:positionH>
          <wp:positionV relativeFrom="page">
            <wp:posOffset>9936000</wp:posOffset>
          </wp:positionV>
          <wp:extent cx="576000" cy="648000"/>
          <wp:effectExtent l="0" t="0" r="0" b="0"/>
          <wp:wrapNone/>
          <wp:docPr id="104" name="Bild 104"/>
          <wp:cNvGraphicFramePr/>
          <a:graphic xmlns:a="http://schemas.openxmlformats.org/drawingml/2006/main" xmlns:pic="http://schemas.openxmlformats.org/drawingml/2006/picture">
            <a:graphicData uri="http://schemas.openxmlformats.org/drawingml/2006/picture">
              <pic:pic>
                <pic:nvPicPr>
                  <pic:cNvPr id="0" name="gelbes_eck.png"/>
                  <pic:cNvPicPr/>
                </pic:nvPicPr>
                <pic:blipFill>
                  <a:blip r:embed="rId1"/>
                  <a:stretch>
                    <a:fillRect/>
                  </a:stretch>
                </pic:blipFill>
                <pic:spPr>
                  <a:xfrm>
                    <a:off x="0" y="0"/>
                    <a:ext cx="576000" cy="648000"/>
                  </a:xfrm>
                  <a:prstGeom prst="rect"/>
                </pic:spPr>
              </pic:pic>
            </a:graphicData>
          </a:graphic>
        </wp:anchor>
      </w:drawing>
    </w:r>
  </w:p>
  <w:tbl>
    <w:tblPr>
      <w:tblLook w:firstColumn="1" w:firstRow="1" w:lastColumn="0" w:lastRow="0" w:noHBand="0" w:noVBand="1" w:val="04A0"/>
      <w:tblW w:w="9525" w:type="dxa"/>
      <w:tblLayout w:type="fixed"/>
    </w:tblPr>
    <w:tblGrid>
      <w:gridCol w:w="5103"/>
      <w:gridCol w:w="4422"/>
    </w:tblGrid>
    <w:tr>
      <w:tc>
        <w:tcPr>
          <w:tcW w:type="dxa" w:w="5102"/>
        </w:tcPr>
        <w:p>
          <w:pPr>
            <w:spacing w:after="0" w:line="240" w:lineRule="auto"/>
          </w:pPr>
          <w:r>
            <w:rPr>
              <w:sz w:val="13"/>
            </w:rPr>
            <w:t>WAMAS Lift &amp; Store 2.7</w:t>
          </w:r>
        </w:p>
        <w:p>
          <w:pPr>
            <w:spacing w:after="0" w:line="240" w:lineRule="auto"/>
          </w:pPr>
          <w:r>
            <w:rPr>
              <w:sz w:val="13"/>
            </w:rPr>
            <w:t>How-to-Handbuch V 1.0</w:t>
          </w:r>
        </w:p>
        <w:p>
          <w:pPr>
            <w:spacing w:after="0" w:line="240" w:lineRule="auto"/>
          </w:pPr>
          <w:r>
            <w:rPr>
              <w:sz w:val="13"/>
            </w:rPr>
            <w:t>Standard</w:t>
          </w:r>
        </w:p>
      </w:tc>
      <w:tc>
        <w:tcPr>
          <w:tcW w:type="dxa" w:w="4422"/>
        </w:tcPr>
        <w:p>
          <w:pPr>
            <w:spacing w:before="200"/>
            <w:jc w:val="right"/>
          </w:pPr>
          <w:r>
            <w:rPr>
              <w:sz w:val="18"/>
            </w:rPr>
            <w:t xml:space="preserve">SSI SCHÄFER | Seite </w:t>
          </w:r>
          <w:r>
            <w:rPr>
              <w:sz w:val="18"/>
            </w:rPr>
            <w:fldChar w:fldCharType="begin"/>
          </w:r>
          <w:r>
            <w:rPr>
              <w:sz w:val="18"/>
            </w:rPr>
            <w:instrText xml:space="preserve"> PAGE </w:instrText>
          </w:r>
          <w:r>
            <w:rPr>
              <w:sz w:val="18"/>
            </w:rPr>
            <w:fldChar w:fldCharType="separate"/>
          </w:r>
          <w:r>
            <w:rPr>
              <w:sz w:val="18"/>
            </w:rPr>
            <w:t>1</w:t>
          </w:r>
          <w:r>
            <w:rPr>
              <w:sz w:val="18"/>
            </w:rPr>
            <w:fldChar w:fldCharType="end"/>
          </w:r>
          <w:r>
            <w:rPr>
              <w:sz w:val="18"/>
            </w:rPr>
            <w:t>/</w:t>
          </w:r>
          <w:r>
            <w:rPr>
              <w:sz w:val="18"/>
            </w:rPr>
            <w:fldChar w:fldCharType="begin"/>
          </w:r>
          <w:r>
            <w:rPr>
              <w:sz w:val="18"/>
            </w:rPr>
            <w:instrText xml:space="preserve"> NUMPAGES </w:instrText>
          </w:r>
          <w:r>
            <w:rPr>
              <w:sz w:val="18"/>
            </w:rPr>
            <w:fldChar w:fldCharType="separate"/>
          </w:r>
          <w:r>
            <w:rPr>
              <w:sz w:val="18"/>
            </w:rPr>
            <w:t>1</w:t>
          </w:r>
          <w:r>
            <w:rPr>
              <w:sz w:val="18"/>
            </w:rPr>
            <w:fldChar w:fldCharType="end"/>
          </w:r>
        </w:p>
      </w:tc>
    </w:tr>
  </w:tbl>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right"/>
    </w:pPr>
    <w:r>
      <w:rPr>
        <w:sz w:val="16"/>
      </w:rPr>
      <w:t>How-to-Handbuch</w:t>
    </w:r>
  </w:p>
  <w:p>
    <w:pPr>
      <w:jc w:val="right"/>
      <w:pBdr>
        <w:bottom w:val="single" w:sz="4" w:space="4" w:color="000000"/>
      </w:pBdr>
    </w:pPr>
    <w:r>
      <w:rPr>
        <w:b/>
        <w:sz w:val="22"/>
      </w:rPr>
      <w:t>Einlager-, Auslager- und Kommissionierstrategien</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76" w:lineRule="auto"/>
    </w:pPr>
    <w:rPr>
      <w:rFonts w:ascii="Arial" w:hAnsi="Arial" w:cs="Arial" w:eastAsia="Arial"/>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pageBreakBefore/>
      <w:spacing w:before="0" w:after="200"/>
      <w:outlineLvl w:val="0"/>
    </w:pPr>
    <w:rPr>
      <w:rFonts w:ascii="Arial" w:hAnsi="Arial" w:cs="Arial" w:eastAsia="Arial"/>
      <w:b/>
      <w:bCs/>
      <w:i w:val="0"/>
      <w:color w:val="000000"/>
      <w:sz w:val="32"/>
      <w:szCs w:val="28"/>
    </w:rPr>
  </w:style>
  <w:style w:type="paragraph" w:styleId="Heading2">
    <w:name w:val="heading 2"/>
    <w:basedOn w:val="Normal"/>
    <w:next w:val="Normal"/>
    <w:link w:val="Heading2Char"/>
    <w:uiPriority w:val="9"/>
    <w:unhideWhenUsed/>
    <w:qFormat/>
    <w:rsid w:val="00FC693F"/>
    <w:pPr>
      <w:keepNext/>
      <w:keepLines/>
      <w:spacing w:before="280" w:after="120"/>
      <w:outlineLvl w:val="1"/>
    </w:pPr>
    <w:rPr>
      <w:rFonts w:ascii="Arial" w:hAnsi="Arial" w:cs="Arial" w:eastAsia="Arial"/>
      <w:b/>
      <w:bCs/>
      <w:i w:val="0"/>
      <w:color w:val="000000"/>
      <w:sz w:val="25"/>
      <w:szCs w:val="26"/>
    </w:rPr>
  </w:style>
  <w:style w:type="paragraph" w:styleId="Heading3">
    <w:name w:val="heading 3"/>
    <w:basedOn w:val="Normal"/>
    <w:next w:val="Normal"/>
    <w:link w:val="Heading3Char"/>
    <w:uiPriority w:val="9"/>
    <w:unhideWhenUsed/>
    <w:qFormat/>
    <w:rsid w:val="00FC693F"/>
    <w:pPr>
      <w:keepNext/>
      <w:keepLines/>
      <w:spacing w:before="200" w:after="80"/>
      <w:outlineLvl w:val="2"/>
    </w:pPr>
    <w:rPr>
      <w:rFonts w:ascii="Arial" w:hAnsi="Arial" w:cs="Arial" w:eastAsia="Arial"/>
      <w:b/>
      <w:bCs/>
      <w:i w:val="0"/>
      <w:color w:val="000000"/>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Arial" w:hAnsi="Arial" w:cs="Arial" w:eastAsia="Arial"/>
      <w:b w:val="0"/>
      <w:color w:val="000000"/>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60"/>
      <w:contextualSpacing/>
    </w:pPr>
    <w:rPr>
      <w:rFonts w:ascii="Arial" w:hAnsi="Arial" w:cs="Arial" w:eastAsia="Arial"/>
      <w:sz w:val="20"/>
    </w:rPr>
  </w:style>
  <w:style w:type="paragraph" w:styleId="ListBullet2">
    <w:name w:val="List Bullet 2"/>
    <w:basedOn w:val="Normal"/>
    <w:uiPriority w:val="99"/>
    <w:unhideWhenUsed/>
    <w:rsid w:val="00326F90"/>
    <w:pPr>
      <w:numPr>
        <w:numId w:val="2"/>
      </w:numPr>
      <w:spacing w:after="60"/>
      <w:contextualSpacing/>
    </w:pPr>
    <w:rPr>
      <w:rFonts w:ascii="Arial" w:hAnsi="Arial" w:cs="Arial" w:eastAsia="Arial"/>
      <w:sz w:val="20"/>
    </w:r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OC1">
    <w:name w:val="TOC 1"/>
    <w:pPr>
      <w:spacing w:after="40"/>
      <w:ind w:left="0"/>
    </w:pPr>
    <w:rPr>
      <w:rFonts w:ascii="Arial" w:hAnsi="Arial" w:cs="Arial" w:eastAsia="Arial"/>
      <w:b/>
      <w:sz w:val="20"/>
    </w:rPr>
  </w:style>
  <w:style w:type="paragraph" w:customStyle="1" w:styleId="TOC2">
    <w:name w:val="TOC 2"/>
    <w:pPr>
      <w:spacing w:after="40"/>
      <w:ind w:left="340"/>
    </w:pPr>
    <w:rPr>
      <w:rFonts w:ascii="Arial" w:hAnsi="Arial" w:cs="Arial" w:eastAsia="Arial"/>
      <w:b w:val="0"/>
      <w:sz w:val="20"/>
    </w:rPr>
  </w:style>
  <w:style w:type="paragraph" w:customStyle="1" w:styleId="TOC3">
    <w:name w:val="TOC 3"/>
    <w:pPr>
      <w:spacing w:after="40"/>
      <w:ind w:left="680"/>
    </w:pPr>
    <w:rPr>
      <w:rFonts w:ascii="Arial" w:hAnsi="Arial" w:cs="Arial" w:eastAsia="Arial"/>
      <w:b w:val="0"/>
      <w:sz w:val="20"/>
    </w:rPr>
  </w:style>
  <w:style w:type="paragraph" w:customStyle="1" w:styleId="Code">
    <w:name w:val="Code"/>
    <w:pPr>
      <w:spacing w:after="0" w:line="240" w:lineRule="auto"/>
    </w:pPr>
    <w:rPr>
      <w:rFonts w:ascii="Consolas" w:hAnsi="Consolas" w:cs="Consolas" w:eastAsia="Consolas"/>
      <w:sz w:val="15"/>
    </w:rPr>
  </w:style>
  <w:style w:type="paragraph" w:customStyle="1" w:styleId="BeschriftungSSI">
    <w:name w:val="Beschriftung SSI"/>
    <w:pPr>
      <w:spacing w:before="40" w:after="160"/>
    </w:pPr>
    <w:rPr>
      <w:rFonts w:ascii="Arial" w:hAnsi="Arial" w:cs="Arial" w:eastAsia="Arial"/>
      <w:b w:val="0"/>
      <w:i/>
      <w:color w:val="444444"/>
      <w:sz w:val="17"/>
    </w:rPr>
  </w:style>
  <w:style w:type="paragraph" w:customStyle="1" w:styleId="Quelle">
    <w:name w:val="Quelle"/>
    <w:pPr>
      <w:spacing w:before="40" w:after="160"/>
    </w:pPr>
    <w:rPr>
      <w:rFonts w:ascii="Arial" w:hAnsi="Arial" w:cs="Arial" w:eastAsia="Arial"/>
      <w:b w:val="0"/>
      <w:color w:val="555555"/>
      <w:sz w:val="17"/>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header" Target="header1.xml"/><Relationship Id="rId13"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Einlager-, Auslager- und Kommissionierstrategien</dc:title>
  <dc:subject>Alle Strategien und Parameter in WAMAS Lift &amp; Store – Wirkung, Konfiguration, Beispiele</dc:subject>
  <dc:creator>SSI SCHÄFER</dc:creator>
  <cp:keywords/>
  <dc:description>generated by python-docx</dc:description>
  <cp:lastModifiedBy/>
  <cp:revision>1</cp:revision>
  <dcterms:created xsi:type="dcterms:W3CDTF">2013-12-23T23:15:00Z</dcterms:created>
  <dcterms:modified xsi:type="dcterms:W3CDTF">2013-12-23T23:15:00Z</dcterms:modified>
  <cp:category/>
  <dc:language>de-DE</dc:language>
</cp:coreProperties>
</file>