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Druckdokumente WAMAS LS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Lieferscheine, Packliste, Etiketten, Partneradressen – Verhalten von RM010 und RM100, PDF-Ablage, Sprache und Layout</w:t>
            </w:r>
          </w:p>
          <w:p>
            <w:pPr>
              <w:spacing w:after="0"/>
            </w:pPr>
            <w:r>
              <w:rPr>
                <w:b w:val="0"/>
                <w:color w:val="555555"/>
                <w:sz w:val="18"/>
              </w:rPr>
              <w:t>SSI SCHÄFER</w:t>
            </w:r>
          </w:p>
        </w:tc>
      </w:tr>
    </w:tbl>
    <w:p>
      <w:pPr>
        <w:spacing w:before="4535"/>
      </w:pPr>
      <w:r>
        <w:rPr>
          <w:sz w:val="18"/>
        </w:rPr>
        <w:t>V 1.0  ·  18.10.2026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So lesen Sie dieses Dokument</w:t>
        <w:tab/>
        <w:t>3</w:t>
      </w:r>
    </w:p>
    <w:p>
      <w:pPr>
        <w:pStyle w:val="TOC2"/>
        <w:tabs>
          <w:tab w:pos="9524" w:val="right" w:leader="dot"/>
        </w:tabs>
      </w:pPr>
      <w:r>
        <w:t>1.3 Dokumentinformationen</w:t>
        <w:tab/>
        <w:t>3</w:t>
      </w:r>
    </w:p>
    <w:p>
      <w:pPr>
        <w:pStyle w:val="TOC1"/>
        <w:tabs>
          <w:tab w:pos="9524" w:val="right" w:leader="dot"/>
        </w:tabs>
      </w:pPr>
      <w:r>
        <w:t>2 Überblick</w:t>
        <w:tab/>
        <w:t>4</w:t>
      </w:r>
    </w:p>
    <w:p>
      <w:pPr>
        <w:pStyle w:val="TOC2"/>
        <w:tabs>
          <w:tab w:pos="9524" w:val="right" w:leader="dot"/>
        </w:tabs>
      </w:pPr>
      <w:r>
        <w:t>2.1 So entsteht ein Druckdokument</w:t>
        <w:tab/>
        <w:t>4</w:t>
      </w:r>
    </w:p>
    <w:p>
      <w:pPr>
        <w:pStyle w:val="TOC2"/>
        <w:tabs>
          <w:tab w:pos="9524" w:val="right" w:leader="dot"/>
        </w:tabs>
      </w:pPr>
      <w:r>
        <w:t>2.2 Belege und Auslöser</w:t>
        <w:tab/>
        <w:t>4</w:t>
      </w:r>
    </w:p>
    <w:p>
      <w:pPr>
        <w:pStyle w:val="TOC2"/>
        <w:tabs>
          <w:tab w:pos="9524" w:val="right" w:leader="dot"/>
        </w:tabs>
      </w:pPr>
      <w:r>
        <w:t>2.3 Stand auf srv01 (18.10. 00:14)</w:t>
        <w:tab/>
        <w:t>5</w:t>
      </w:r>
    </w:p>
    <w:p>
      <w:pPr>
        <w:pStyle w:val="TOC1"/>
        <w:tabs>
          <w:tab w:pos="9524" w:val="right" w:leader="dot"/>
        </w:tabs>
      </w:pPr>
      <w:r>
        <w:t>3 RM010 und RM100: welche Konfiguration gilt</w:t>
        <w:tab/>
        <w:t>6</w:t>
      </w:r>
    </w:p>
    <w:p>
      <w:pPr>
        <w:pStyle w:val="TOC2"/>
        <w:tabs>
          <w:tab w:pos="9524" w:val="right" w:leader="dot"/>
        </w:tabs>
      </w:pPr>
      <w:r>
        <w:t>3.1 Die Regel</w:t>
        <w:tab/>
        <w:t>6</w:t>
      </w:r>
    </w:p>
    <w:p>
      <w:pPr>
        <w:pStyle w:val="TOC2"/>
        <w:tabs>
          <w:tab w:pos="9524" w:val="right" w:leader="dot"/>
        </w:tabs>
      </w:pPr>
      <w:r>
        <w:t>3.2 Was daraus folgt</w:t>
        <w:tab/>
        <w:t>7</w:t>
      </w:r>
    </w:p>
    <w:p>
      <w:pPr>
        <w:pStyle w:val="TOC2"/>
        <w:tabs>
          <w:tab w:pos="9524" w:val="right" w:leader="dot"/>
        </w:tabs>
      </w:pPr>
      <w:r>
        <w:t>3.3 Automatischer Druck: offen</w:t>
        <w:tab/>
        <w:t>7</w:t>
      </w:r>
    </w:p>
    <w:p>
      <w:pPr>
        <w:pStyle w:val="TOC1"/>
        <w:tabs>
          <w:tab w:pos="9524" w:val="right" w:leader="dot"/>
        </w:tabs>
      </w:pPr>
      <w:r>
        <w:t>4 PDF ohne Drucker erzeugen und ablegen</w:t>
        <w:tab/>
        <w:t>8</w:t>
      </w:r>
    </w:p>
    <w:p>
      <w:pPr>
        <w:pStyle w:val="TOC2"/>
        <w:tabs>
          <w:tab w:pos="9524" w:val="right" w:leader="dot"/>
        </w:tabs>
      </w:pPr>
      <w:r>
        <w:t>4.1 Dokument erzeugen (Beispiel Kommissionierlieferschein)</w:t>
        <w:tab/>
        <w:t>8</w:t>
      </w:r>
    </w:p>
    <w:p>
      <w:pPr>
        <w:pStyle w:val="TOC2"/>
        <w:tabs>
          <w:tab w:pos="9524" w:val="right" w:leader="dot"/>
        </w:tabs>
      </w:pPr>
      <w:r>
        <w:t>4.2 Deutsche Fassung aus RM018 speichern</w:t>
        <w:tab/>
        <w:t>8</w:t>
      </w:r>
    </w:p>
    <w:p>
      <w:pPr>
        <w:pStyle w:val="TOC2"/>
        <w:tabs>
          <w:tab w:pos="9524" w:val="right" w:leader="dot"/>
        </w:tabs>
      </w:pPr>
      <w:r>
        <w:t>4.3 Dateikanal (Ablage auf dem Server)</w:t>
        <w:tab/>
        <w:t>9</w:t>
      </w:r>
    </w:p>
    <w:p>
      <w:pPr>
        <w:pStyle w:val="TOC1"/>
        <w:tabs>
          <w:tab w:pos="9524" w:val="right" w:leader="dot"/>
        </w:tabs>
      </w:pPr>
      <w:r>
        <w:t>5 Lieferscheine</w:t>
        <w:tab/>
        <w:t>10</w:t>
      </w:r>
    </w:p>
    <w:p>
      <w:pPr>
        <w:pStyle w:val="TOC2"/>
        <w:tabs>
          <w:tab w:pos="9524" w:val="right" w:leader="dot"/>
        </w:tabs>
      </w:pPr>
      <w:r>
        <w:t>5.1 Erst nach der Kommissionierung erzeugen</w:t>
        <w:tab/>
        <w:t>10</w:t>
      </w:r>
    </w:p>
    <w:p>
      <w:pPr>
        <w:pStyle w:val="TOC2"/>
        <w:tabs>
          <w:tab w:pos="9524" w:val="right" w:leader="dot"/>
        </w:tabs>
      </w:pPr>
      <w:r>
        <w:t>5.2 Felder des Einlagerungslieferscheins (Layout 106, ger)</w:t>
        <w:tab/>
        <w:t>10</w:t>
      </w:r>
    </w:p>
    <w:p>
      <w:pPr>
        <w:pStyle w:val="TOC2"/>
        <w:tabs>
          <w:tab w:pos="9524" w:val="right" w:leader="dot"/>
        </w:tabs>
      </w:pPr>
      <w:r>
        <w:t>5.3 Automatischer Kommissionierlieferschein</w:t>
        <w:tab/>
        <w:t>10</w:t>
      </w:r>
    </w:p>
    <w:p>
      <w:pPr>
        <w:pStyle w:val="TOC1"/>
        <w:tabs>
          <w:tab w:pos="9524" w:val="right" w:leader="dot"/>
        </w:tabs>
      </w:pPr>
      <w:r>
        <w:t>6 Partneradressen (MD017/MD018)</w:t>
        <w:tab/>
        <w:t>12</w:t>
      </w:r>
    </w:p>
    <w:p>
      <w:pPr>
        <w:pStyle w:val="TOC2"/>
        <w:tabs>
          <w:tab w:pos="9524" w:val="right" w:leader="dot"/>
        </w:tabs>
      </w:pPr>
      <w:r>
        <w:t>6.1 Briefkopf: eigene Adresse aus MD018 „Lagerort“</w:t>
        <w:tab/>
        <w:t>12</w:t>
      </w:r>
    </w:p>
    <w:p>
      <w:pPr>
        <w:pStyle w:val="TOC2"/>
        <w:tabs>
          <w:tab w:pos="9524" w:val="right" w:leader="dot"/>
        </w:tabs>
      </w:pPr>
      <w:r>
        <w:t>6.2 Partnerrollen am Bedarf</w:t>
        <w:tab/>
        <w:t>12</w:t>
      </w:r>
    </w:p>
    <w:p>
      <w:pPr>
        <w:pStyle w:val="TOC2"/>
        <w:tabs>
          <w:tab w:pos="9524" w:val="right" w:leader="dot"/>
        </w:tabs>
      </w:pPr>
      <w:r>
        <w:t>6.3 Voraussetzungen und Telegramm</w:t>
        <w:tab/>
        <w:t>13</w:t>
      </w:r>
    </w:p>
    <w:p>
      <w:pPr>
        <w:pStyle w:val="TOC1"/>
        <w:tabs>
          <w:tab w:pos="9524" w:val="right" w:leader="dot"/>
        </w:tabs>
      </w:pPr>
      <w:r>
        <w:t>7 Packliste</w:t>
        <w:tab/>
        <w:t>15</w:t>
      </w:r>
    </w:p>
    <w:p>
      <w:pPr>
        <w:pStyle w:val="TOC1"/>
        <w:tabs>
          <w:tab w:pos="9524" w:val="right" w:leader="dot"/>
        </w:tabs>
      </w:pPr>
      <w:r>
        <w:t>8 Sprache: nur Deutsch</w:t>
        <w:tab/>
        <w:t>16</w:t>
      </w:r>
    </w:p>
    <w:p>
      <w:pPr>
        <w:pStyle w:val="TOC1"/>
        <w:tabs>
          <w:tab w:pos="9524" w:val="right" w:leader="dot"/>
        </w:tabs>
      </w:pPr>
      <w:r>
        <w:t>9 Layout und Logo (RM003)</w:t>
        <w:tab/>
        <w:t>17</w:t>
      </w:r>
    </w:p>
    <w:p>
      <w:pPr>
        <w:pStyle w:val="TOC2"/>
        <w:tabs>
          <w:tab w:pos="9524" w:val="right" w:leader="dot"/>
        </w:tabs>
      </w:pPr>
      <w:r>
        <w:t>9.1 Aufbau eines Layouts</w:t>
        <w:tab/>
        <w:t>17</w:t>
      </w:r>
    </w:p>
    <w:p>
      <w:pPr>
        <w:pStyle w:val="TOC2"/>
        <w:tabs>
          <w:tab w:pos="9524" w:val="right" w:leader="dot"/>
        </w:tabs>
      </w:pPr>
      <w:r>
        <w:t>9.2 Kundenlogo einsetzen</w:t>
        <w:tab/>
        <w:t>17</w:t>
      </w:r>
    </w:p>
    <w:p>
      <w:pPr>
        <w:pStyle w:val="TOC1"/>
        <w:tabs>
          <w:tab w:pos="9524" w:val="right" w:leader="dot"/>
        </w:tabs>
      </w:pPr>
      <w:r>
        <w:t>10 Etiketten</w:t>
        <w:tab/>
        <w:t>18</w:t>
      </w:r>
    </w:p>
    <w:p>
      <w:pPr>
        <w:pStyle w:val="TOC1"/>
        <w:tabs>
          <w:tab w:pos="9524" w:val="right" w:leader="dot"/>
        </w:tabs>
      </w:pPr>
      <w:r>
        <w:t>11 Touch und Mobile</w:t>
        <w:tab/>
        <w:t>19</w:t>
      </w:r>
    </w:p>
    <w:p>
      <w:pPr>
        <w:pStyle w:val="TOC1"/>
        <w:tabs>
          <w:tab w:pos="9524" w:val="right" w:leader="dot"/>
        </w:tabs>
      </w:pPr>
      <w:r>
        <w:t>12 Stolperfallen</w:t>
        <w:tab/>
        <w:t>20</w:t>
      </w:r>
    </w:p>
    <w:p>
      <w:pPr>
        <w:pStyle w:val="TOC1"/>
        <w:tabs>
          <w:tab w:pos="9524" w:val="right" w:leader="dot"/>
        </w:tabs>
      </w:pPr>
      <w:r>
        <w:t>13 Praxisbeispiele</w:t>
        <w:tab/>
        <w:t>21</w:t>
      </w:r>
    </w:p>
    <w:p>
      <w:pPr>
        <w:pStyle w:val="TOC2"/>
        <w:tabs>
          <w:tab w:pos="9524" w:val="right" w:leader="dot"/>
        </w:tabs>
      </w:pPr>
      <w:r>
        <w:t>13.1 Kommissionierlieferschein mit Kunden- und Firmenadresse als deutsches PDF</w:t>
        <w:tab/>
      </w:r>
    </w:p>
    <w:p>
      <w:pPr>
        <w:pStyle w:val="TOC2"/>
        <w:tabs>
          <w:tab w:pos="9524" w:val="right" w:leader="dot"/>
        </w:tabs>
      </w:pPr>
      <w:r>
        <w:t>13.2 Artikeletikett soll eine andere Konfiguration nehmen</w:t>
        <w:tab/>
        <w:t>21</w:t>
      </w:r>
    </w:p>
    <w:p>
      <w:pPr>
        <w:pStyle w:val="TOC1"/>
        <w:tabs>
          <w:tab w:pos="9524" w:val="right" w:leader="dot"/>
        </w:tabs>
      </w:pPr>
      <w:r>
        <w:t>14 Offene Punkte</w:t>
        <w:tab/>
        <w:t>22</w:t>
      </w:r>
    </w:p>
    <w:p>
      <w:pPr>
        <w:pStyle w:val="TOC1"/>
        <w:tabs>
          <w:tab w:pos="9524" w:val="right" w:leader="dot"/>
        </w:tabs>
      </w:pPr>
      <w:r>
        <w:t>15 Anhang A: Druckrelevante Änderungen am Testsystem</w:t>
        <w:tab/>
        <w:t>23</w:t>
      </w:r>
    </w:p>
    <w:p>
      <w:pPr>
        <w:pStyle w:val="TOC1"/>
        <w:tabs>
          <w:tab w:pos="9524" w:val="right" w:leader="dot"/>
        </w:tabs>
      </w:pPr>
      <w:r>
        <w:t>16 Quellenverzeichnis</w:t>
        <w:tab/>
        <w:t>24</w:t>
      </w:r>
      <w:r>
        <w:fldChar w:fldCharType="end"/>
      </w:r>
    </w:p>
    <w:p>
      <w:pPr>
        <w:pStyle w:val="Heading1"/>
      </w:pPr>
      <w:r>
        <w:t>1 Über dieses Dokument</w:t>
      </w:r>
    </w:p>
    <w:p>
      <w:pPr>
        <w:pStyle w:val="Heading2"/>
      </w:pPr>
      <w:r>
        <w:t>1.1 Zweck</w:t>
      </w:r>
    </w:p>
    <w:p>
      <w:r>
        <w:t xml:space="preserve">Diese Anleitung beschreibt, wie in WAMAS Lift &amp; Store 2.8 Druckdokumente entstehen (Lieferscheine, Packliste, Etiketten), </w:t>
      </w:r>
      <w:r>
        <w:rPr>
          <w:b/>
        </w:rPr>
        <w:t>welche Konfiguration der Druck wirklich nimmt</w:t>
      </w:r>
      <w:r>
        <w:t xml:space="preserve"> (RM010/RM100), wie man Belege ohne Drucker als PDF ablegt und welche Adressen auf den Lieferscheinen erscheinen (MD017/MD018). Sie ist die </w:t>
      </w:r>
      <w:r>
        <w:rPr>
          <w:b/>
        </w:rPr>
        <w:t>einzige gültige Fassung</w:t>
      </w:r>
      <w:r>
        <w:t xml:space="preserve"> und ersetzt das How-to „WAMAS-LS28 Druckdokumente“ v1.0 vom 17.10.2026 (17:43). Neu sind vor allem die Regeln zu RM010/RM100, der Briefkopf aus MD018 und der Stand zum automatischen Lieferschein. Die Einrichtung des Etikettendruckers (Zebra ZD410, ZPL, LPD/LPR) steht in der eigenen Anleitung </w:t>
      </w:r>
      <w:r>
        <w:rPr>
          <w:b/>
        </w:rPr>
        <w:t>„Etikettendruck einrichten – Zebra ZD410 (ZPL) mit WAMAS LS 2.8“</w:t>
      </w:r>
      <w:r>
        <w:t xml:space="preserve"> v1.0.</w:t>
      </w:r>
    </w:p>
    <w:p>
      <w:pPr>
        <w:pStyle w:val="Heading2"/>
      </w:pPr>
      <w:r>
        <w:t>1.2 So lesen Sie dieses Dokument</w:t>
      </w:r>
    </w:p>
    <w:p>
      <w:pPr>
        <w:pStyle w:val="ListBullet"/>
      </w:pPr>
      <w:r>
        <w:t xml:space="preserve">Dialognamen und Bildschirmtexte stehen </w:t>
      </w:r>
      <w:r>
        <w:rPr>
          <w:b/>
        </w:rPr>
        <w:t>fett</w:t>
      </w:r>
      <w:r>
        <w:t xml:space="preserve">, Felder, Dateien und Telegramme in </w:t>
      </w:r>
      <w:r>
        <w:rPr>
          <w:rFonts w:ascii="Consolas" w:hAnsi="Consolas" w:cs="Consolas" w:eastAsia="Consolas"/>
          <w:sz w:val="18"/>
        </w:rPr>
        <w:t>Monospace</w:t>
      </w:r>
      <w:r>
        <w:t>.</w:t>
      </w:r>
    </w:p>
    <w:p>
      <w:pPr>
        <w:pStyle w:val="ListBullet"/>
      </w:pPr>
      <w:r>
        <w:t>Uhrzeiten: 17./18.10.2026, Ortszeit Zürich (MESZ).</w:t>
      </w:r>
    </w:p>
    <w:p>
      <w:pPr>
        <w:pStyle w:val="ListBullet"/>
      </w:pPr>
      <w:r>
        <w:rPr>
          <w:b/>
        </w:rPr>
        <w:t>bestätigt</w:t>
      </w:r>
      <w:r>
        <w:t xml:space="preserve"> = live am System belegt. </w:t>
      </w:r>
      <w:r>
        <w:rPr>
          <w:b/>
        </w:rPr>
        <w:t>[im System prüfen]</w:t>
      </w:r>
      <w:r>
        <w:t xml:space="preserve"> = abgeleitet, nicht einzeln belegt. Graue Kästen mit rotem Rand = offen.</w:t>
      </w:r>
    </w:p>
    <w:p>
      <w:pPr>
        <w:pStyle w:val="ListBullet"/>
      </w:pPr>
      <w:r>
        <w:t>Unter jedem Abschnitt nennt eine Quellenzeile die Herkunft (Kürzel siehe Kap. 15).</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Druckdokumente WAMAS LS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18.10.2026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Administratoren, Key-User, Projektleitung</w:t>
            </w:r>
          </w:p>
        </w:tc>
      </w:tr>
      <w:tr>
        <w:tc>
          <w:tcPr>
            <w:tcW w:type="dxa" w:w="2268"/>
          </w:tcPr>
          <w:p>
            <w:pPr>
              <w:spacing w:after="0" w:line="252" w:lineRule="auto"/>
            </w:pPr>
            <w:r>
              <w:rPr>
                <w:b/>
                <w:sz w:val="17"/>
              </w:rPr>
              <w:t>Grundlage</w:t>
            </w:r>
          </w:p>
        </w:tc>
        <w:tc>
          <w:tcPr>
            <w:tcW w:type="dxa" w:w="7257"/>
          </w:tcPr>
          <w:p>
            <w:pPr>
              <w:spacing w:after="0" w:line="252" w:lineRule="auto"/>
            </w:pPr>
            <w:r>
              <w:rPr>
                <w:sz w:val="17"/>
              </w:rPr>
              <w:t>Live-Tests am Testsystem srv01 (DB wms28_prod, LOGIMAT A2/Öffnung 1) vom 17./18.10.2026, Druck-How-to v1.0 vom 17.10.2026, Recherchen Druck, Lieferschein-Adressen, Layout, Lagerplatzetiketten</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33"/>
        <w:gridCol w:w="1070"/>
        <w:gridCol w:w="6421"/>
      </w:tblGrid>
      <w:tr>
        <w:trPr>
          <w:tblHeader w:val="true"/>
        </w:trPr>
        <w:tc>
          <w:tcPr>
            <w:tcW w:type="dxa" w:w="2033"/>
            <w:shd w:val="clear" w:color="auto" w:fill="FEEE19"/>
          </w:tcPr>
          <w:p>
            <w:pPr>
              <w:spacing w:after="0"/>
            </w:pPr>
            <w:r>
              <w:rPr>
                <w:b/>
                <w:sz w:val="17"/>
              </w:rPr>
              <w:t>Version</w:t>
            </w:r>
          </w:p>
        </w:tc>
        <w:tc>
          <w:tcPr>
            <w:tcW w:type="dxa" w:w="1070"/>
            <w:shd w:val="clear" w:color="auto" w:fill="FEEE19"/>
          </w:tcPr>
          <w:p>
            <w:pPr>
              <w:spacing w:after="0"/>
            </w:pPr>
            <w:r>
              <w:rPr>
                <w:b/>
                <w:sz w:val="17"/>
              </w:rPr>
              <w:t>Datum</w:t>
            </w:r>
          </w:p>
        </w:tc>
        <w:tc>
          <w:tcPr>
            <w:tcW w:type="dxa" w:w="6421"/>
            <w:shd w:val="clear" w:color="auto" w:fill="FEEE19"/>
          </w:tcPr>
          <w:p>
            <w:pPr>
              <w:spacing w:after="0"/>
            </w:pPr>
            <w:r>
              <w:rPr>
                <w:b/>
                <w:sz w:val="17"/>
              </w:rPr>
              <w:t>Änderung</w:t>
            </w:r>
          </w:p>
        </w:tc>
      </w:tr>
      <w:tr>
        <w:tc>
          <w:tcPr>
            <w:tcW w:type="dxa" w:w="2033"/>
          </w:tcPr>
          <w:p>
            <w:pPr>
              <w:spacing w:after="0" w:line="252" w:lineRule="auto"/>
            </w:pPr>
            <w:r>
              <w:rPr>
                <w:sz w:val="17"/>
              </w:rPr>
              <w:t>1.0 (Vorgänger)</w:t>
            </w:r>
          </w:p>
        </w:tc>
        <w:tc>
          <w:tcPr>
            <w:tcW w:type="dxa" w:w="1070"/>
          </w:tcPr>
          <w:p>
            <w:pPr>
              <w:spacing w:after="0" w:line="252" w:lineRule="auto"/>
            </w:pPr>
            <w:r>
              <w:rPr>
                <w:sz w:val="17"/>
              </w:rPr>
              <w:t>17.10.2026</w:t>
            </w:r>
          </w:p>
        </w:tc>
        <w:tc>
          <w:tcPr>
            <w:tcW w:type="dxa" w:w="6421"/>
          </w:tcPr>
          <w:p>
            <w:pPr>
              <w:spacing w:after="0" w:line="252" w:lineRule="auto"/>
            </w:pPr>
            <w:r>
              <w:rPr>
                <w:sz w:val="17"/>
              </w:rPr>
              <w:t>„WAMAS-LS28 Druckdokumente HowTo“ v1.0, Stand 17:43</w:t>
            </w:r>
          </w:p>
        </w:tc>
      </w:tr>
      <w:tr>
        <w:tc>
          <w:tcPr>
            <w:tcW w:type="dxa" w:w="2033"/>
          </w:tcPr>
          <w:p>
            <w:pPr>
              <w:spacing w:after="0" w:line="252" w:lineRule="auto"/>
            </w:pPr>
            <w:r>
              <w:rPr>
                <w:sz w:val="17"/>
              </w:rPr>
              <w:t>1.0 (diese Fassung)</w:t>
            </w:r>
          </w:p>
        </w:tc>
        <w:tc>
          <w:tcPr>
            <w:tcW w:type="dxa" w:w="1070"/>
          </w:tcPr>
          <w:p>
            <w:pPr>
              <w:spacing w:after="0" w:line="252" w:lineRule="auto"/>
            </w:pPr>
            <w:r>
              <w:rPr>
                <w:sz w:val="17"/>
              </w:rPr>
              <w:t>18.10.2026</w:t>
            </w:r>
          </w:p>
        </w:tc>
        <w:tc>
          <w:tcPr>
            <w:tcW w:type="dxa" w:w="6421"/>
          </w:tcPr>
          <w:p>
            <w:pPr>
              <w:spacing w:after="0" w:line="252" w:lineRule="auto"/>
            </w:pPr>
            <w:r>
              <w:rPr>
                <w:sz w:val="17"/>
              </w:rPr>
              <w:t xml:space="preserve">Zusammengeführt und ersetzt den Vorgänger. Neu: RM010/RM100-Verhalten (Kap. 3), Briefkopf aus MD018 (Kap. 6.1), automatischer Lieferschein mit </w:t>
            </w:r>
            <w:r>
              <w:rPr>
                <w:rFonts w:ascii="Consolas" w:hAnsi="Consolas" w:cs="Consolas" w:eastAsia="Consolas"/>
                <w:sz w:val="15"/>
              </w:rPr>
              <w:t>noteNo</w:t>
            </w:r>
            <w:r>
              <w:rPr>
                <w:sz w:val="17"/>
              </w:rPr>
              <w:t xml:space="preserve"> (Kap. 5.3), RM018 = „Übersicht Dokumente“, Speichern ausgegraut nach Archivierung, Zebra-Einrichtung ausgelagert</w:t>
            </w:r>
          </w:p>
        </w:tc>
      </w:tr>
    </w:tbl>
    <w:p>
      <w:pPr>
        <w:pStyle w:val="BeschriftungSSI"/>
      </w:pPr>
      <w:r>
        <w:t>Tab. 1: Änderungshistorie</w:t>
      </w:r>
    </w:p>
    <w:p>
      <w:pPr>
        <w:pStyle w:val="Heading1"/>
      </w:pPr>
      <w:r>
        <w:t>2 Überblick</w:t>
      </w:r>
    </w:p>
    <w:p>
      <w:pPr>
        <w:pStyle w:val="Heading2"/>
      </w:pPr>
      <w:r>
        <w:t>2.1 So entsteht ein Druckdokument</w:t>
      </w:r>
    </w:p>
    <w:p>
      <w:r>
        <w:t xml:space="preserve">Ein Prozessschritt (z. B. Abschluss eines Kommissionierauftrags) oder ein Benutzer löst einen </w:t>
      </w:r>
      <w:r>
        <w:rPr>
          <w:b/>
        </w:rPr>
        <w:t>Dokumentauftrag</w:t>
      </w:r>
      <w:r>
        <w:t xml:space="preserve"> aus. WAMAS sucht die Ausgabe über drei Stammdaten:</w:t>
      </w:r>
    </w:p>
    <w:p>
      <w:pPr>
        <w:tabs>
          <w:tab w:pos="425" w:val="left"/>
        </w:tabs>
        <w:spacing w:after="60"/>
        <w:ind w:left="425" w:hanging="425"/>
      </w:pPr>
      <w:r>
        <w:rPr>
          <w:b/>
        </w:rPr>
        <w:t>1.</w:t>
        <w:tab/>
      </w:r>
      <w:r>
        <w:rPr>
          <w:b/>
        </w:rPr>
        <w:t>RM010 Dokumenttypkonfiguration-Zuordnung</w:t>
      </w:r>
      <w:r>
        <w:t xml:space="preserve">: welche Konfiguration für einen Dokumenttyp gilt (Kriterien Klient, Lagerstandort, Partner, Partnergruppe, Ladehilfsmittel, Versandart; Häkchen </w:t>
      </w:r>
      <w:r>
        <w:rPr>
          <w:b/>
        </w:rPr>
        <w:t>Aktiviert</w:t>
      </w:r>
      <w:r>
        <w:t>).</w:t>
      </w:r>
    </w:p>
    <w:p>
      <w:pPr>
        <w:tabs>
          <w:tab w:pos="425" w:val="left"/>
        </w:tabs>
        <w:spacing w:after="60"/>
        <w:ind w:left="425" w:hanging="425"/>
      </w:pPr>
      <w:r>
        <w:rPr>
          <w:b/>
        </w:rPr>
        <w:t>2.</w:t>
        <w:tab/>
      </w:r>
      <w:r>
        <w:rPr>
          <w:b/>
        </w:rPr>
        <w:t>RM005 Standard-Dokumenttypkonfiguration</w:t>
      </w:r>
      <w:r>
        <w:t xml:space="preserve">: verbindet Dokumenttyp, Layout und Renderer, legt </w:t>
      </w:r>
      <w:r>
        <w:rPr>
          <w:b/>
        </w:rPr>
        <w:t>Kanäle</w:t>
      </w:r>
      <w:r>
        <w:t xml:space="preserve"> (Druck, E-Mail, Datei) und </w:t>
      </w:r>
      <w:r>
        <w:rPr>
          <w:b/>
        </w:rPr>
        <w:t>Sprachen</w:t>
      </w:r>
      <w:r>
        <w:t xml:space="preserve"> fest.</w:t>
      </w:r>
    </w:p>
    <w:p>
      <w:pPr>
        <w:tabs>
          <w:tab w:pos="425" w:val="left"/>
        </w:tabs>
        <w:spacing w:after="60"/>
        <w:ind w:left="425" w:hanging="425"/>
      </w:pPr>
      <w:r>
        <w:rPr>
          <w:b/>
        </w:rPr>
        <w:t>3.</w:t>
        <w:tab/>
      </w:r>
      <w:r>
        <w:rPr>
          <w:b/>
        </w:rPr>
        <w:t>RM003 Dokumentlayout</w:t>
      </w:r>
      <w:r>
        <w:t>: die Vorlage (HTML mit CSS bzw. ZPL II) mit Logos.</w:t>
      </w:r>
    </w:p>
    <w:p>
      <w:r>
        <w:t xml:space="preserve">Beim Druck-Kanal wählt WAMAS den Drucker über </w:t>
      </w:r>
      <w:r>
        <w:rPr>
          <w:b/>
        </w:rPr>
        <w:t>RM015</w:t>
      </w:r>
      <w:r>
        <w:t xml:space="preserve"> (Druckertyp: Format, Seitengröße, Auflösung), </w:t>
      </w:r>
      <w:r>
        <w:rPr>
          <w:b/>
        </w:rPr>
        <w:t>RM011</w:t>
      </w:r>
      <w:r>
        <w:t xml:space="preserve"> (Drucker) und </w:t>
      </w:r>
      <w:r>
        <w:rPr>
          <w:b/>
        </w:rPr>
        <w:t>RM017</w:t>
      </w:r>
      <w:r>
        <w:t xml:space="preserve"> (Druckerortzuordnung). Ohne passende Druckerortzuordnung gibt es keinen Standarddrucker.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53"/>
        <w:gridCol w:w="4723"/>
        <w:gridCol w:w="3148"/>
      </w:tblGrid>
      <w:tr>
        <w:trPr>
          <w:tblHeader w:val="true"/>
        </w:trPr>
        <w:tc>
          <w:tcPr>
            <w:tcW w:type="dxa" w:w="1653"/>
            <w:shd w:val="clear" w:color="auto" w:fill="FEEE19"/>
          </w:tcPr>
          <w:p>
            <w:pPr>
              <w:spacing w:after="0"/>
            </w:pPr>
            <w:r>
              <w:rPr>
                <w:b/>
                <w:sz w:val="17"/>
              </w:rPr>
              <w:t>Dialog</w:t>
            </w:r>
          </w:p>
        </w:tc>
        <w:tc>
          <w:tcPr>
            <w:tcW w:type="dxa" w:w="4723"/>
            <w:shd w:val="clear" w:color="auto" w:fill="FEEE19"/>
          </w:tcPr>
          <w:p>
            <w:pPr>
              <w:spacing w:after="0"/>
            </w:pPr>
            <w:r>
              <w:rPr>
                <w:b/>
                <w:sz w:val="17"/>
              </w:rPr>
              <w:t>Titel im System (live)</w:t>
            </w:r>
          </w:p>
        </w:tc>
        <w:tc>
          <w:tcPr>
            <w:tcW w:type="dxa" w:w="3149"/>
            <w:shd w:val="clear" w:color="auto" w:fill="FEEE19"/>
          </w:tcPr>
          <w:p>
            <w:pPr>
              <w:spacing w:after="0"/>
            </w:pPr>
            <w:r>
              <w:rPr>
                <w:b/>
                <w:sz w:val="17"/>
              </w:rPr>
              <w:t>Zweck</w:t>
            </w:r>
          </w:p>
        </w:tc>
      </w:tr>
      <w:tr>
        <w:tc>
          <w:tcPr>
            <w:tcW w:type="dxa" w:w="1653"/>
          </w:tcPr>
          <w:p>
            <w:pPr>
              <w:spacing w:after="0" w:line="252" w:lineRule="auto"/>
            </w:pPr>
            <w:r>
              <w:rPr>
                <w:sz w:val="17"/>
              </w:rPr>
              <w:t>RM003</w:t>
            </w:r>
          </w:p>
        </w:tc>
        <w:tc>
          <w:tcPr>
            <w:tcW w:type="dxa" w:w="4723"/>
          </w:tcPr>
          <w:p>
            <w:pPr>
              <w:spacing w:after="0" w:line="252" w:lineRule="auto"/>
            </w:pPr>
            <w:r>
              <w:rPr>
                <w:sz w:val="17"/>
              </w:rPr>
              <w:t>Dokumentlayout pflegen</w:t>
            </w:r>
          </w:p>
        </w:tc>
        <w:tc>
          <w:tcPr>
            <w:tcW w:type="dxa" w:w="3149"/>
          </w:tcPr>
          <w:p>
            <w:pPr>
              <w:spacing w:after="0" w:line="252" w:lineRule="auto"/>
            </w:pPr>
            <w:r>
              <w:rPr>
                <w:sz w:val="17"/>
              </w:rPr>
              <w:t>Layout, Export als ZIP</w:t>
            </w:r>
          </w:p>
        </w:tc>
      </w:tr>
      <w:tr>
        <w:tc>
          <w:tcPr>
            <w:tcW w:type="dxa" w:w="1653"/>
          </w:tcPr>
          <w:p>
            <w:pPr>
              <w:spacing w:after="0" w:line="252" w:lineRule="auto"/>
            </w:pPr>
            <w:r>
              <w:rPr>
                <w:sz w:val="17"/>
              </w:rPr>
              <w:t>RM005</w:t>
            </w:r>
          </w:p>
        </w:tc>
        <w:tc>
          <w:tcPr>
            <w:tcW w:type="dxa" w:w="4723"/>
          </w:tcPr>
          <w:p>
            <w:pPr>
              <w:spacing w:after="0" w:line="252" w:lineRule="auto"/>
            </w:pPr>
            <w:r>
              <w:rPr>
                <w:sz w:val="17"/>
              </w:rPr>
              <w:t>Standard-Dokumenttypkonfiguration pflegen</w:t>
            </w:r>
          </w:p>
        </w:tc>
        <w:tc>
          <w:tcPr>
            <w:tcW w:type="dxa" w:w="3149"/>
          </w:tcPr>
          <w:p>
            <w:pPr>
              <w:spacing w:after="0" w:line="252" w:lineRule="auto"/>
            </w:pPr>
            <w:r>
              <w:rPr>
                <w:sz w:val="17"/>
              </w:rPr>
              <w:t>Kanäle, Sprache</w:t>
            </w:r>
          </w:p>
        </w:tc>
      </w:tr>
      <w:tr>
        <w:tc>
          <w:tcPr>
            <w:tcW w:type="dxa" w:w="1653"/>
          </w:tcPr>
          <w:p>
            <w:pPr>
              <w:spacing w:after="0" w:line="252" w:lineRule="auto"/>
            </w:pPr>
            <w:r>
              <w:rPr>
                <w:sz w:val="17"/>
              </w:rPr>
              <w:t>RM010</w:t>
            </w:r>
          </w:p>
        </w:tc>
        <w:tc>
          <w:tcPr>
            <w:tcW w:type="dxa" w:w="4723"/>
          </w:tcPr>
          <w:p>
            <w:pPr>
              <w:spacing w:after="0" w:line="252" w:lineRule="auto"/>
            </w:pPr>
            <w:r>
              <w:rPr>
                <w:sz w:val="17"/>
              </w:rPr>
              <w:t>Dokumenttypkonfiguration-Zuordnung pflegen</w:t>
            </w:r>
          </w:p>
        </w:tc>
        <w:tc>
          <w:tcPr>
            <w:tcW w:type="dxa" w:w="3149"/>
          </w:tcPr>
          <w:p>
            <w:pPr>
              <w:spacing w:after="0" w:line="252" w:lineRule="auto"/>
            </w:pPr>
            <w:r>
              <w:rPr>
                <w:sz w:val="17"/>
              </w:rPr>
              <w:t>Zuordnung, Aktiviert</w:t>
            </w:r>
          </w:p>
        </w:tc>
      </w:tr>
      <w:tr>
        <w:tc>
          <w:tcPr>
            <w:tcW w:type="dxa" w:w="1653"/>
          </w:tcPr>
          <w:p>
            <w:pPr>
              <w:spacing w:after="0" w:line="252" w:lineRule="auto"/>
            </w:pPr>
            <w:r>
              <w:rPr>
                <w:sz w:val="17"/>
              </w:rPr>
              <w:t>RM011 / RM015 / RM017</w:t>
            </w:r>
          </w:p>
        </w:tc>
        <w:tc>
          <w:tcPr>
            <w:tcW w:type="dxa" w:w="4723"/>
          </w:tcPr>
          <w:p>
            <w:pPr>
              <w:spacing w:after="0" w:line="252" w:lineRule="auto"/>
            </w:pPr>
            <w:r>
              <w:rPr>
                <w:sz w:val="17"/>
              </w:rPr>
              <w:t>Drucker / Druckertypkonfiguration / Druckerortzuordnung pflegen</w:t>
            </w:r>
          </w:p>
        </w:tc>
        <w:tc>
          <w:tcPr>
            <w:tcW w:type="dxa" w:w="3149"/>
          </w:tcPr>
          <w:p>
            <w:pPr>
              <w:spacing w:after="0" w:line="252" w:lineRule="auto"/>
            </w:pPr>
            <w:r>
              <w:rPr>
                <w:sz w:val="17"/>
              </w:rPr>
              <w:t>Druckerwahl</w:t>
            </w:r>
          </w:p>
        </w:tc>
      </w:tr>
      <w:tr>
        <w:tc>
          <w:tcPr>
            <w:tcW w:type="dxa" w:w="1653"/>
          </w:tcPr>
          <w:p>
            <w:pPr>
              <w:spacing w:after="0" w:line="252" w:lineRule="auto"/>
            </w:pPr>
            <w:r>
              <w:rPr>
                <w:sz w:val="17"/>
              </w:rPr>
              <w:t>RM018</w:t>
            </w:r>
          </w:p>
        </w:tc>
        <w:tc>
          <w:tcPr>
            <w:tcW w:type="dxa" w:w="4723"/>
          </w:tcPr>
          <w:p>
            <w:pPr>
              <w:spacing w:after="0" w:line="252" w:lineRule="auto"/>
            </w:pPr>
            <w:r>
              <w:rPr>
                <w:b/>
                <w:sz w:val="17"/>
              </w:rPr>
              <w:t>Übersicht Dokumente</w:t>
            </w:r>
          </w:p>
        </w:tc>
        <w:tc>
          <w:tcPr>
            <w:tcW w:type="dxa" w:w="3149"/>
          </w:tcPr>
          <w:p>
            <w:pPr>
              <w:spacing w:after="0" w:line="252" w:lineRule="auto"/>
            </w:pPr>
            <w:r>
              <w:rPr>
                <w:sz w:val="17"/>
              </w:rPr>
              <w:t>erzeugte Dokumente, Speichern, Nachdruck</w:t>
            </w:r>
          </w:p>
        </w:tc>
      </w:tr>
      <w:tr>
        <w:tc>
          <w:tcPr>
            <w:tcW w:type="dxa" w:w="1653"/>
          </w:tcPr>
          <w:p>
            <w:pPr>
              <w:spacing w:after="0" w:line="252" w:lineRule="auto"/>
            </w:pPr>
            <w:r>
              <w:rPr>
                <w:sz w:val="17"/>
              </w:rPr>
              <w:t>RM023</w:t>
            </w:r>
          </w:p>
        </w:tc>
        <w:tc>
          <w:tcPr>
            <w:tcW w:type="dxa" w:w="4723"/>
          </w:tcPr>
          <w:p>
            <w:pPr>
              <w:spacing w:after="0" w:line="252" w:lineRule="auto"/>
            </w:pPr>
            <w:r>
              <w:rPr>
                <w:b/>
                <w:sz w:val="17"/>
              </w:rPr>
              <w:t>Übersicht Dokumentenverarbeitungsaufträge</w:t>
            </w:r>
          </w:p>
        </w:tc>
        <w:tc>
          <w:tcPr>
            <w:tcW w:type="dxa" w:w="3149"/>
          </w:tcPr>
          <w:p>
            <w:pPr>
              <w:spacing w:after="0" w:line="252" w:lineRule="auto"/>
            </w:pPr>
            <w:r>
              <w:rPr>
                <w:sz w:val="17"/>
              </w:rPr>
              <w:t>Status je Auftrag</w:t>
            </w:r>
          </w:p>
        </w:tc>
      </w:tr>
      <w:tr>
        <w:tc>
          <w:tcPr>
            <w:tcW w:type="dxa" w:w="1653"/>
          </w:tcPr>
          <w:p>
            <w:pPr>
              <w:spacing w:after="0" w:line="252" w:lineRule="auto"/>
            </w:pPr>
            <w:r>
              <w:rPr>
                <w:sz w:val="17"/>
              </w:rPr>
              <w:t>RM100</w:t>
            </w:r>
          </w:p>
        </w:tc>
        <w:tc>
          <w:tcPr>
            <w:tcW w:type="dxa" w:w="4723"/>
          </w:tcPr>
          <w:p>
            <w:pPr>
              <w:spacing w:after="0" w:line="252" w:lineRule="auto"/>
            </w:pPr>
            <w:r>
              <w:rPr>
                <w:sz w:val="17"/>
              </w:rPr>
              <w:t>Dokument erzeugen</w:t>
            </w:r>
          </w:p>
        </w:tc>
        <w:tc>
          <w:tcPr>
            <w:tcW w:type="dxa" w:w="3149"/>
          </w:tcPr>
          <w:p>
            <w:pPr>
              <w:spacing w:after="0" w:line="252" w:lineRule="auto"/>
            </w:pPr>
            <w:r>
              <w:rPr>
                <w:sz w:val="17"/>
              </w:rPr>
              <w:t>manueller Druck</w:t>
            </w:r>
          </w:p>
        </w:tc>
      </w:tr>
      <w:tr>
        <w:tc>
          <w:tcPr>
            <w:tcW w:type="dxa" w:w="1653"/>
          </w:tcPr>
          <w:p>
            <w:pPr>
              <w:spacing w:after="0" w:line="252" w:lineRule="auto"/>
            </w:pPr>
            <w:r>
              <w:rPr>
                <w:sz w:val="17"/>
              </w:rPr>
              <w:t>RM500</w:t>
            </w:r>
          </w:p>
        </w:tc>
        <w:tc>
          <w:tcPr>
            <w:tcW w:type="dxa" w:w="4723"/>
          </w:tcPr>
          <w:p>
            <w:pPr>
              <w:spacing w:after="0" w:line="252" w:lineRule="auto"/>
            </w:pPr>
            <w:r>
              <w:rPr>
                <w:sz w:val="17"/>
              </w:rPr>
              <w:t>Generisches Etikett drucken</w:t>
            </w:r>
          </w:p>
        </w:tc>
        <w:tc>
          <w:tcPr>
            <w:tcW w:type="dxa" w:w="3149"/>
          </w:tcPr>
          <w:p>
            <w:pPr>
              <w:spacing w:after="0" w:line="252" w:lineRule="auto"/>
            </w:pPr>
            <w:r>
              <w:rPr>
                <w:sz w:val="17"/>
              </w:rPr>
              <w:t>freies Etikett</w:t>
            </w:r>
          </w:p>
        </w:tc>
      </w:tr>
    </w:tbl>
    <w:p>
      <w:pPr>
        <w:pStyle w:val="BeschriftungSSI"/>
      </w:pPr>
      <w:r>
        <w:t>Tab. 2: Dialoge der Dokumentverwaltung (Handbuch nennt RM018 „Berichtsarchiv“)</w:t>
      </w:r>
    </w:p>
    <w:p>
      <w:pPr>
        <w:pStyle w:val="Quelle"/>
      </w:pPr>
      <w:r>
        <w:rPr>
          <w:b/>
        </w:rPr>
        <w:t xml:space="preserve">Quelle: </w:t>
      </w:r>
      <w:r>
        <w:rPr>
          <w:sz w:val="17"/>
        </w:rPr>
        <w:t>AH28 S. 136–148; TL 15:10–15:30; Screenshot 17.10. 22:21 (Dialogsuche)</w:t>
      </w:r>
    </w:p>
    <w:p>
      <w:pPr>
        <w:pStyle w:val="Heading2"/>
      </w:pPr>
      <w:r>
        <w:t>2.2 Belege und Auslöser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18"/>
        <w:gridCol w:w="1892"/>
        <w:gridCol w:w="3914"/>
      </w:tblGrid>
      <w:tr>
        <w:trPr>
          <w:tblHeader w:val="true"/>
        </w:trPr>
        <w:tc>
          <w:tcPr>
            <w:tcW w:type="dxa" w:w="3718"/>
            <w:shd w:val="clear" w:color="auto" w:fill="FEEE19"/>
          </w:tcPr>
          <w:p>
            <w:pPr>
              <w:spacing w:after="0"/>
            </w:pPr>
            <w:r>
              <w:rPr>
                <w:b/>
                <w:sz w:val="17"/>
              </w:rPr>
              <w:t>Beleg (Dokumenttyp)</w:t>
            </w:r>
          </w:p>
        </w:tc>
        <w:tc>
          <w:tcPr>
            <w:tcW w:type="dxa" w:w="1892"/>
            <w:shd w:val="clear" w:color="auto" w:fill="FEEE19"/>
          </w:tcPr>
          <w:p>
            <w:pPr>
              <w:spacing w:after="0"/>
            </w:pPr>
            <w:r>
              <w:rPr>
                <w:b/>
                <w:sz w:val="17"/>
              </w:rPr>
              <w:t>Konfiguration (RM005)</w:t>
            </w:r>
          </w:p>
        </w:tc>
        <w:tc>
          <w:tcPr>
            <w:tcW w:type="dxa" w:w="3914"/>
            <w:shd w:val="clear" w:color="auto" w:fill="FEEE19"/>
          </w:tcPr>
          <w:p>
            <w:pPr>
              <w:spacing w:after="0"/>
            </w:pPr>
            <w:r>
              <w:rPr>
                <w:b/>
                <w:sz w:val="17"/>
              </w:rPr>
              <w:t>Auslöser / manueller Weg</w:t>
            </w:r>
          </w:p>
        </w:tc>
      </w:tr>
      <w:tr>
        <w:tc>
          <w:tcPr>
            <w:tcW w:type="dxa" w:w="3718"/>
          </w:tcPr>
          <w:p>
            <w:pPr>
              <w:spacing w:after="0" w:line="252" w:lineRule="auto"/>
            </w:pPr>
            <w:r>
              <w:rPr>
                <w:sz w:val="17"/>
              </w:rPr>
              <w:t>Einlagerungslieferschein (</w:t>
            </w:r>
            <w:r>
              <w:rPr>
                <w:rFonts w:ascii="Consolas" w:hAnsi="Consolas" w:cs="Consolas" w:eastAsia="Consolas"/>
                <w:sz w:val="15"/>
              </w:rPr>
              <w:t>LOGIMAT_STORAGEDELIVERYNOTE</w:t>
            </w:r>
            <w:r>
              <w:rPr>
                <w:sz w:val="17"/>
              </w:rPr>
              <w:t>)</w:t>
            </w:r>
          </w:p>
        </w:tc>
        <w:tc>
          <w:tcPr>
            <w:tcW w:type="dxa" w:w="1892"/>
          </w:tcPr>
          <w:p>
            <w:pPr>
              <w:spacing w:after="0" w:line="252" w:lineRule="auto"/>
            </w:pPr>
            <w:r>
              <w:rPr>
                <w:sz w:val="17"/>
              </w:rPr>
              <w:t>LogiMat storage delivery note</w:t>
            </w:r>
          </w:p>
        </w:tc>
        <w:tc>
          <w:tcPr>
            <w:tcW w:type="dxa" w:w="3914"/>
          </w:tcPr>
          <w:p>
            <w:pPr>
              <w:spacing w:after="0" w:line="252" w:lineRule="auto"/>
            </w:pPr>
            <w:r>
              <w:rPr>
                <w:sz w:val="17"/>
              </w:rPr>
              <w:t xml:space="preserve">MD017 Einlagerbedarfstyp </w:t>
            </w:r>
            <w:r>
              <w:rPr>
                <w:b/>
                <w:sz w:val="17"/>
              </w:rPr>
              <w:t>Einlagerungslieferschein drucken</w:t>
            </w:r>
            <w:r>
              <w:rPr>
                <w:sz w:val="17"/>
              </w:rPr>
              <w:t xml:space="preserve"> (RECV: aus); manuell LM080</w:t>
            </w:r>
          </w:p>
        </w:tc>
      </w:tr>
      <w:tr>
        <w:tc>
          <w:tcPr>
            <w:tcW w:type="dxa" w:w="3718"/>
          </w:tcPr>
          <w:p>
            <w:pPr>
              <w:spacing w:after="0" w:line="252" w:lineRule="auto"/>
            </w:pPr>
            <w:r>
              <w:rPr>
                <w:sz w:val="17"/>
              </w:rPr>
              <w:t>Kommissionierlieferschein (</w:t>
            </w:r>
            <w:r>
              <w:rPr>
                <w:rFonts w:ascii="Consolas" w:hAnsi="Consolas" w:cs="Consolas" w:eastAsia="Consolas"/>
                <w:sz w:val="15"/>
              </w:rPr>
              <w:t>LOGIMAT_PICKINGDELIVERYNOTE</w:t>
            </w:r>
            <w:r>
              <w:rPr>
                <w:sz w:val="17"/>
              </w:rPr>
              <w:t>)</w:t>
            </w:r>
          </w:p>
        </w:tc>
        <w:tc>
          <w:tcPr>
            <w:tcW w:type="dxa" w:w="1892"/>
          </w:tcPr>
          <w:p>
            <w:pPr>
              <w:spacing w:after="0" w:line="252" w:lineRule="auto"/>
            </w:pPr>
            <w:r>
              <w:rPr>
                <w:sz w:val="17"/>
              </w:rPr>
              <w:t>LogiMat picking delivery note</w:t>
            </w:r>
          </w:p>
        </w:tc>
        <w:tc>
          <w:tcPr>
            <w:tcW w:type="dxa" w:w="3914"/>
          </w:tcPr>
          <w:p>
            <w:pPr>
              <w:spacing w:after="0" w:line="252" w:lineRule="auto"/>
            </w:pPr>
            <w:r>
              <w:rPr>
                <w:sz w:val="17"/>
              </w:rPr>
              <w:t xml:space="preserve">MD017 Kommissionierbedarfstyp </w:t>
            </w:r>
            <w:r>
              <w:rPr>
                <w:b/>
                <w:sz w:val="17"/>
              </w:rPr>
              <w:t>Kommissionierlieferschein drucken</w:t>
            </w:r>
            <w:r>
              <w:rPr>
                <w:sz w:val="17"/>
              </w:rPr>
              <w:t xml:space="preserve"> + </w:t>
            </w:r>
            <w:r>
              <w:rPr>
                <w:rFonts w:ascii="Consolas" w:hAnsi="Consolas" w:cs="Consolas" w:eastAsia="Consolas"/>
                <w:sz w:val="15"/>
              </w:rPr>
              <w:t>noteNo</w:t>
            </w:r>
            <w:r>
              <w:rPr>
                <w:sz w:val="17"/>
              </w:rPr>
              <w:t xml:space="preserve"> am Bedarf; manuell LM071 </w:t>
            </w:r>
            <w:r>
              <w:rPr>
                <w:b/>
                <w:sz w:val="17"/>
              </w:rPr>
              <w:t>Lieferschein drucken…</w:t>
            </w:r>
          </w:p>
        </w:tc>
      </w:tr>
      <w:tr>
        <w:tc>
          <w:tcPr>
            <w:tcW w:type="dxa" w:w="3718"/>
          </w:tcPr>
          <w:p>
            <w:pPr>
              <w:spacing w:after="0" w:line="252" w:lineRule="auto"/>
            </w:pPr>
            <w:r>
              <w:rPr>
                <w:sz w:val="17"/>
              </w:rPr>
              <w:t>Packliste (</w:t>
            </w:r>
            <w:r>
              <w:rPr>
                <w:rFonts w:ascii="Consolas" w:hAnsi="Consolas" w:cs="Consolas" w:eastAsia="Consolas"/>
                <w:sz w:val="15"/>
              </w:rPr>
              <w:t>LOGIMAT_PACKINGLIST</w:t>
            </w:r>
            <w:r>
              <w:rPr>
                <w:sz w:val="17"/>
              </w:rPr>
              <w:t>)</w:t>
            </w:r>
          </w:p>
        </w:tc>
        <w:tc>
          <w:tcPr>
            <w:tcW w:type="dxa" w:w="1892"/>
          </w:tcPr>
          <w:p>
            <w:pPr>
              <w:spacing w:after="0" w:line="252" w:lineRule="auto"/>
            </w:pPr>
            <w:r>
              <w:rPr>
                <w:sz w:val="17"/>
              </w:rPr>
              <w:t>LogiMat packing list</w:t>
            </w:r>
          </w:p>
        </w:tc>
        <w:tc>
          <w:tcPr>
            <w:tcW w:type="dxa" w:w="3914"/>
          </w:tcPr>
          <w:p>
            <w:pPr>
              <w:spacing w:after="0" w:line="252" w:lineRule="auto"/>
            </w:pPr>
            <w:r>
              <w:rPr>
                <w:sz w:val="17"/>
              </w:rPr>
              <w:t xml:space="preserve">MD017 </w:t>
            </w:r>
            <w:r>
              <w:rPr>
                <w:b/>
                <w:sz w:val="17"/>
              </w:rPr>
              <w:t>Packliste drucken</w:t>
            </w:r>
            <w:r>
              <w:rPr>
                <w:sz w:val="17"/>
              </w:rPr>
              <w:t xml:space="preserve"> (SHPG: an)</w:t>
            </w:r>
          </w:p>
        </w:tc>
      </w:tr>
      <w:tr>
        <w:tc>
          <w:tcPr>
            <w:tcW w:type="dxa" w:w="3718"/>
          </w:tcPr>
          <w:p>
            <w:pPr>
              <w:spacing w:after="0" w:line="252" w:lineRule="auto"/>
            </w:pPr>
            <w:r>
              <w:rPr>
                <w:sz w:val="17"/>
              </w:rPr>
              <w:t>Kommissionieretikett (</w:t>
            </w:r>
            <w:r>
              <w:rPr>
                <w:rFonts w:ascii="Consolas" w:hAnsi="Consolas" w:cs="Consolas" w:eastAsia="Consolas"/>
                <w:sz w:val="15"/>
              </w:rPr>
              <w:t>LOGIMAT_PICKINGLABEL</w:t>
            </w:r>
            <w:r>
              <w:rPr>
                <w:sz w:val="17"/>
              </w:rPr>
              <w:t>)</w:t>
            </w:r>
          </w:p>
        </w:tc>
        <w:tc>
          <w:tcPr>
            <w:tcW w:type="dxa" w:w="1892"/>
          </w:tcPr>
          <w:p>
            <w:pPr>
              <w:spacing w:after="0" w:line="252" w:lineRule="auto"/>
            </w:pPr>
            <w:r>
              <w:rPr>
                <w:sz w:val="17"/>
              </w:rPr>
              <w:t>LogiMat picking label</w:t>
            </w:r>
          </w:p>
        </w:tc>
        <w:tc>
          <w:tcPr>
            <w:tcW w:type="dxa" w:w="3914"/>
          </w:tcPr>
          <w:p>
            <w:pPr>
              <w:spacing w:after="0" w:line="252" w:lineRule="auto"/>
            </w:pPr>
            <w:r>
              <w:rPr>
                <w:sz w:val="17"/>
              </w:rPr>
              <w:t xml:space="preserve">MD017 </w:t>
            </w:r>
            <w:r>
              <w:rPr>
                <w:b/>
                <w:sz w:val="17"/>
              </w:rPr>
              <w:t>Optionen für Drucken von Kommissionieretiketten</w:t>
            </w:r>
            <w:r>
              <w:rPr>
                <w:sz w:val="17"/>
              </w:rPr>
              <w:t xml:space="preserve"> (SHPG: Keine); LM071 </w:t>
            </w:r>
            <w:r>
              <w:rPr>
                <w:b/>
                <w:sz w:val="17"/>
              </w:rPr>
              <w:t>Kommissionieretikett drucken…</w:t>
            </w:r>
          </w:p>
        </w:tc>
      </w:tr>
      <w:tr>
        <w:tc>
          <w:tcPr>
            <w:tcW w:type="dxa" w:w="3718"/>
          </w:tcPr>
          <w:p>
            <w:pPr>
              <w:spacing w:after="0" w:line="252" w:lineRule="auto"/>
            </w:pPr>
            <w:r>
              <w:rPr>
                <w:sz w:val="17"/>
              </w:rPr>
              <w:t>Artikeletikett (</w:t>
            </w:r>
            <w:r>
              <w:rPr>
                <w:rFonts w:ascii="Consolas" w:hAnsi="Consolas" w:cs="Consolas" w:eastAsia="Consolas"/>
                <w:sz w:val="15"/>
              </w:rPr>
              <w:t>ITEM_LABEL</w:t>
            </w:r>
            <w:r>
              <w:rPr>
                <w:sz w:val="17"/>
              </w:rPr>
              <w:t>)</w:t>
            </w:r>
          </w:p>
        </w:tc>
        <w:tc>
          <w:tcPr>
            <w:tcW w:type="dxa" w:w="1892"/>
          </w:tcPr>
          <w:p>
            <w:pPr>
              <w:spacing w:after="0" w:line="252" w:lineRule="auto"/>
            </w:pPr>
            <w:r>
              <w:rPr>
                <w:sz w:val="17"/>
              </w:rPr>
              <w:t>Item label</w:t>
            </w:r>
          </w:p>
        </w:tc>
        <w:tc>
          <w:tcPr>
            <w:tcW w:type="dxa" w:w="3914"/>
          </w:tcPr>
          <w:p>
            <w:pPr>
              <w:spacing w:after="0" w:line="252" w:lineRule="auto"/>
            </w:pPr>
            <w:r>
              <w:rPr>
                <w:sz w:val="17"/>
              </w:rPr>
              <w:t>manuell MD001 → MD052 → RM100; Touch LM007</w:t>
            </w:r>
          </w:p>
        </w:tc>
      </w:tr>
      <w:tr>
        <w:tc>
          <w:tcPr>
            <w:tcW w:type="dxa" w:w="3718"/>
          </w:tcPr>
          <w:p>
            <w:pPr>
              <w:spacing w:after="0" w:line="252" w:lineRule="auto"/>
            </w:pPr>
            <w:r>
              <w:rPr>
                <w:sz w:val="17"/>
              </w:rPr>
              <w:t>Lagerplatzetikett (</w:t>
            </w:r>
            <w:r>
              <w:rPr>
                <w:rFonts w:ascii="Consolas" w:hAnsi="Consolas" w:cs="Consolas" w:eastAsia="Consolas"/>
                <w:sz w:val="15"/>
              </w:rPr>
              <w:t>STORAGE_LOCATION_LABEL</w:t>
            </w:r>
            <w:r>
              <w:rPr>
                <w:sz w:val="17"/>
              </w:rPr>
              <w:t>)</w:t>
            </w:r>
          </w:p>
        </w:tc>
        <w:tc>
          <w:tcPr>
            <w:tcW w:type="dxa" w:w="1892"/>
          </w:tcPr>
          <w:p>
            <w:pPr>
              <w:spacing w:after="0" w:line="252" w:lineRule="auto"/>
            </w:pPr>
            <w:r>
              <w:rPr>
                <w:sz w:val="17"/>
              </w:rPr>
              <w:t>Storage location label</w:t>
            </w:r>
          </w:p>
        </w:tc>
        <w:tc>
          <w:tcPr>
            <w:tcW w:type="dxa" w:w="3914"/>
          </w:tcPr>
          <w:p>
            <w:pPr>
              <w:spacing w:after="0" w:line="252" w:lineRule="auto"/>
            </w:pPr>
            <w:r>
              <w:rPr>
                <w:sz w:val="17"/>
              </w:rPr>
              <w:t>manuell WH004; Touch LM044</w:t>
            </w:r>
          </w:p>
        </w:tc>
      </w:tr>
      <w:tr>
        <w:tc>
          <w:tcPr>
            <w:tcW w:type="dxa" w:w="3718"/>
          </w:tcPr>
          <w:p>
            <w:pPr>
              <w:spacing w:after="0" w:line="252" w:lineRule="auto"/>
            </w:pPr>
            <w:r>
              <w:rPr>
                <w:sz w:val="17"/>
              </w:rPr>
              <w:t>LE-Etikett (</w:t>
            </w:r>
            <w:r>
              <w:rPr>
                <w:rFonts w:ascii="Consolas" w:hAnsi="Consolas" w:cs="Consolas" w:eastAsia="Consolas"/>
                <w:sz w:val="15"/>
              </w:rPr>
              <w:t>LOGIMAT_LULABEL</w:t>
            </w:r>
            <w:r>
              <w:rPr>
                <w:sz w:val="17"/>
              </w:rPr>
              <w:t xml:space="preserve">, </w:t>
            </w:r>
            <w:r>
              <w:rPr>
                <w:rFonts w:ascii="Consolas" w:hAnsi="Consolas" w:cs="Consolas" w:eastAsia="Consolas"/>
                <w:sz w:val="15"/>
              </w:rPr>
              <w:t>LU_LABEL</w:t>
            </w:r>
            <w:r>
              <w:rPr>
                <w:sz w:val="17"/>
              </w:rPr>
              <w:t>)</w:t>
            </w:r>
          </w:p>
        </w:tc>
        <w:tc>
          <w:tcPr>
            <w:tcW w:type="dxa" w:w="1892"/>
          </w:tcPr>
          <w:p>
            <w:pPr>
              <w:spacing w:after="0" w:line="252" w:lineRule="auto"/>
            </w:pPr>
            <w:r>
              <w:rPr>
                <w:sz w:val="17"/>
              </w:rPr>
              <w:t>LogiMat LU label</w:t>
            </w:r>
          </w:p>
        </w:tc>
        <w:tc>
          <w:tcPr>
            <w:tcW w:type="dxa" w:w="3914"/>
          </w:tcPr>
          <w:p>
            <w:pPr>
              <w:spacing w:after="0" w:line="252" w:lineRule="auto"/>
            </w:pPr>
            <w:r>
              <w:rPr>
                <w:sz w:val="17"/>
              </w:rPr>
              <w:t>SM023; Touch LM045/LM108</w:t>
            </w:r>
          </w:p>
        </w:tc>
      </w:tr>
      <w:tr>
        <w:tc>
          <w:tcPr>
            <w:tcW w:type="dxa" w:w="3718"/>
          </w:tcPr>
          <w:p>
            <w:pPr>
              <w:spacing w:after="0" w:line="252" w:lineRule="auto"/>
            </w:pPr>
            <w:r>
              <w:rPr>
                <w:sz w:val="17"/>
              </w:rPr>
              <w:t>Generisches Etikett (</w:t>
            </w:r>
            <w:r>
              <w:rPr>
                <w:rFonts w:ascii="Consolas" w:hAnsi="Consolas" w:cs="Consolas" w:eastAsia="Consolas"/>
                <w:sz w:val="15"/>
              </w:rPr>
              <w:t>GENERIC_LABEL</w:t>
            </w:r>
            <w:r>
              <w:rPr>
                <w:sz w:val="17"/>
              </w:rPr>
              <w:t>)</w:t>
            </w:r>
          </w:p>
        </w:tc>
        <w:tc>
          <w:tcPr>
            <w:tcW w:type="dxa" w:w="1892"/>
          </w:tcPr>
          <w:p>
            <w:pPr>
              <w:spacing w:after="0" w:line="252" w:lineRule="auto"/>
            </w:pPr>
            <w:r>
              <w:rPr>
                <w:sz w:val="17"/>
              </w:rPr>
              <w:t>LogiMat generic label</w:t>
            </w:r>
          </w:p>
        </w:tc>
        <w:tc>
          <w:tcPr>
            <w:tcW w:type="dxa" w:w="3914"/>
          </w:tcPr>
          <w:p>
            <w:pPr>
              <w:spacing w:after="0" w:line="252" w:lineRule="auto"/>
            </w:pPr>
            <w:r>
              <w:rPr>
                <w:b/>
                <w:sz w:val="17"/>
              </w:rPr>
              <w:t>RM500</w:t>
            </w:r>
          </w:p>
        </w:tc>
      </w:tr>
    </w:tbl>
    <w:p>
      <w:pPr>
        <w:pStyle w:val="BeschriftungSSI"/>
      </w:pPr>
      <w:r>
        <w:t>Tab. 3: Druckdokumente und Auslöser</w:t>
      </w:r>
    </w:p>
    <w:p>
      <w:pPr>
        <w:keepNext/>
      </w:pPr>
      <w:r>
        <w:drawing>
          <wp:inline xmlns:a="http://schemas.openxmlformats.org/drawingml/2006/main" xmlns:pic="http://schemas.openxmlformats.org/drawingml/2006/picture">
            <wp:extent cx="5580000" cy="837000"/>
            <wp:docPr id="104" name="Picture 104"/>
            <wp:cNvGraphicFramePr>
              <a:graphicFrameLocks noChangeAspect="1"/>
            </wp:cNvGraphicFramePr>
            <a:graphic>
              <a:graphicData uri="http://schemas.openxmlformats.org/drawingml/2006/picture">
                <pic:pic>
                  <pic:nvPicPr>
                    <pic:cNvPr id="0" name="d2_md017_bedarfstyp.png"/>
                    <pic:cNvPicPr/>
                  </pic:nvPicPr>
                  <pic:blipFill>
                    <a:blip r:embed="rId14"/>
                    <a:stretch>
                      <a:fillRect/>
                    </a:stretch>
                  </pic:blipFill>
                  <pic:spPr>
                    <a:xfrm>
                      <a:off x="0" y="0"/>
                      <a:ext cx="5580000" cy="837000"/>
                    </a:xfrm>
                    <a:prstGeom prst="rect"/>
                  </pic:spPr>
                </pic:pic>
              </a:graphicData>
            </a:graphic>
          </wp:inline>
        </w:drawing>
      </w:r>
    </w:p>
    <w:p>
      <w:pPr>
        <w:pStyle w:val="BeschriftungSSI"/>
      </w:pPr>
      <w:r>
        <w:t>Abb. 1: MD017 Klient pflegen › Reiter Kommissionierbedarfstyp – Spalten Kommissionierlieferschein, Optionen für Druck, Packliste drucken (Stand 17:23)</w:t>
      </w:r>
    </w:p>
    <w:p>
      <w:pPr>
        <w:pStyle w:val="Quelle"/>
      </w:pPr>
      <w:r>
        <w:rPr>
          <w:b/>
        </w:rPr>
        <w:t xml:space="preserve">Quelle: </w:t>
      </w:r>
      <w:r>
        <w:rPr>
          <w:sz w:val="17"/>
        </w:rPr>
        <w:t>DR Kap. 3.1, 4.1; TL 15:10–15:30, 15:45–15:54; Screenshot 17.10. 17:23</w:t>
      </w:r>
    </w:p>
    <w:p>
      <w:pPr>
        <w:pStyle w:val="Heading2"/>
      </w:pPr>
      <w:r>
        <w:t>2.3 Stand auf srv01 (18.10. 00:14)</w:t>
      </w:r>
    </w:p>
    <w:p>
      <w:pPr>
        <w:pStyle w:val="ListBullet"/>
      </w:pPr>
      <w:r>
        <w:t xml:space="preserve">Drucker: nur </w:t>
      </w:r>
      <w:r>
        <w:rPr>
          <w:b/>
        </w:rPr>
        <w:t>TEST_WD_ZD410</w:t>
      </w:r>
      <w:r>
        <w:t xml:space="preserve"> (Typ </w:t>
      </w:r>
      <w:r>
        <w:rPr>
          <w:rFonts w:ascii="Consolas" w:hAnsi="Consolas" w:cs="Consolas" w:eastAsia="Consolas"/>
          <w:sz w:val="18"/>
        </w:rPr>
        <w:t>ZPL_300</w:t>
      </w:r>
      <w:r>
        <w:t xml:space="preserve">, nur ZPL II). Ein Drucker für PDF (Typ </w:t>
      </w:r>
      <w:r>
        <w:rPr>
          <w:rFonts w:ascii="Consolas" w:hAnsi="Consolas" w:cs="Consolas" w:eastAsia="Consolas"/>
          <w:sz w:val="18"/>
        </w:rPr>
        <w:t>Laser</w:t>
      </w:r>
      <w:r>
        <w:t xml:space="preserve">) ist </w:t>
      </w:r>
      <w:r>
        <w:rPr>
          <w:b/>
        </w:rPr>
        <w:t>nicht</w:t>
      </w:r>
      <w:r>
        <w:t xml:space="preserve"> angelegt. PDF-Belege können deshalb nicht auf Papier gedruckt werden, nur als PDF abgelegt werden (Kap. 4).</w:t>
      </w:r>
    </w:p>
    <w:p>
      <w:pPr>
        <w:pStyle w:val="ListBullet"/>
      </w:pPr>
      <w:r>
        <w:t xml:space="preserve">RM005: Die LogiMat-Belege haben je einen </w:t>
      </w:r>
      <w:r>
        <w:rPr>
          <w:b/>
        </w:rPr>
        <w:t>Druck-Kanal</w:t>
      </w:r>
      <w:r>
        <w:t xml:space="preserve"> (1 Kopie) und die Sprachen </w:t>
      </w:r>
      <w:r>
        <w:rPr>
          <w:rFonts w:ascii="Consolas" w:hAnsi="Consolas" w:cs="Consolas" w:eastAsia="Consolas"/>
          <w:sz w:val="18"/>
        </w:rPr>
        <w:t>eng-US</w:t>
      </w:r>
      <w:r>
        <w:t xml:space="preserve"> und </w:t>
      </w:r>
      <w:r>
        <w:rPr>
          <w:rFonts w:ascii="Consolas" w:hAnsi="Consolas" w:cs="Consolas" w:eastAsia="Consolas"/>
          <w:sz w:val="18"/>
        </w:rPr>
        <w:t>ger</w:t>
      </w:r>
      <w:r>
        <w:t xml:space="preserve">. Artikel- und Lagerplatzetikett (HTML/PDF) haben </w:t>
      </w:r>
      <w:r>
        <w:rPr>
          <w:b/>
        </w:rPr>
        <w:t>nur einen E-Mail-Kanal</w:t>
      </w:r>
      <w:r>
        <w:t xml:space="preserve"> (SMTP </w:t>
      </w:r>
      <w:r>
        <w:rPr>
          <w:rFonts w:ascii="Consolas" w:hAnsi="Consolas" w:cs="Consolas" w:eastAsia="Consolas"/>
          <w:sz w:val="18"/>
        </w:rPr>
        <w:t>servex02.wamas.com</w:t>
      </w:r>
      <w:r>
        <w:t>).</w:t>
      </w:r>
    </w:p>
    <w:p>
      <w:pPr>
        <w:pStyle w:val="ListBullet"/>
      </w:pPr>
      <w:r>
        <w:t>RM010: Die Standardzuordnung des Kommissionierlieferscheins (Zeile 44) ist seit 16:48 deaktiviert, beim Artikeletikett sind die Zeilen 4/8 getauscht (Kap. 3, Anhang A).</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E-Mail-Kanal</w:t>
            </w:r>
          </w:p>
          <w:p>
            <w:pPr>
              <w:spacing w:after="40"/>
            </w:pPr>
            <w:r>
              <w:rPr>
                <w:sz w:val="19"/>
              </w:rPr>
              <w:t xml:space="preserve">Beim manuellen Erzeugen in RM100 den </w:t>
            </w:r>
            <w:r>
              <w:rPr>
                <w:b/>
                <w:sz w:val="19"/>
              </w:rPr>
              <w:t>E-Mail-Kanal</w:t>
            </w:r>
            <w:r>
              <w:rPr>
                <w:sz w:val="19"/>
              </w:rPr>
              <w:t xml:space="preserve"> immer abwählen. Die Mail-Kanäle zeigen auf SSI-Testadressen.</w:t>
            </w:r>
          </w:p>
        </w:tc>
      </w:tr>
    </w:tbl>
    <w:p>
      <w:pPr>
        <w:spacing w:after="40"/>
      </w:pPr>
    </w:p>
    <w:p>
      <w:pPr>
        <w:pStyle w:val="Quelle"/>
      </w:pPr>
      <w:r>
        <w:rPr>
          <w:b/>
        </w:rPr>
        <w:t xml:space="preserve">Quelle: </w:t>
      </w:r>
      <w:r>
        <w:rPr>
          <w:sz w:val="17"/>
        </w:rPr>
        <w:t>TL 15:10–15:30, 22:25–23:57; PP; ZI Kap. 2</w:t>
      </w:r>
    </w:p>
    <w:p>
      <w:pPr>
        <w:pStyle w:val="Heading1"/>
      </w:pPr>
      <w:r>
        <w:t>3 RM010 und RM100: welche Konfiguration gilt</w:t>
      </w:r>
    </w:p>
    <w:p>
      <w:pPr>
        <w:pStyle w:val="Heading2"/>
      </w:pPr>
      <w:r>
        <w:t>3.1 Die Regel</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Manueller Druck: erste kriterienlose Zeile, „Aktiviert“ zählt nicht</w:t>
            </w:r>
          </w:p>
          <w:p>
            <w:pPr>
              <w:spacing w:after="40"/>
            </w:pPr>
            <w:r>
              <w:rPr>
                <w:sz w:val="19"/>
              </w:rPr>
              <w:t xml:space="preserve">RM100 (manueller Druck aus MD001, LM071, LM080) nimmt für einen Dokumenttyp die </w:t>
            </w:r>
            <w:r>
              <w:rPr>
                <w:b/>
                <w:sz w:val="19"/>
              </w:rPr>
              <w:t>erste Zuordnung ohne Kriterien</w:t>
            </w:r>
            <w:r>
              <w:rPr>
                <w:sz w:val="19"/>
              </w:rPr>
              <w:t xml:space="preserve"> (alle Felder </w:t>
            </w:r>
            <w:r>
              <w:rPr>
                <w:rFonts w:ascii="Consolas" w:hAnsi="Consolas" w:cs="Consolas" w:eastAsia="Consolas"/>
                <w:sz w:val="17"/>
              </w:rPr>
              <w:t>*</w:t>
            </w:r>
            <w:r>
              <w:rPr>
                <w:sz w:val="19"/>
              </w:rPr>
              <w:t xml:space="preserve">) </w:t>
            </w:r>
            <w:r>
              <w:rPr>
                <w:b/>
                <w:sz w:val="19"/>
              </w:rPr>
              <w:t>nach ID</w:t>
            </w:r>
            <w:r>
              <w:rPr>
                <w:sz w:val="19"/>
              </w:rPr>
              <w:t xml:space="preserve">. Das Häkchen </w:t>
            </w:r>
            <w:r>
              <w:rPr>
                <w:b/>
                <w:sz w:val="19"/>
              </w:rPr>
              <w:t>Aktiviert</w:t>
            </w:r>
            <w:r>
              <w:rPr>
                <w:sz w:val="19"/>
              </w:rPr>
              <w:t xml:space="preserve"> wird dabei </w:t>
            </w:r>
            <w:r>
              <w:rPr>
                <w:b/>
                <w:sz w:val="19"/>
              </w:rPr>
              <w:t>ignoriert</w:t>
            </w:r>
            <w:r>
              <w:rPr>
                <w:sz w:val="19"/>
              </w:rPr>
              <w:t xml:space="preserve">. Zuordnungen mit Kriterien (Klient, Lagerstandort) wirken in RM100 nicht. Das Feld </w:t>
            </w:r>
            <w:r>
              <w:rPr>
                <w:b/>
                <w:sz w:val="19"/>
              </w:rPr>
              <w:t>Konfiguration</w:t>
            </w:r>
            <w:r>
              <w:rPr>
                <w:sz w:val="19"/>
              </w:rPr>
              <w:t xml:space="preserve"> ist in RM100 grau und nicht änderbar.</w:t>
            </w:r>
          </w:p>
          <w:p>
            <w:pPr>
              <w:spacing w:after="40"/>
            </w:pPr>
            <w:r>
              <w:rPr>
                <w:sz w:val="19"/>
              </w:rPr>
              <w:t xml:space="preserve">Der </w:t>
            </w:r>
            <w:r>
              <w:rPr>
                <w:b/>
                <w:sz w:val="19"/>
              </w:rPr>
              <w:t>Nachdruck aus RM018</w:t>
            </w:r>
            <w:r>
              <w:rPr>
                <w:sz w:val="19"/>
              </w:rPr>
              <w:t xml:space="preserve"> beachtet </w:t>
            </w:r>
            <w:r>
              <w:rPr>
                <w:b/>
                <w:sz w:val="19"/>
              </w:rPr>
              <w:t>Aktiviert</w:t>
            </w:r>
            <w:r>
              <w:rPr>
                <w:sz w:val="19"/>
              </w:rPr>
              <w:t xml:space="preserve"> dagegen: Ist keine passende Zeile aktiviert, meldet er „keine geeignete Dokumenttypkonfiguration“.</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38"/>
        <w:gridCol w:w="4572"/>
        <w:gridCol w:w="4115"/>
      </w:tblGrid>
      <w:tr>
        <w:trPr>
          <w:tblHeader w:val="true"/>
        </w:trPr>
        <w:tc>
          <w:tcPr>
            <w:tcW w:type="dxa" w:w="838"/>
            <w:shd w:val="clear" w:color="auto" w:fill="FEEE19"/>
          </w:tcPr>
          <w:p>
            <w:pPr>
              <w:spacing w:after="0"/>
            </w:pPr>
            <w:r>
              <w:rPr>
                <w:b/>
                <w:sz w:val="17"/>
              </w:rPr>
              <w:t>Zeit</w:t>
            </w:r>
          </w:p>
        </w:tc>
        <w:tc>
          <w:tcPr>
            <w:tcW w:type="dxa" w:w="4572"/>
            <w:shd w:val="clear" w:color="auto" w:fill="FEEE19"/>
          </w:tcPr>
          <w:p>
            <w:pPr>
              <w:spacing w:after="0"/>
            </w:pPr>
            <w:r>
              <w:rPr>
                <w:b/>
                <w:sz w:val="17"/>
              </w:rPr>
              <w:t>Versuch</w:t>
            </w:r>
          </w:p>
        </w:tc>
        <w:tc>
          <w:tcPr>
            <w:tcW w:type="dxa" w:w="4115"/>
            <w:shd w:val="clear" w:color="auto" w:fill="FEEE19"/>
          </w:tcPr>
          <w:p>
            <w:pPr>
              <w:spacing w:after="0"/>
            </w:pPr>
            <w:r>
              <w:rPr>
                <w:b/>
                <w:sz w:val="17"/>
              </w:rPr>
              <w:t>Ergebnis in RM100</w:t>
            </w:r>
          </w:p>
        </w:tc>
      </w:tr>
      <w:tr>
        <w:tc>
          <w:tcPr>
            <w:tcW w:type="dxa" w:w="838"/>
          </w:tcPr>
          <w:p>
            <w:pPr>
              <w:spacing w:after="0" w:line="252" w:lineRule="auto"/>
            </w:pPr>
            <w:r>
              <w:rPr>
                <w:sz w:val="17"/>
              </w:rPr>
              <w:t>16:36–16:40</w:t>
            </w:r>
          </w:p>
        </w:tc>
        <w:tc>
          <w:tcPr>
            <w:tcW w:type="dxa" w:w="4572"/>
          </w:tcPr>
          <w:p>
            <w:pPr>
              <w:spacing w:after="0" w:line="252" w:lineRule="auto"/>
            </w:pPr>
            <w:r>
              <w:rPr>
                <w:sz w:val="17"/>
              </w:rPr>
              <w:t xml:space="preserve">Eigene Konfiguration nur </w:t>
            </w:r>
            <w:r>
              <w:rPr>
                <w:rFonts w:ascii="Consolas" w:hAnsi="Consolas" w:cs="Consolas" w:eastAsia="Consolas"/>
                <w:sz w:val="15"/>
              </w:rPr>
              <w:t>ger</w:t>
            </w:r>
            <w:r>
              <w:rPr>
                <w:sz w:val="17"/>
              </w:rPr>
              <w:t xml:space="preserve"> + neue Zuordnung (alle </w:t>
            </w:r>
            <w:r>
              <w:rPr>
                <w:rFonts w:ascii="Consolas" w:hAnsi="Consolas" w:cs="Consolas" w:eastAsia="Consolas"/>
                <w:sz w:val="15"/>
              </w:rPr>
              <w:t>*</w:t>
            </w:r>
            <w:r>
              <w:rPr>
                <w:sz w:val="17"/>
              </w:rPr>
              <w:t>, nach der Standardzeile)</w:t>
            </w:r>
          </w:p>
        </w:tc>
        <w:tc>
          <w:tcPr>
            <w:tcW w:type="dxa" w:w="4115"/>
          </w:tcPr>
          <w:p>
            <w:pPr>
              <w:spacing w:after="0" w:line="252" w:lineRule="auto"/>
            </w:pPr>
            <w:r>
              <w:rPr>
                <w:sz w:val="17"/>
              </w:rPr>
              <w:t>Standard „LogiMat picking delivery note“, eng-US + ger</w:t>
            </w:r>
          </w:p>
        </w:tc>
      </w:tr>
      <w:tr>
        <w:tc>
          <w:tcPr>
            <w:tcW w:type="dxa" w:w="838"/>
          </w:tcPr>
          <w:p>
            <w:pPr>
              <w:spacing w:after="0" w:line="252" w:lineRule="auto"/>
            </w:pPr>
            <w:r>
              <w:rPr>
                <w:sz w:val="17"/>
              </w:rPr>
              <w:t>16:46</w:t>
            </w:r>
          </w:p>
        </w:tc>
        <w:tc>
          <w:tcPr>
            <w:tcW w:type="dxa" w:w="4572"/>
          </w:tcPr>
          <w:p>
            <w:pPr>
              <w:spacing w:after="0" w:line="252" w:lineRule="auto"/>
            </w:pPr>
            <w:r>
              <w:rPr>
                <w:sz w:val="17"/>
              </w:rPr>
              <w:t xml:space="preserve">Eigene Zuordnung mit Klient </w:t>
            </w:r>
            <w:r>
              <w:rPr>
                <w:rFonts w:ascii="Consolas" w:hAnsi="Consolas" w:cs="Consolas" w:eastAsia="Consolas"/>
                <w:sz w:val="15"/>
              </w:rPr>
              <w:t>DEFAULT</w:t>
            </w:r>
            <w:r>
              <w:rPr>
                <w:sz w:val="17"/>
              </w:rPr>
              <w:t xml:space="preserve">, Lagerstandort </w:t>
            </w:r>
            <w:r>
              <w:rPr>
                <w:rFonts w:ascii="Consolas" w:hAnsi="Consolas" w:cs="Consolas" w:eastAsia="Consolas"/>
                <w:sz w:val="15"/>
              </w:rPr>
              <w:t>LogiMat</w:t>
            </w:r>
          </w:p>
        </w:tc>
        <w:tc>
          <w:tcPr>
            <w:tcW w:type="dxa" w:w="4115"/>
          </w:tcPr>
          <w:p>
            <w:pPr>
              <w:spacing w:after="0" w:line="252" w:lineRule="auto"/>
            </w:pPr>
            <w:r>
              <w:rPr>
                <w:sz w:val="17"/>
              </w:rPr>
              <w:t>Standard</w:t>
            </w:r>
          </w:p>
        </w:tc>
      </w:tr>
      <w:tr>
        <w:tc>
          <w:tcPr>
            <w:tcW w:type="dxa" w:w="838"/>
          </w:tcPr>
          <w:p>
            <w:pPr>
              <w:spacing w:after="0" w:line="252" w:lineRule="auto"/>
            </w:pPr>
            <w:r>
              <w:rPr>
                <w:sz w:val="17"/>
              </w:rPr>
              <w:t>16:48–16:57</w:t>
            </w:r>
          </w:p>
        </w:tc>
        <w:tc>
          <w:tcPr>
            <w:tcW w:type="dxa" w:w="4572"/>
          </w:tcPr>
          <w:p>
            <w:pPr>
              <w:spacing w:after="0" w:line="252" w:lineRule="auto"/>
            </w:pPr>
            <w:r>
              <w:rPr>
                <w:sz w:val="17"/>
              </w:rPr>
              <w:t xml:space="preserve">Standardzeile 44 (assignId 80) </w:t>
            </w:r>
            <w:r>
              <w:rPr>
                <w:b/>
                <w:sz w:val="17"/>
              </w:rPr>
              <w:t>Aktiviert = nein</w:t>
            </w:r>
            <w:r>
              <w:rPr>
                <w:sz w:val="17"/>
              </w:rPr>
              <w:t>, neue Anmeldung</w:t>
            </w:r>
          </w:p>
        </w:tc>
        <w:tc>
          <w:tcPr>
            <w:tcW w:type="dxa" w:w="4115"/>
          </w:tcPr>
          <w:p>
            <w:pPr>
              <w:spacing w:after="0" w:line="252" w:lineRule="auto"/>
            </w:pPr>
            <w:r>
              <w:rPr>
                <w:sz w:val="17"/>
              </w:rPr>
              <w:t>weiterhin Standard</w:t>
            </w:r>
          </w:p>
        </w:tc>
      </w:tr>
      <w:tr>
        <w:tc>
          <w:tcPr>
            <w:tcW w:type="dxa" w:w="838"/>
          </w:tcPr>
          <w:p>
            <w:pPr>
              <w:spacing w:after="0" w:line="252" w:lineRule="auto"/>
            </w:pPr>
            <w:r>
              <w:rPr>
                <w:sz w:val="17"/>
              </w:rPr>
              <w:t>22:43</w:t>
            </w:r>
          </w:p>
        </w:tc>
        <w:tc>
          <w:tcPr>
            <w:tcW w:type="dxa" w:w="4572"/>
          </w:tcPr>
          <w:p>
            <w:pPr>
              <w:spacing w:after="0" w:line="252" w:lineRule="auto"/>
            </w:pPr>
            <w:r>
              <w:rPr>
                <w:sz w:val="17"/>
              </w:rPr>
              <w:t>Artikeletikett: neue Zeile 55 (LogiMat/DEFAULT, ZPL)</w:t>
            </w:r>
          </w:p>
        </w:tc>
        <w:tc>
          <w:tcPr>
            <w:tcW w:type="dxa" w:w="4115"/>
          </w:tcPr>
          <w:p>
            <w:pPr>
              <w:spacing w:after="0" w:line="252" w:lineRule="auto"/>
            </w:pPr>
            <w:r>
              <w:rPr>
                <w:sz w:val="17"/>
              </w:rPr>
              <w:t xml:space="preserve">weiterhin </w:t>
            </w:r>
            <w:r>
              <w:rPr>
                <w:rFonts w:ascii="Consolas" w:hAnsi="Consolas" w:cs="Consolas" w:eastAsia="Consolas"/>
                <w:sz w:val="15"/>
              </w:rPr>
              <w:t>Item label</w:t>
            </w:r>
            <w:r>
              <w:rPr>
                <w:sz w:val="17"/>
              </w:rPr>
              <w:t xml:space="preserve"> (PDF)</w:t>
            </w:r>
          </w:p>
        </w:tc>
      </w:tr>
      <w:tr>
        <w:tc>
          <w:tcPr>
            <w:tcW w:type="dxa" w:w="838"/>
          </w:tcPr>
          <w:p>
            <w:pPr>
              <w:spacing w:after="0" w:line="252" w:lineRule="auto"/>
            </w:pPr>
            <w:r>
              <w:rPr>
                <w:sz w:val="17"/>
              </w:rPr>
              <w:t>23:20</w:t>
            </w:r>
          </w:p>
        </w:tc>
        <w:tc>
          <w:tcPr>
            <w:tcW w:type="dxa" w:w="4572"/>
          </w:tcPr>
          <w:p>
            <w:pPr>
              <w:spacing w:after="0" w:line="252" w:lineRule="auto"/>
            </w:pPr>
            <w:r>
              <w:rPr>
                <w:sz w:val="17"/>
              </w:rPr>
              <w:t xml:space="preserve">Zeile 4 </w:t>
            </w:r>
            <w:r>
              <w:rPr>
                <w:rFonts w:ascii="Consolas" w:hAnsi="Consolas" w:cs="Consolas" w:eastAsia="Consolas"/>
                <w:sz w:val="15"/>
              </w:rPr>
              <w:t>Item label</w:t>
            </w:r>
            <w:r>
              <w:rPr>
                <w:sz w:val="17"/>
              </w:rPr>
              <w:t xml:space="preserve"> </w:t>
            </w:r>
            <w:r>
              <w:rPr>
                <w:b/>
                <w:sz w:val="17"/>
              </w:rPr>
              <w:t>Aktiviert = nein</w:t>
            </w:r>
          </w:p>
        </w:tc>
        <w:tc>
          <w:tcPr>
            <w:tcW w:type="dxa" w:w="4115"/>
          </w:tcPr>
          <w:p>
            <w:pPr>
              <w:spacing w:after="0" w:line="252" w:lineRule="auto"/>
            </w:pPr>
            <w:r>
              <w:rPr>
                <w:sz w:val="17"/>
              </w:rPr>
              <w:t xml:space="preserve">weiterhin </w:t>
            </w:r>
            <w:r>
              <w:rPr>
                <w:rFonts w:ascii="Consolas" w:hAnsi="Consolas" w:cs="Consolas" w:eastAsia="Consolas"/>
                <w:sz w:val="15"/>
              </w:rPr>
              <w:t>Item label</w:t>
            </w:r>
          </w:p>
        </w:tc>
      </w:tr>
      <w:tr>
        <w:tc>
          <w:tcPr>
            <w:tcW w:type="dxa" w:w="838"/>
          </w:tcPr>
          <w:p>
            <w:pPr>
              <w:spacing w:after="0" w:line="252" w:lineRule="auto"/>
            </w:pPr>
            <w:r>
              <w:rPr>
                <w:sz w:val="17"/>
              </w:rPr>
              <w:t>23:36</w:t>
            </w:r>
          </w:p>
        </w:tc>
        <w:tc>
          <w:tcPr>
            <w:tcW w:type="dxa" w:w="4572"/>
          </w:tcPr>
          <w:p>
            <w:pPr>
              <w:spacing w:after="0" w:line="252" w:lineRule="auto"/>
            </w:pPr>
            <w:r>
              <w:rPr>
                <w:sz w:val="17"/>
              </w:rPr>
              <w:t xml:space="preserve">Zeile 8 (ZPL, alle </w:t>
            </w:r>
            <w:r>
              <w:rPr>
                <w:rFonts w:ascii="Consolas" w:hAnsi="Consolas" w:cs="Consolas" w:eastAsia="Consolas"/>
                <w:sz w:val="15"/>
              </w:rPr>
              <w:t>*</w:t>
            </w:r>
            <w:r>
              <w:rPr>
                <w:sz w:val="17"/>
              </w:rPr>
              <w:t xml:space="preserve">) </w:t>
            </w:r>
            <w:r>
              <w:rPr>
                <w:b/>
                <w:sz w:val="17"/>
              </w:rPr>
              <w:t>Aktiviert = ja</w:t>
            </w:r>
          </w:p>
        </w:tc>
        <w:tc>
          <w:tcPr>
            <w:tcW w:type="dxa" w:w="4115"/>
          </w:tcPr>
          <w:p>
            <w:pPr>
              <w:spacing w:after="0" w:line="252" w:lineRule="auto"/>
            </w:pPr>
            <w:r>
              <w:rPr>
                <w:sz w:val="17"/>
              </w:rPr>
              <w:t xml:space="preserve">weiterhin </w:t>
            </w:r>
            <w:r>
              <w:rPr>
                <w:rFonts w:ascii="Consolas" w:hAnsi="Consolas" w:cs="Consolas" w:eastAsia="Consolas"/>
                <w:sz w:val="15"/>
              </w:rPr>
              <w:t>Item label</w:t>
            </w:r>
            <w:r>
              <w:rPr>
                <w:sz w:val="17"/>
              </w:rPr>
              <w:t xml:space="preserve"> (Zeile 4)</w:t>
            </w:r>
          </w:p>
        </w:tc>
      </w:tr>
      <w:tr>
        <w:tc>
          <w:tcPr>
            <w:tcW w:type="dxa" w:w="838"/>
          </w:tcPr>
          <w:p>
            <w:pPr>
              <w:spacing w:after="0" w:line="252" w:lineRule="auto"/>
            </w:pPr>
            <w:r>
              <w:rPr>
                <w:sz w:val="17"/>
              </w:rPr>
              <w:t>23:42</w:t>
            </w:r>
          </w:p>
        </w:tc>
        <w:tc>
          <w:tcPr>
            <w:tcW w:type="dxa" w:w="4572"/>
          </w:tcPr>
          <w:p>
            <w:pPr>
              <w:spacing w:after="0" w:line="252" w:lineRule="auto"/>
            </w:pPr>
            <w:r>
              <w:rPr>
                <w:sz w:val="17"/>
              </w:rPr>
              <w:t xml:space="preserve">Zeilen 4 und 8 </w:t>
            </w:r>
            <w:r>
              <w:rPr>
                <w:b/>
                <w:sz w:val="17"/>
              </w:rPr>
              <w:t>getauscht</w:t>
            </w:r>
            <w:r>
              <w:rPr>
                <w:sz w:val="17"/>
              </w:rPr>
              <w:t xml:space="preserve"> (Zeile 4 = ZPL)</w:t>
            </w:r>
          </w:p>
        </w:tc>
        <w:tc>
          <w:tcPr>
            <w:tcW w:type="dxa" w:w="4115"/>
          </w:tcPr>
          <w:p>
            <w:pPr>
              <w:spacing w:after="0" w:line="252" w:lineRule="auto"/>
            </w:pPr>
            <w:r>
              <w:rPr>
                <w:rFonts w:ascii="Consolas" w:hAnsi="Consolas" w:cs="Consolas" w:eastAsia="Consolas"/>
                <w:sz w:val="15"/>
              </w:rPr>
              <w:t>Item label, ZPL 300, small</w:t>
            </w:r>
          </w:p>
        </w:tc>
      </w:tr>
    </w:tbl>
    <w:p>
      <w:pPr>
        <w:pStyle w:val="BeschriftungSSI"/>
      </w:pPr>
      <w:r>
        <w:t>Tab. 4: Belege für die Regel (Kommissionierlieferschein und Artikeletikett)</w:t>
      </w:r>
    </w:p>
    <w:p>
      <w:pPr>
        <w:keepNext/>
      </w:pPr>
      <w:r>
        <w:drawing>
          <wp:inline xmlns:a="http://schemas.openxmlformats.org/drawingml/2006/main" xmlns:pic="http://schemas.openxmlformats.org/drawingml/2006/picture">
            <wp:extent cx="5400000" cy="2708437"/>
            <wp:docPr id="105" name="Picture 105"/>
            <wp:cNvGraphicFramePr>
              <a:graphicFrameLocks noChangeAspect="1"/>
            </wp:cNvGraphicFramePr>
            <a:graphic>
              <a:graphicData uri="http://schemas.openxmlformats.org/drawingml/2006/picture">
                <pic:pic>
                  <pic:nvPicPr>
                    <pic:cNvPr id="0" name="d2_rm010_oben.png"/>
                    <pic:cNvPicPr/>
                  </pic:nvPicPr>
                  <pic:blipFill>
                    <a:blip r:embed="rId15"/>
                    <a:stretch>
                      <a:fillRect/>
                    </a:stretch>
                  </pic:blipFill>
                  <pic:spPr>
                    <a:xfrm>
                      <a:off x="0" y="0"/>
                      <a:ext cx="5400000" cy="2708437"/>
                    </a:xfrm>
                    <a:prstGeom prst="rect"/>
                  </pic:spPr>
                </pic:pic>
              </a:graphicData>
            </a:graphic>
          </wp:inline>
        </w:drawing>
      </w:r>
    </w:p>
    <w:p>
      <w:pPr>
        <w:pStyle w:val="BeschriftungSSI"/>
      </w:pPr>
      <w:r>
        <w:t>Abb. 2: RM010 oben – Zeilen 4 bis 8 Item label, Zeile 4 ist die erste kriterienlose Zeile (Stand 23:04)</w:t>
      </w:r>
    </w:p>
    <w:p>
      <w:pPr>
        <w:keepNext/>
      </w:pPr>
      <w:r>
        <w:drawing>
          <wp:inline xmlns:a="http://schemas.openxmlformats.org/drawingml/2006/main" xmlns:pic="http://schemas.openxmlformats.org/drawingml/2006/picture">
            <wp:extent cx="5400000" cy="2708437"/>
            <wp:docPr id="106" name="Picture 106"/>
            <wp:cNvGraphicFramePr>
              <a:graphicFrameLocks noChangeAspect="1"/>
            </wp:cNvGraphicFramePr>
            <a:graphic>
              <a:graphicData uri="http://schemas.openxmlformats.org/drawingml/2006/picture">
                <pic:pic>
                  <pic:nvPicPr>
                    <pic:cNvPr id="0" name="d2_rm010_unten.png"/>
                    <pic:cNvPicPr/>
                  </pic:nvPicPr>
                  <pic:blipFill>
                    <a:blip r:embed="rId16"/>
                    <a:stretch>
                      <a:fillRect/>
                    </a:stretch>
                  </pic:blipFill>
                  <pic:spPr>
                    <a:xfrm>
                      <a:off x="0" y="0"/>
                      <a:ext cx="5400000" cy="2708437"/>
                    </a:xfrm>
                    <a:prstGeom prst="rect"/>
                  </pic:spPr>
                </pic:pic>
              </a:graphicData>
            </a:graphic>
          </wp:inline>
        </w:drawing>
      </w:r>
    </w:p>
    <w:p>
      <w:pPr>
        <w:pStyle w:val="BeschriftungSSI"/>
      </w:pPr>
      <w:r>
        <w:t>Abb. 3: RM010 unten – Zeile 44 „LogiMat picking delivery note“ deaktiviert (markiert), eigene Zeilen 54/55 mit Kriterien (Stand 22:43)</w:t>
      </w:r>
    </w:p>
    <w:p>
      <w:pPr>
        <w:pStyle w:val="Quelle"/>
      </w:pPr>
      <w:r>
        <w:rPr>
          <w:b/>
        </w:rPr>
        <w:t xml:space="preserve">Quelle: </w:t>
      </w:r>
      <w:r>
        <w:rPr>
          <w:sz w:val="17"/>
        </w:rPr>
        <w:t>TL 16:33–16:57, 22:43, 23:20, 23:36, 23:42; PP 16:36–16:48, 22:43–23:42; KA Kap. 10.2</w:t>
      </w:r>
    </w:p>
    <w:p>
      <w:pPr>
        <w:pStyle w:val="Heading2"/>
      </w:pPr>
      <w:r>
        <w:t>3.2 Was daraus folgt</w:t>
      </w:r>
    </w:p>
    <w:p>
      <w:pPr>
        <w:tabs>
          <w:tab w:pos="425" w:val="left"/>
        </w:tabs>
        <w:spacing w:after="60"/>
        <w:ind w:left="425" w:hanging="425"/>
      </w:pPr>
      <w:r>
        <w:rPr>
          <w:b/>
        </w:rPr>
        <w:t>1.</w:t>
        <w:tab/>
      </w:r>
      <w:r>
        <w:t xml:space="preserve">Eine andere Konfiguration für den </w:t>
      </w:r>
      <w:r>
        <w:rPr>
          <w:b/>
        </w:rPr>
        <w:t>manuellen</w:t>
      </w:r>
      <w:r>
        <w:t xml:space="preserve"> Druck geht nur über die </w:t>
      </w:r>
      <w:r>
        <w:rPr>
          <w:b/>
        </w:rPr>
        <w:t>erste kriterienlose Zeile</w:t>
      </w:r>
      <w:r>
        <w:t xml:space="preserve"> des Dokumenttyps: diese Zeile auf die gewünschte Konfiguration umstellen oder mit einer anderen Standardzeile tauschen.</w:t>
      </w:r>
    </w:p>
    <w:p>
      <w:pPr>
        <w:tabs>
          <w:tab w:pos="425" w:val="left"/>
        </w:tabs>
        <w:spacing w:after="60"/>
        <w:ind w:left="425" w:hanging="425"/>
      </w:pPr>
      <w:r>
        <w:rPr>
          <w:b/>
        </w:rPr>
        <w:t>2.</w:t>
        <w:tab/>
      </w:r>
      <w:r>
        <w:t xml:space="preserve">Das ist eine </w:t>
      </w:r>
      <w:r>
        <w:rPr>
          <w:b/>
        </w:rPr>
        <w:t>Standardänderung</w:t>
      </w:r>
      <w:r>
        <w:t xml:space="preserve"> (Data Stage). Nur mit Freigabe, alt/neu protokollieren, Rückbau festlegen.</w:t>
      </w:r>
    </w:p>
    <w:p>
      <w:pPr>
        <w:tabs>
          <w:tab w:pos="425" w:val="left"/>
        </w:tabs>
        <w:spacing w:after="60"/>
        <w:ind w:left="425" w:hanging="425"/>
      </w:pPr>
      <w:r>
        <w:rPr>
          <w:b/>
        </w:rPr>
        <w:t>3.</w:t>
        <w:tab/>
      </w:r>
      <w:r>
        <w:t>Zwei Zeilen mit gleichen Werten lehnt RM010 ab („Zeilen 55 und 8 dürfen nicht dieselben Werte enthalten“).</w:t>
      </w:r>
    </w:p>
    <w:p>
      <w:pPr>
        <w:tabs>
          <w:tab w:pos="425" w:val="left"/>
        </w:tabs>
        <w:spacing w:after="60"/>
        <w:ind w:left="425" w:hanging="425"/>
      </w:pPr>
      <w:r>
        <w:rPr>
          <w:b/>
        </w:rPr>
        <w:t>4.</w:t>
        <w:tab/>
      </w:r>
      <w:r>
        <w:t xml:space="preserve">Kundenspezifische Zuordnungen (Klient, Partner) für den manuellen Druck sind damit nicht möglich. </w:t>
      </w:r>
      <w:r>
        <w:rPr>
          <w:b/>
        </w:rPr>
        <w:t>[im System prüfen]</w:t>
      </w:r>
      <w:r>
        <w:t>, ob das für den automatischen Druck anders ist (Kap. 3.3).</w:t>
      </w:r>
    </w:p>
    <w:p>
      <w:pPr>
        <w:pStyle w:val="Quelle"/>
      </w:pPr>
      <w:r>
        <w:rPr>
          <w:b/>
        </w:rPr>
        <w:t xml:space="preserve">Quelle: </w:t>
      </w:r>
      <w:r>
        <w:rPr>
          <w:sz w:val="17"/>
        </w:rPr>
        <w:t>TL 23:36, 23:42; PP 23:08–23:42</w:t>
      </w:r>
    </w:p>
    <w:p>
      <w:pPr>
        <w:pStyle w:val="Heading2"/>
      </w:pPr>
      <w:r>
        <w:t>3.3 Automatischer Druck: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Welche Zuordnung nimmt der automatische Druck?</w:t>
            </w:r>
          </w:p>
          <w:p>
            <w:pPr>
              <w:spacing w:after="40"/>
            </w:pPr>
            <w:r>
              <w:rPr>
                <w:sz w:val="19"/>
              </w:rPr>
              <w:t xml:space="preserve">Für den automatischen Kommissionierlieferschein war die Standardzeile 44 deaktiviert, die eigene Zeile hatte Kriterien. Der Druck scheiterte mit „Ein unerwarteter Fehler …“ (Kap. 5.3). Ob der automatische Druck „Aktiviert“ beachtet (wie RM018) oder die erste kriterienlose Zeile nimmt (wie RM100), ist </w:t>
            </w:r>
            <w:r>
              <w:rPr>
                <w:b/>
                <w:sz w:val="19"/>
              </w:rPr>
              <w:t>nicht belegt</w:t>
            </w:r>
            <w:r>
              <w:rPr>
                <w:sz w:val="19"/>
              </w:rPr>
              <w:t>. Klärung über das Serverlog von srv01.</w:t>
            </w:r>
          </w:p>
        </w:tc>
      </w:tr>
    </w:tbl>
    <w:p>
      <w:pPr>
        <w:spacing w:after="40"/>
      </w:pPr>
    </w:p>
    <w:p>
      <w:pPr>
        <w:pStyle w:val="Quelle"/>
      </w:pPr>
      <w:r>
        <w:rPr>
          <w:b/>
        </w:rPr>
        <w:t xml:space="preserve">Quelle: </w:t>
      </w:r>
      <w:r>
        <w:rPr>
          <w:sz w:val="17"/>
        </w:rPr>
        <w:t>TL 17:37–17:54; KA Kap. 10.4</w:t>
      </w:r>
    </w:p>
    <w:p>
      <w:pPr>
        <w:pStyle w:val="Heading1"/>
      </w:pPr>
      <w:r>
        <w:t>4 PDF ohne Drucker erzeugen und ablegen</w:t>
      </w:r>
    </w:p>
    <w:p>
      <w:pPr>
        <w:pStyle w:val="Heading2"/>
      </w:pPr>
      <w:r>
        <w:t>4.1 Dokument erzeugen (Beispiel Kommissionierlieferschein)</w:t>
      </w:r>
    </w:p>
    <w:p>
      <w:pPr>
        <w:tabs>
          <w:tab w:pos="425" w:val="left"/>
        </w:tabs>
        <w:spacing w:after="60"/>
        <w:ind w:left="425" w:hanging="425"/>
      </w:pPr>
      <w:r>
        <w:rPr>
          <w:b/>
        </w:rPr>
        <w:t>1.</w:t>
        <w:tab/>
      </w:r>
      <w:r>
        <w:rPr>
          <w:b/>
        </w:rPr>
        <w:t>LM071 Übersicht Kommissionierbedarfe</w:t>
      </w:r>
      <w:r>
        <w:t xml:space="preserve"> öffnen (Einlagerungslieferschein: </w:t>
      </w:r>
      <w:r>
        <w:rPr>
          <w:b/>
        </w:rPr>
        <w:t>LM080 Übersicht Einlagerbedarfe</w:t>
      </w:r>
      <w:r>
        <w:t>) und den Bedarf suchen.</w:t>
      </w:r>
    </w:p>
    <w:p>
      <w:pPr>
        <w:tabs>
          <w:tab w:pos="425" w:val="left"/>
        </w:tabs>
        <w:spacing w:after="60"/>
        <w:ind w:left="425" w:hanging="425"/>
      </w:pPr>
      <w:r>
        <w:rPr>
          <w:b/>
        </w:rPr>
        <w:t>2.</w:t>
        <w:tab/>
      </w:r>
      <w:r>
        <w:t xml:space="preserve">Rechtsklick auf den Bedarf → </w:t>
      </w:r>
      <w:r>
        <w:rPr>
          <w:b/>
        </w:rPr>
        <w:t>Lieferschein drucken…</w:t>
      </w:r>
      <w:r>
        <w:t xml:space="preserve"> → </w:t>
      </w:r>
      <w:r>
        <w:rPr>
          <w:b/>
        </w:rPr>
        <w:t>RM100 Dokument erzeugen</w:t>
      </w:r>
      <w:r>
        <w:t>.</w:t>
      </w:r>
    </w:p>
    <w:p>
      <w:pPr>
        <w:tabs>
          <w:tab w:pos="425" w:val="left"/>
        </w:tabs>
        <w:spacing w:after="60"/>
        <w:ind w:left="425" w:hanging="425"/>
      </w:pPr>
      <w:r>
        <w:rPr>
          <w:b/>
        </w:rPr>
        <w:t>3.</w:t>
        <w:tab/>
      </w:r>
      <w:r>
        <w:t xml:space="preserve">Bereich </w:t>
      </w:r>
      <w:r>
        <w:rPr>
          <w:b/>
        </w:rPr>
        <w:t>Kanal</w:t>
      </w:r>
      <w:r>
        <w:t xml:space="preserve">: </w:t>
      </w:r>
      <w:r>
        <w:rPr>
          <w:b/>
        </w:rPr>
        <w:t>Lokales Dateisystem</w:t>
      </w:r>
      <w:r>
        <w:t xml:space="preserve"> anhaken, </w:t>
      </w:r>
      <w:r>
        <w:rPr>
          <w:b/>
        </w:rPr>
        <w:t>Druck Kanal</w:t>
      </w:r>
      <w:r>
        <w:t xml:space="preserve"> und </w:t>
      </w:r>
      <w:r>
        <w:rPr>
          <w:b/>
        </w:rPr>
        <w:t>E-Mail-Kanal</w:t>
      </w:r>
      <w:r>
        <w:t xml:space="preserve"> abwählen (</w:t>
      </w:r>
      <w:r>
        <w:rPr>
          <w:b/>
        </w:rPr>
        <w:t>Datenbank</w:t>
      </w:r>
      <w:r>
        <w:t xml:space="preserve"> nicht nötig).</w:t>
      </w:r>
    </w:p>
    <w:p>
      <w:pPr>
        <w:tabs>
          <w:tab w:pos="425" w:val="left"/>
        </w:tabs>
        <w:spacing w:after="60"/>
        <w:ind w:left="425" w:hanging="425"/>
      </w:pPr>
      <w:r>
        <w:rPr>
          <w:b/>
        </w:rPr>
        <w:t>4.</w:t>
        <w:tab/>
      </w:r>
      <w:r>
        <w:rPr>
          <w:b/>
        </w:rPr>
        <w:t>Generieren und verteilen</w:t>
      </w:r>
      <w:r>
        <w:t>. Meldung „1 Etikett wurde gedruckt.“ (auch bei Lieferscheinen).</w:t>
      </w:r>
    </w:p>
    <w:p>
      <w:pPr>
        <w:tabs>
          <w:tab w:pos="425" w:val="left"/>
        </w:tabs>
        <w:spacing w:after="60"/>
        <w:ind w:left="425" w:hanging="425"/>
      </w:pPr>
      <w:r>
        <w:rPr>
          <w:b/>
        </w:rPr>
        <w:t>5.</w:t>
        <w:tab/>
      </w:r>
      <w:r>
        <w:t xml:space="preserve">Der Browser lädt die Fassung </w:t>
      </w:r>
      <w:r>
        <w:rPr>
          <w:rFonts w:ascii="Consolas" w:hAnsi="Consolas" w:cs="Consolas" w:eastAsia="Consolas"/>
          <w:sz w:val="18"/>
        </w:rPr>
        <w:t>eng-US</w:t>
      </w:r>
      <w:r>
        <w:t xml:space="preserve"> herunter. Die deutsche Fassung aus RM018 holen (Kap. 4.2).</w:t>
      </w:r>
    </w:p>
    <w:p>
      <w:pPr>
        <w:keepNext/>
      </w:pPr>
      <w:r>
        <w:drawing>
          <wp:inline xmlns:a="http://schemas.openxmlformats.org/drawingml/2006/main" xmlns:pic="http://schemas.openxmlformats.org/drawingml/2006/picture">
            <wp:extent cx="3060000" cy="3918373"/>
            <wp:docPr id="107" name="Picture 107"/>
            <wp:cNvGraphicFramePr>
              <a:graphicFrameLocks noChangeAspect="1"/>
            </wp:cNvGraphicFramePr>
            <a:graphic>
              <a:graphicData uri="http://schemas.openxmlformats.org/drawingml/2006/picture">
                <pic:pic>
                  <pic:nvPicPr>
                    <pic:cNvPr id="0" name="d2_rm100.png"/>
                    <pic:cNvPicPr/>
                  </pic:nvPicPr>
                  <pic:blipFill>
                    <a:blip r:embed="rId17"/>
                    <a:stretch>
                      <a:fillRect/>
                    </a:stretch>
                  </pic:blipFill>
                  <pic:spPr>
                    <a:xfrm>
                      <a:off x="0" y="0"/>
                      <a:ext cx="3060000" cy="3918373"/>
                    </a:xfrm>
                    <a:prstGeom prst="rect"/>
                  </pic:spPr>
                </pic:pic>
              </a:graphicData>
            </a:graphic>
          </wp:inline>
        </w:drawing>
      </w:r>
    </w:p>
    <w:p>
      <w:pPr>
        <w:pStyle w:val="BeschriftungSSI"/>
      </w:pPr>
      <w:r>
        <w:t>Abb. 4: RM100 Dokument erzeugen aus LM071 – Konfiguration grau, Sprachen eng-US und ger, Kanal „Lokales Dateisystem“</w:t>
      </w:r>
    </w:p>
    <w:p>
      <w:pPr>
        <w:pStyle w:val="Quelle"/>
      </w:pPr>
      <w:r>
        <w:rPr>
          <w:b/>
        </w:rPr>
        <w:t xml:space="preserve">Quelle: </w:t>
      </w:r>
      <w:r>
        <w:rPr>
          <w:sz w:val="17"/>
        </w:rPr>
        <w:t>TL 15:58–16:05, 16:15–16:24; LPE Kap. 2.2; Screenshot 17.10. 16:01</w:t>
      </w:r>
    </w:p>
    <w:p>
      <w:pPr>
        <w:pStyle w:val="Heading2"/>
      </w:pPr>
      <w:r>
        <w:t>4.2 Deutsche Fassung aus RM018 speichern</w:t>
      </w:r>
    </w:p>
    <w:p>
      <w:pPr>
        <w:tabs>
          <w:tab w:pos="425" w:val="left"/>
        </w:tabs>
        <w:spacing w:after="60"/>
        <w:ind w:left="425" w:hanging="425"/>
      </w:pPr>
      <w:r>
        <w:rPr>
          <w:b/>
        </w:rPr>
        <w:t>1.</w:t>
        <w:tab/>
      </w:r>
      <w:r>
        <w:rPr>
          <w:b/>
        </w:rPr>
        <w:t>RM018 Übersicht Dokumente</w:t>
      </w:r>
      <w:r>
        <w:t xml:space="preserve"> → </w:t>
      </w:r>
      <w:r>
        <w:rPr>
          <w:b/>
        </w:rPr>
        <w:t>Suche</w:t>
      </w:r>
      <w:r>
        <w:t>. Jedes Dokument steht zweimal da (</w:t>
      </w:r>
      <w:r>
        <w:rPr>
          <w:rFonts w:ascii="Consolas" w:hAnsi="Consolas" w:cs="Consolas" w:eastAsia="Consolas"/>
          <w:sz w:val="18"/>
        </w:rPr>
        <w:t>eng-US</w:t>
      </w:r>
      <w:r>
        <w:t xml:space="preserve"> und </w:t>
      </w:r>
      <w:r>
        <w:rPr>
          <w:rFonts w:ascii="Consolas" w:hAnsi="Consolas" w:cs="Consolas" w:eastAsia="Consolas"/>
          <w:sz w:val="18"/>
        </w:rPr>
        <w:t>ger</w:t>
      </w:r>
      <w:r>
        <w:t>, z. B. IDs 88/89).</w:t>
      </w:r>
    </w:p>
    <w:p>
      <w:pPr>
        <w:tabs>
          <w:tab w:pos="425" w:val="left"/>
        </w:tabs>
        <w:spacing w:after="60"/>
        <w:ind w:left="425" w:hanging="425"/>
      </w:pPr>
      <w:r>
        <w:rPr>
          <w:b/>
        </w:rPr>
        <w:t>2.</w:t>
        <w:tab/>
      </w:r>
      <w:r>
        <w:t xml:space="preserve">Zeile mit Sprache </w:t>
      </w:r>
      <w:r>
        <w:rPr>
          <w:rFonts w:ascii="Consolas" w:hAnsi="Consolas" w:cs="Consolas" w:eastAsia="Consolas"/>
          <w:sz w:val="18"/>
        </w:rPr>
        <w:t>ger</w:t>
      </w:r>
      <w:r>
        <w:t xml:space="preserve"> markieren → Rechtsklick </w:t>
      </w:r>
      <w:r>
        <w:rPr>
          <w:b/>
        </w:rPr>
        <w:t>Speichern...</w:t>
      </w:r>
      <w:r>
        <w:t xml:space="preserve"> → </w:t>
      </w:r>
      <w:r>
        <w:rPr>
          <w:b/>
        </w:rPr>
        <w:t>FW010</w:t>
      </w:r>
      <w:r>
        <w:t xml:space="preserve"> → Download.</w:t>
      </w:r>
    </w:p>
    <w:p>
      <w:pPr>
        <w:tabs>
          <w:tab w:pos="425" w:val="left"/>
        </w:tabs>
        <w:spacing w:after="60"/>
        <w:ind w:left="425" w:hanging="425"/>
      </w:pPr>
      <w:r>
        <w:rPr>
          <w:b/>
        </w:rPr>
        <w:t>3.</w:t>
        <w:tab/>
      </w:r>
      <w:r>
        <w:t xml:space="preserve">Ablage auf dem Arbeitsplatz-PC (im Test Ordner </w:t>
      </w:r>
      <w:r>
        <w:rPr>
          <w:rFonts w:ascii="Consolas" w:hAnsi="Consolas" w:cs="Consolas" w:eastAsia="Consolas"/>
          <w:sz w:val="18"/>
        </w:rPr>
        <w:t>Dokumente\Etikette</w:t>
      </w:r>
      <w:r>
        <w:t xml:space="preserve">, nur deutsche PDFs; englische im Unterordner </w:t>
      </w:r>
      <w:r>
        <w:rPr>
          <w:rFonts w:ascii="Consolas" w:hAnsi="Consolas" w:cs="Consolas" w:eastAsia="Consolas"/>
          <w:sz w:val="18"/>
        </w:rPr>
        <w:t>_englisch</w:t>
      </w:r>
      <w:r>
        <w:t xml:space="preserve">). Namensschema von Hand: </w:t>
      </w:r>
      <w:r>
        <w:rPr>
          <w:rFonts w:ascii="Consolas" w:hAnsi="Consolas" w:cs="Consolas" w:eastAsia="Consolas"/>
          <w:sz w:val="18"/>
        </w:rPr>
        <w:t>&lt;Belegart&gt;_&lt;Bedarfsnummer&gt;_de.pdf</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Sofort speichern</w:t>
            </w:r>
          </w:p>
          <w:p>
            <w:pPr>
              <w:spacing w:after="40"/>
            </w:pPr>
            <w:r>
              <w:rPr>
                <w:sz w:val="19"/>
              </w:rPr>
              <w:t xml:space="preserve">Sobald ein Eintrag in RM018 archiviert ist (anderes Statussymbol), ist </w:t>
            </w:r>
            <w:r>
              <w:rPr>
                <w:b/>
                <w:sz w:val="19"/>
              </w:rPr>
              <w:t>Speichern...</w:t>
            </w:r>
            <w:r>
              <w:rPr>
                <w:sz w:val="19"/>
              </w:rPr>
              <w:t xml:space="preserve"> ausgegraut (beobachtet an ID 109). Das PDF deshalb gleich nach dem Erzeugen speichern, sonst neu erzeugen. Nie </w:t>
            </w:r>
            <w:r>
              <w:rPr>
                <w:b/>
                <w:sz w:val="19"/>
              </w:rPr>
              <w:t>Dokument noch einmal verteilen</w:t>
            </w:r>
            <w:r>
              <w:rPr>
                <w:sz w:val="19"/>
              </w:rPr>
              <w:t xml:space="preserve"> drücken (verteilt auch per E-Mail).</w:t>
            </w:r>
          </w:p>
        </w:tc>
      </w:tr>
    </w:tbl>
    <w:p>
      <w:pPr>
        <w:spacing w:after="40"/>
      </w:pPr>
    </w:p>
    <w:p>
      <w:pPr>
        <w:keepNext/>
      </w:pPr>
      <w:r>
        <w:drawing>
          <wp:inline xmlns:a="http://schemas.openxmlformats.org/drawingml/2006/main" xmlns:pic="http://schemas.openxmlformats.org/drawingml/2006/picture">
            <wp:extent cx="5400000" cy="2877188"/>
            <wp:docPr id="108" name="Picture 108"/>
            <wp:cNvGraphicFramePr>
              <a:graphicFrameLocks noChangeAspect="1"/>
            </wp:cNvGraphicFramePr>
            <a:graphic>
              <a:graphicData uri="http://schemas.openxmlformats.org/drawingml/2006/picture">
                <pic:pic>
                  <pic:nvPicPr>
                    <pic:cNvPr id="0" name="d2_rm018.png"/>
                    <pic:cNvPicPr/>
                  </pic:nvPicPr>
                  <pic:blipFill>
                    <a:blip r:embed="rId18"/>
                    <a:stretch>
                      <a:fillRect/>
                    </a:stretch>
                  </pic:blipFill>
                  <pic:spPr>
                    <a:xfrm>
                      <a:off x="0" y="0"/>
                      <a:ext cx="5400000" cy="2877188"/>
                    </a:xfrm>
                    <a:prstGeom prst="rect"/>
                  </pic:spPr>
                </pic:pic>
              </a:graphicData>
            </a:graphic>
          </wp:inline>
        </w:drawing>
      </w:r>
    </w:p>
    <w:p>
      <w:pPr>
        <w:pStyle w:val="BeschriftungSSI"/>
      </w:pPr>
      <w:r>
        <w:t>Abb. 5: RM018 Übersicht Dokumente – je Dokument eine Zeile eng-US und eine Zeile ger</w:t>
      </w:r>
    </w:p>
    <w:p>
      <w:pPr>
        <w:pStyle w:val="Quelle"/>
      </w:pPr>
      <w:r>
        <w:rPr>
          <w:b/>
        </w:rPr>
        <w:t xml:space="preserve">Quelle: </w:t>
      </w:r>
      <w:r>
        <w:rPr>
          <w:sz w:val="17"/>
        </w:rPr>
        <w:t>TL 15:10–15:30, 16:15–16:24, 18:05; KA Kap. 10.1–10.2; Screenshot 17.10. 16:01</w:t>
      </w:r>
    </w:p>
    <w:p>
      <w:pPr>
        <w:pStyle w:val="Heading2"/>
      </w:pPr>
      <w:r>
        <w:t>4.3 Dateikanal (Ablage auf dem Server)</w:t>
      </w:r>
    </w:p>
    <w:p>
      <w:r>
        <w:t xml:space="preserve">In RM005 kann eine eigene Konfiguration einen </w:t>
      </w:r>
      <w:r>
        <w:rPr>
          <w:b/>
        </w:rPr>
        <w:t>Dateikanal</w:t>
      </w:r>
      <w:r>
        <w:t xml:space="preserve"> bekommen (Pfad, Nummernkreis für den Dateinamen, z. B. 575 </w:t>
      </w:r>
      <w:r>
        <w:rPr>
          <w:rFonts w:ascii="Consolas" w:hAnsi="Consolas" w:cs="Consolas" w:eastAsia="Consolas"/>
          <w:sz w:val="18"/>
        </w:rPr>
        <w:t>${RT}_${SEQ}.${OF}</w:t>
      </w:r>
      <w:r>
        <w:t xml:space="preserve">). Der Pfad muss ein </w:t>
      </w:r>
      <w:r>
        <w:rPr>
          <w:b/>
        </w:rPr>
        <w:t>absoluter Windows-Pfad auf dem WAMAS-Server</w:t>
      </w:r>
      <w:r>
        <w:t xml:space="preserve"> sein (z. B. </w:t>
      </w:r>
      <w:r>
        <w:rPr>
          <w:rFonts w:ascii="Consolas" w:hAnsi="Consolas" w:cs="Consolas" w:eastAsia="Consolas"/>
          <w:sz w:val="18"/>
        </w:rPr>
        <w:t>C:\temp</w:t>
      </w:r>
      <w:r>
        <w:t>), nicht auf dem Client. Ob die Datei geschrieben wird, ist offen (der automatische Testdruck 17:54 scheiterte).</w:t>
      </w:r>
    </w:p>
    <w:p>
      <w:pPr>
        <w:pStyle w:val="Quelle"/>
      </w:pPr>
      <w:r>
        <w:rPr>
          <w:b/>
        </w:rPr>
        <w:t xml:space="preserve">Quelle: </w:t>
      </w:r>
      <w:r>
        <w:rPr>
          <w:sz w:val="17"/>
        </w:rPr>
        <w:t>PP 17:50; TL 17:54; KA Kap. 10.3</w:t>
      </w:r>
    </w:p>
    <w:p>
      <w:pPr>
        <w:pStyle w:val="Heading1"/>
      </w:pPr>
      <w:r>
        <w:t>5 Lieferscheine</w:t>
      </w:r>
    </w:p>
    <w:p>
      <w:pPr>
        <w:pStyle w:val="Heading2"/>
      </w:pPr>
      <w:r>
        <w:t>5.1 Erst nach der Kommissionierung erzeugen</w:t>
      </w:r>
    </w:p>
    <w:p>
      <w:r>
        <w:t xml:space="preserve">Der Lieferschein zeigt die Mengen zum Zeitpunkt der Erzeugung. Vor dem Pick steht in </w:t>
      </w:r>
      <w:r>
        <w:rPr>
          <w:b/>
        </w:rPr>
        <w:t>Geliefert</w:t>
      </w:r>
      <w:r>
        <w:t xml:space="preserve"> </w:t>
      </w:r>
      <w:r>
        <w:rPr>
          <w:rFonts w:ascii="Consolas" w:hAnsi="Consolas" w:cs="Consolas" w:eastAsia="Consolas"/>
          <w:sz w:val="18"/>
        </w:rPr>
        <w:t>0 PCS</w:t>
      </w:r>
      <w:r>
        <w:t xml:space="preserve"> und in </w:t>
      </w:r>
      <w:r>
        <w:rPr>
          <w:b/>
        </w:rPr>
        <w:t>Differenz</w:t>
      </w:r>
      <w:r>
        <w:t xml:space="preserve"> die volle Bestellmenge als Minus.</w:t>
      </w:r>
    </w:p>
    <w:p>
      <w:pPr>
        <w:tabs>
          <w:tab w:pos="425" w:val="left"/>
        </w:tabs>
        <w:spacing w:after="60"/>
        <w:ind w:left="425" w:hanging="425"/>
      </w:pPr>
      <w:r>
        <w:rPr>
          <w:b/>
        </w:rPr>
        <w:t>1.</w:t>
        <w:tab/>
      </w:r>
      <w:r>
        <w:t xml:space="preserve">Bedarf am Touch vollständig kommissionieren, bis er in LM071 </w:t>
      </w:r>
      <w:r>
        <w:rPr>
          <w:b/>
        </w:rPr>
        <w:t>Fertiggestellt</w:t>
      </w:r>
      <w:r>
        <w:t xml:space="preserve"> ist.</w:t>
      </w:r>
    </w:p>
    <w:p>
      <w:pPr>
        <w:tabs>
          <w:tab w:pos="425" w:val="left"/>
        </w:tabs>
        <w:spacing w:after="60"/>
        <w:ind w:left="425" w:hanging="425"/>
      </w:pPr>
      <w:r>
        <w:rPr>
          <w:b/>
        </w:rPr>
        <w:t>2.</w:t>
        <w:tab/>
      </w:r>
      <w:r>
        <w:t xml:space="preserve">Erst dann </w:t>
      </w:r>
      <w:r>
        <w:rPr>
          <w:b/>
        </w:rPr>
        <w:t>Lieferschein drucken…</w:t>
      </w:r>
      <w:r>
        <w:t xml:space="preserve"> (Kap. 4.1).</w:t>
      </w:r>
    </w:p>
    <w:p>
      <w:pPr>
        <w:tabs>
          <w:tab w:pos="425" w:val="left"/>
        </w:tabs>
        <w:spacing w:after="60"/>
        <w:ind w:left="425" w:hanging="425"/>
      </w:pPr>
      <w:r>
        <w:rPr>
          <w:b/>
        </w:rPr>
        <w:t>3.</w:t>
        <w:tab/>
      </w:r>
      <w:r>
        <w:t xml:space="preserve">Ergebnis ADR01 nach dem Pick (RM018 ID 82): Bestellt 1 / Differenz 0 / Geliefert 1 → </w:t>
      </w:r>
      <w:r>
        <w:rPr>
          <w:b/>
        </w:rPr>
        <w:t>bestätigt</w:t>
      </w:r>
      <w:r>
        <w:t>.</w:t>
      </w:r>
    </w:p>
    <w:p>
      <w:pPr>
        <w:keepNext/>
      </w:pPr>
      <w:r>
        <w:drawing>
          <wp:inline xmlns:a="http://schemas.openxmlformats.org/drawingml/2006/main" xmlns:pic="http://schemas.openxmlformats.org/drawingml/2006/picture">
            <wp:extent cx="4320000" cy="2012835"/>
            <wp:docPr id="109" name="Picture 109"/>
            <wp:cNvGraphicFramePr>
              <a:graphicFrameLocks noChangeAspect="1"/>
            </wp:cNvGraphicFramePr>
            <a:graphic>
              <a:graphicData uri="http://schemas.openxmlformats.org/drawingml/2006/picture">
                <pic:pic>
                  <pic:nvPicPr>
                    <pic:cNvPr id="0" name="d2_kls_adr01_vor_pick_de.png"/>
                    <pic:cNvPicPr/>
                  </pic:nvPicPr>
                  <pic:blipFill>
                    <a:blip r:embed="rId19"/>
                    <a:stretch>
                      <a:fillRect/>
                    </a:stretch>
                  </pic:blipFill>
                  <pic:spPr>
                    <a:xfrm>
                      <a:off x="0" y="0"/>
                      <a:ext cx="4320000" cy="2012835"/>
                    </a:xfrm>
                    <a:prstGeom prst="rect"/>
                  </pic:spPr>
                </pic:pic>
              </a:graphicData>
            </a:graphic>
          </wp:inline>
        </w:drawing>
      </w:r>
    </w:p>
    <w:p>
      <w:pPr>
        <w:pStyle w:val="BeschriftungSSI"/>
      </w:pPr>
      <w:r>
        <w:t>Abb. 6: Kommissionierlieferschein ADR01 (ger) vor dem Pick: Geliefert 0 PCS, Differenz −1 PCS</w:t>
      </w:r>
    </w:p>
    <w:p>
      <w:pPr>
        <w:pStyle w:val="Quelle"/>
      </w:pPr>
      <w:r>
        <w:rPr>
          <w:b/>
        </w:rPr>
        <w:t xml:space="preserve">Quelle: </w:t>
      </w:r>
      <w:r>
        <w:rPr>
          <w:sz w:val="17"/>
        </w:rPr>
        <w:t>TL 16:05–16:12; KA Kap. 10.2</w:t>
      </w:r>
    </w:p>
    <w:p>
      <w:pPr>
        <w:pStyle w:val="Heading2"/>
      </w:pPr>
      <w:r>
        <w:t>5.2 Felder des Einlagerungslieferscheins (Layout 106, ger)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13"/>
        <w:gridCol w:w="6212"/>
      </w:tblGrid>
      <w:tr>
        <w:trPr>
          <w:tblHeader w:val="true"/>
        </w:trPr>
        <w:tc>
          <w:tcPr>
            <w:tcW w:type="dxa" w:w="3313"/>
            <w:shd w:val="clear" w:color="auto" w:fill="FEEE19"/>
          </w:tcPr>
          <w:p>
            <w:pPr>
              <w:spacing w:after="0"/>
            </w:pPr>
            <w:r>
              <w:rPr>
                <w:b/>
                <w:sz w:val="17"/>
              </w:rPr>
              <w:t>Feld</w:t>
            </w:r>
          </w:p>
        </w:tc>
        <w:tc>
          <w:tcPr>
            <w:tcW w:type="dxa" w:w="6212"/>
            <w:shd w:val="clear" w:color="auto" w:fill="FEEE19"/>
          </w:tcPr>
          <w:p>
            <w:pPr>
              <w:spacing w:after="0"/>
            </w:pPr>
            <w:r>
              <w:rPr>
                <w:b/>
                <w:sz w:val="17"/>
              </w:rPr>
              <w:t>Bedeutung</w:t>
            </w:r>
          </w:p>
        </w:tc>
      </w:tr>
      <w:tr>
        <w:tc>
          <w:tcPr>
            <w:tcW w:type="dxa" w:w="3313"/>
          </w:tcPr>
          <w:p>
            <w:pPr>
              <w:spacing w:after="0" w:line="252" w:lineRule="auto"/>
            </w:pPr>
            <w:r>
              <w:rPr>
                <w:sz w:val="17"/>
              </w:rPr>
              <w:t>Kopf rechts oben</w:t>
            </w:r>
          </w:p>
        </w:tc>
        <w:tc>
          <w:tcPr>
            <w:tcW w:type="dxa" w:w="6212"/>
          </w:tcPr>
          <w:p>
            <w:pPr>
              <w:spacing w:after="0" w:line="252" w:lineRule="auto"/>
            </w:pPr>
            <w:r>
              <w:rPr>
                <w:sz w:val="17"/>
              </w:rPr>
              <w:t>eigene Lageradresse aus MD018-Partner der Art „Lagerort“ (Kap. 6.1)</w:t>
            </w:r>
          </w:p>
        </w:tc>
      </w:tr>
      <w:tr>
        <w:tc>
          <w:tcPr>
            <w:tcW w:type="dxa" w:w="3313"/>
          </w:tcPr>
          <w:p>
            <w:pPr>
              <w:spacing w:after="0" w:line="252" w:lineRule="auto"/>
            </w:pPr>
            <w:r>
              <w:rPr>
                <w:sz w:val="17"/>
              </w:rPr>
              <w:t>Einlagerbedarfsnummer</w:t>
            </w:r>
          </w:p>
        </w:tc>
        <w:tc>
          <w:tcPr>
            <w:tcW w:type="dxa" w:w="6212"/>
          </w:tcPr>
          <w:p>
            <w:pPr>
              <w:spacing w:after="0" w:line="252" w:lineRule="auto"/>
            </w:pPr>
            <w:r>
              <w:rPr>
                <w:rFonts w:ascii="Consolas" w:hAnsi="Consolas" w:cs="Consolas" w:eastAsia="Consolas"/>
                <w:sz w:val="15"/>
              </w:rPr>
              <w:t>demandNo</w:t>
            </w:r>
            <w:r>
              <w:rPr>
                <w:sz w:val="17"/>
              </w:rPr>
              <w:t xml:space="preserve"> des Einlagerbedarfs (</w:t>
            </w:r>
            <w:r>
              <w:rPr>
                <w:rFonts w:ascii="Consolas" w:hAnsi="Consolas" w:cs="Consolas" w:eastAsia="Consolas"/>
                <w:sz w:val="15"/>
              </w:rPr>
              <w:t>WLSSD002</w:t>
            </w:r>
            <w:r>
              <w:rPr>
                <w:sz w:val="17"/>
              </w:rPr>
              <w:t>)</w:t>
            </w:r>
          </w:p>
        </w:tc>
      </w:tr>
      <w:tr>
        <w:tc>
          <w:tcPr>
            <w:tcW w:type="dxa" w:w="3313"/>
          </w:tcPr>
          <w:p>
            <w:pPr>
              <w:spacing w:after="0" w:line="252" w:lineRule="auto"/>
            </w:pPr>
            <w:r>
              <w:rPr>
                <w:sz w:val="17"/>
              </w:rPr>
              <w:t>Supplier / Empfänger</w:t>
            </w:r>
          </w:p>
        </w:tc>
        <w:tc>
          <w:tcPr>
            <w:tcW w:type="dxa" w:w="6212"/>
          </w:tcPr>
          <w:p>
            <w:pPr>
              <w:spacing w:after="0" w:line="252" w:lineRule="auto"/>
            </w:pPr>
            <w:r>
              <w:rPr>
                <w:sz w:val="17"/>
              </w:rPr>
              <w:t xml:space="preserve">Partnerrollen </w:t>
            </w:r>
            <w:r>
              <w:rPr>
                <w:rFonts w:ascii="Consolas" w:hAnsi="Consolas" w:cs="Consolas" w:eastAsia="Consolas"/>
                <w:sz w:val="15"/>
              </w:rPr>
              <w:t>SUPPLIER</w:t>
            </w:r>
            <w:r>
              <w:rPr>
                <w:sz w:val="17"/>
              </w:rPr>
              <w:t xml:space="preserve"> / </w:t>
            </w:r>
            <w:r>
              <w:rPr>
                <w:rFonts w:ascii="Consolas" w:hAnsi="Consolas" w:cs="Consolas" w:eastAsia="Consolas"/>
                <w:sz w:val="15"/>
              </w:rPr>
              <w:t>CONTRACTEE</w:t>
            </w:r>
          </w:p>
        </w:tc>
      </w:tr>
      <w:tr>
        <w:tc>
          <w:tcPr>
            <w:tcW w:type="dxa" w:w="3313"/>
          </w:tcPr>
          <w:p>
            <w:pPr>
              <w:spacing w:after="0" w:line="252" w:lineRule="auto"/>
            </w:pPr>
            <w:r>
              <w:rPr>
                <w:sz w:val="17"/>
              </w:rPr>
              <w:t>WAMAS Lift &amp; Store-Zone</w:t>
            </w:r>
          </w:p>
        </w:tc>
        <w:tc>
          <w:tcPr>
            <w:tcW w:type="dxa" w:w="6212"/>
          </w:tcPr>
          <w:p>
            <w:pPr>
              <w:spacing w:after="0" w:line="252" w:lineRule="auto"/>
            </w:pPr>
            <w:r>
              <w:rPr>
                <w:sz w:val="17"/>
              </w:rPr>
              <w:t>Zone des Bedarfs (</w:t>
            </w:r>
            <w:r>
              <w:rPr>
                <w:rFonts w:ascii="Consolas" w:hAnsi="Consolas" w:cs="Consolas" w:eastAsia="Consolas"/>
                <w:sz w:val="15"/>
              </w:rPr>
              <w:t>ZONEA</w:t>
            </w:r>
            <w:r>
              <w:rPr>
                <w:sz w:val="17"/>
              </w:rPr>
              <w:t>)</w:t>
            </w:r>
          </w:p>
        </w:tc>
      </w:tr>
      <w:tr>
        <w:tc>
          <w:tcPr>
            <w:tcW w:type="dxa" w:w="3313"/>
          </w:tcPr>
          <w:p>
            <w:pPr>
              <w:spacing w:after="0" w:line="252" w:lineRule="auto"/>
            </w:pPr>
            <w:r>
              <w:rPr>
                <w:sz w:val="17"/>
              </w:rPr>
              <w:t>Generiert um</w:t>
            </w:r>
          </w:p>
        </w:tc>
        <w:tc>
          <w:tcPr>
            <w:tcW w:type="dxa" w:w="6212"/>
          </w:tcPr>
          <w:p>
            <w:pPr>
              <w:spacing w:after="0" w:line="252" w:lineRule="auto"/>
            </w:pPr>
            <w:r>
              <w:rPr>
                <w:sz w:val="17"/>
              </w:rPr>
              <w:t>Erzeugungsdatum des Dokuments (nicht Lieferdatum)</w:t>
            </w:r>
          </w:p>
        </w:tc>
      </w:tr>
      <w:tr>
        <w:tc>
          <w:tcPr>
            <w:tcW w:type="dxa" w:w="3313"/>
          </w:tcPr>
          <w:p>
            <w:pPr>
              <w:spacing w:after="0" w:line="252" w:lineRule="auto"/>
            </w:pPr>
            <w:r>
              <w:rPr>
                <w:sz w:val="17"/>
              </w:rPr>
              <w:t>Bestellt / Geliefert / Differenz</w:t>
            </w:r>
          </w:p>
        </w:tc>
        <w:tc>
          <w:tcPr>
            <w:tcW w:type="dxa" w:w="6212"/>
          </w:tcPr>
          <w:p>
            <w:pPr>
              <w:spacing w:after="0" w:line="252" w:lineRule="auto"/>
            </w:pPr>
            <w:r>
              <w:rPr>
                <w:sz w:val="17"/>
              </w:rPr>
              <w:t>Sollmenge / bis zur Erzeugung eingelagert / Geliefert − Bestellt</w:t>
            </w:r>
          </w:p>
        </w:tc>
      </w:tr>
      <w:tr>
        <w:tc>
          <w:tcPr>
            <w:tcW w:type="dxa" w:w="3313"/>
          </w:tcPr>
          <w:p>
            <w:pPr>
              <w:spacing w:after="0" w:line="252" w:lineRule="auto"/>
            </w:pPr>
            <w:r>
              <w:rPr>
                <w:sz w:val="17"/>
              </w:rPr>
              <w:t>Warnung</w:t>
            </w:r>
          </w:p>
        </w:tc>
        <w:tc>
          <w:tcPr>
            <w:tcW w:type="dxa" w:w="6212"/>
          </w:tcPr>
          <w:p>
            <w:pPr>
              <w:spacing w:after="0" w:line="252" w:lineRule="auto"/>
            </w:pPr>
            <w:r>
              <w:rPr>
                <w:sz w:val="17"/>
              </w:rPr>
              <w:t>Differenzgrund, z. B. „No stock difference“ (auch in ger englisch)</w:t>
            </w:r>
          </w:p>
        </w:tc>
      </w:tr>
      <w:tr>
        <w:tc>
          <w:tcPr>
            <w:tcW w:type="dxa" w:w="3313"/>
          </w:tcPr>
          <w:p>
            <w:pPr>
              <w:spacing w:after="0" w:line="252" w:lineRule="auto"/>
            </w:pPr>
            <w:r>
              <w:rPr>
                <w:sz w:val="17"/>
              </w:rPr>
              <w:t>Unterschriften</w:t>
            </w:r>
          </w:p>
        </w:tc>
        <w:tc>
          <w:tcPr>
            <w:tcW w:type="dxa" w:w="6212"/>
          </w:tcPr>
          <w:p>
            <w:pPr>
              <w:spacing w:after="0" w:line="252" w:lineRule="auto"/>
            </w:pPr>
            <w:r>
              <w:rPr>
                <w:sz w:val="17"/>
              </w:rPr>
              <w:t>Fahrer / Lagermitarbeiter (Leerfelder)</w:t>
            </w:r>
          </w:p>
        </w:tc>
      </w:tr>
    </w:tbl>
    <w:p>
      <w:pPr>
        <w:pStyle w:val="BeschriftungSSI"/>
      </w:pPr>
      <w:r>
        <w:t>Tab. 5: Felder Einlagerungslieferschein</w:t>
      </w:r>
    </w:p>
    <w:p>
      <w:pPr>
        <w:pStyle w:val="Quelle"/>
      </w:pPr>
      <w:r>
        <w:rPr>
          <w:b/>
        </w:rPr>
        <w:t xml:space="preserve">Quelle: </w:t>
      </w:r>
      <w:r>
        <w:rPr>
          <w:sz w:val="17"/>
        </w:rPr>
        <w:t>KA Kap. 10.6 (RM018 85/109, PDF ADR02)</w:t>
      </w:r>
    </w:p>
    <w:p>
      <w:pPr>
        <w:pStyle w:val="Heading2"/>
      </w:pPr>
      <w:r>
        <w:t>5.3 Automatischer Kommissionierlieferschein</w:t>
      </w:r>
    </w:p>
    <w:p>
      <w:r>
        <w:t>Voraussetzungen:</w:t>
      </w:r>
    </w:p>
    <w:p>
      <w:pPr>
        <w:tabs>
          <w:tab w:pos="425" w:val="left"/>
        </w:tabs>
        <w:spacing w:after="60"/>
        <w:ind w:left="425" w:hanging="425"/>
      </w:pPr>
      <w:r>
        <w:rPr>
          <w:b/>
        </w:rPr>
        <w:t>1.</w:t>
        <w:tab/>
      </w:r>
      <w:r>
        <w:rPr>
          <w:b/>
        </w:rPr>
        <w:t>MD017 Klient pflegen</w:t>
      </w:r>
      <w:r>
        <w:t xml:space="preserve"> › Reiter </w:t>
      </w:r>
      <w:r>
        <w:rPr>
          <w:b/>
        </w:rPr>
        <w:t>Kommissionierbedarfstyp</w:t>
      </w:r>
      <w:r>
        <w:t xml:space="preserve"> › </w:t>
      </w:r>
      <w:r>
        <w:rPr>
          <w:b/>
        </w:rPr>
        <w:t>Kommissionierlieferschein drucken</w:t>
      </w:r>
      <w:r>
        <w:t xml:space="preserve"> = ja (im Test am eigenen Typ „Kommissionieren“, SHPG unverändert).</w:t>
      </w:r>
    </w:p>
    <w:p>
      <w:pPr>
        <w:tabs>
          <w:tab w:pos="425" w:val="left"/>
        </w:tabs>
        <w:spacing w:after="60"/>
        <w:ind w:left="425" w:hanging="425"/>
      </w:pPr>
      <w:r>
        <w:rPr>
          <w:b/>
        </w:rPr>
        <w:t>2.</w:t>
        <w:tab/>
      </w:r>
      <w:r>
        <w:t xml:space="preserve">Am Bedarf eine </w:t>
      </w:r>
      <w:r>
        <w:rPr>
          <w:b/>
        </w:rPr>
        <w:t>Lieferscheinnummer</w:t>
      </w:r>
      <w:r>
        <w:t xml:space="preserve"> </w:t>
      </w:r>
      <w:r>
        <w:rPr>
          <w:rFonts w:ascii="Consolas" w:hAnsi="Consolas" w:cs="Consolas" w:eastAsia="Consolas"/>
          <w:sz w:val="18"/>
        </w:rPr>
        <w:t>noteNo</w:t>
      </w:r>
      <w:r>
        <w:t xml:space="preserve"> im Telegramm </w:t>
      </w:r>
      <w:r>
        <w:rPr>
          <w:rFonts w:ascii="Consolas" w:hAnsi="Consolas" w:cs="Consolas" w:eastAsia="Consolas"/>
          <w:sz w:val="18"/>
        </w:rPr>
        <w:t>WLSPD002</w:t>
      </w:r>
      <w:r>
        <w:t xml:space="preserve"> (z. B. </w:t>
      </w:r>
      <w:r>
        <w:rPr>
          <w:rFonts w:ascii="Consolas" w:hAnsi="Consolas" w:cs="Consolas" w:eastAsia="Consolas"/>
          <w:sz w:val="18"/>
        </w:rPr>
        <w:t>LS-MAN02</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48"/>
        <w:gridCol w:w="768"/>
        <w:gridCol w:w="4609"/>
      </w:tblGrid>
      <w:tr>
        <w:trPr>
          <w:tblHeader w:val="true"/>
        </w:trPr>
        <w:tc>
          <w:tcPr>
            <w:tcW w:type="dxa" w:w="4148"/>
            <w:shd w:val="clear" w:color="auto" w:fill="FEEE19"/>
          </w:tcPr>
          <w:p>
            <w:pPr>
              <w:spacing w:after="0"/>
            </w:pPr>
            <w:r>
              <w:rPr>
                <w:b/>
                <w:sz w:val="17"/>
              </w:rPr>
              <w:t>Test</w:t>
            </w:r>
          </w:p>
        </w:tc>
        <w:tc>
          <w:tcPr>
            <w:tcW w:type="dxa" w:w="768"/>
            <w:shd w:val="clear" w:color="auto" w:fill="FEEE19"/>
          </w:tcPr>
          <w:p>
            <w:pPr>
              <w:spacing w:after="0"/>
            </w:pPr>
            <w:r>
              <w:rPr>
                <w:b/>
                <w:sz w:val="17"/>
              </w:rPr>
              <w:t>`noteNo`</w:t>
            </w:r>
          </w:p>
        </w:tc>
        <w:tc>
          <w:tcPr>
            <w:tcW w:type="dxa" w:w="4609"/>
            <w:shd w:val="clear" w:color="auto" w:fill="FEEE19"/>
          </w:tcPr>
          <w:p>
            <w:pPr>
              <w:spacing w:after="0"/>
            </w:pPr>
            <w:r>
              <w:rPr>
                <w:b/>
                <w:sz w:val="17"/>
              </w:rPr>
              <w:t>Ergebnis</w:t>
            </w:r>
          </w:p>
        </w:tc>
      </w:tr>
      <w:tr>
        <w:tc>
          <w:tcPr>
            <w:tcW w:type="dxa" w:w="4148"/>
          </w:tcPr>
          <w:p>
            <w:pPr>
              <w:spacing w:after="0" w:line="252" w:lineRule="auto"/>
            </w:pPr>
            <w:r>
              <w:rPr>
                <w:sz w:val="17"/>
              </w:rPr>
              <w:t>MAN_01 (17:28)</w:t>
            </w:r>
          </w:p>
        </w:tc>
        <w:tc>
          <w:tcPr>
            <w:tcW w:type="dxa" w:w="768"/>
          </w:tcPr>
          <w:p>
            <w:pPr>
              <w:spacing w:after="0" w:line="252" w:lineRule="auto"/>
            </w:pPr>
            <w:r>
              <w:rPr>
                <w:sz w:val="17"/>
              </w:rPr>
              <w:t>leer</w:t>
            </w:r>
          </w:p>
        </w:tc>
        <w:tc>
          <w:tcPr>
            <w:tcW w:type="dxa" w:w="4609"/>
          </w:tcPr>
          <w:p>
            <w:pPr>
              <w:spacing w:after="0" w:line="252" w:lineRule="auto"/>
            </w:pPr>
            <w:r>
              <w:rPr>
                <w:sz w:val="17"/>
              </w:rPr>
              <w:t>kein Lieferschein, nur Packliste (RM018 98/99)</w:t>
            </w:r>
          </w:p>
        </w:tc>
      </w:tr>
      <w:tr>
        <w:tc>
          <w:tcPr>
            <w:tcW w:type="dxa" w:w="4148"/>
          </w:tcPr>
          <w:p>
            <w:pPr>
              <w:spacing w:after="0" w:line="252" w:lineRule="auto"/>
            </w:pPr>
            <w:r>
              <w:rPr>
                <w:sz w:val="17"/>
              </w:rPr>
              <w:t>MAN_02 (17:37–17:41)</w:t>
            </w:r>
          </w:p>
        </w:tc>
        <w:tc>
          <w:tcPr>
            <w:tcW w:type="dxa" w:w="768"/>
          </w:tcPr>
          <w:p>
            <w:pPr>
              <w:spacing w:after="0" w:line="252" w:lineRule="auto"/>
            </w:pPr>
            <w:r>
              <w:rPr>
                <w:rFonts w:ascii="Consolas" w:hAnsi="Consolas" w:cs="Consolas" w:eastAsia="Consolas"/>
                <w:sz w:val="15"/>
              </w:rPr>
              <w:t>LS-MAN02</w:t>
            </w:r>
          </w:p>
        </w:tc>
        <w:tc>
          <w:tcPr>
            <w:tcW w:type="dxa" w:w="4609"/>
          </w:tcPr>
          <w:p>
            <w:pPr>
              <w:spacing w:after="0" w:line="252" w:lineRule="auto"/>
            </w:pPr>
            <w:r>
              <w:rPr>
                <w:sz w:val="17"/>
              </w:rPr>
              <w:t>Druck ausgelöst, Touch: „Ein unerwarteter Fehler ist aufgetreten während 'Kommissionierlieferschein' gedruckt wurde.“</w:t>
            </w:r>
          </w:p>
        </w:tc>
      </w:tr>
      <w:tr>
        <w:tc>
          <w:tcPr>
            <w:tcW w:type="dxa" w:w="4148"/>
          </w:tcPr>
          <w:p>
            <w:pPr>
              <w:spacing w:after="0" w:line="252" w:lineRule="auto"/>
            </w:pPr>
            <w:r>
              <w:rPr>
                <w:sz w:val="17"/>
              </w:rPr>
              <w:t xml:space="preserve">MAN_03 (17:54, Konfiguration mit Dateikanal </w:t>
            </w:r>
            <w:r>
              <w:rPr>
                <w:rFonts w:ascii="Consolas" w:hAnsi="Consolas" w:cs="Consolas" w:eastAsia="Consolas"/>
                <w:sz w:val="15"/>
              </w:rPr>
              <w:t>C:\temp</w:t>
            </w:r>
            <w:r>
              <w:rPr>
                <w:sz w:val="17"/>
              </w:rPr>
              <w:t>)</w:t>
            </w:r>
          </w:p>
        </w:tc>
        <w:tc>
          <w:tcPr>
            <w:tcW w:type="dxa" w:w="768"/>
          </w:tcPr>
          <w:p>
            <w:pPr>
              <w:spacing w:after="0" w:line="252" w:lineRule="auto"/>
            </w:pPr>
            <w:r>
              <w:rPr>
                <w:rFonts w:ascii="Consolas" w:hAnsi="Consolas" w:cs="Consolas" w:eastAsia="Consolas"/>
                <w:sz w:val="15"/>
              </w:rPr>
              <w:t>LS-MAN03</w:t>
            </w:r>
          </w:p>
        </w:tc>
        <w:tc>
          <w:tcPr>
            <w:tcW w:type="dxa" w:w="4609"/>
          </w:tcPr>
          <w:p>
            <w:pPr>
              <w:spacing w:after="0" w:line="252" w:lineRule="auto"/>
            </w:pPr>
            <w:r>
              <w:rPr>
                <w:sz w:val="17"/>
              </w:rPr>
              <w:t>gleiche Fehlermeldung, nur Packliste 106/107</w:t>
            </w:r>
          </w:p>
        </w:tc>
      </w:tr>
    </w:tbl>
    <w:p>
      <w:pPr>
        <w:pStyle w:val="BeschriftungSSI"/>
      </w:pPr>
      <w:r>
        <w:t>Tab. 6: Tests automatischer Kommissionierlieferschein</w:t>
      </w:r>
    </w:p>
    <w:p>
      <w:pPr>
        <w:keepNext/>
      </w:pPr>
      <w:r>
        <w:drawing>
          <wp:inline xmlns:a="http://schemas.openxmlformats.org/drawingml/2006/main" xmlns:pic="http://schemas.openxmlformats.org/drawingml/2006/picture">
            <wp:extent cx="5580000" cy="558000"/>
            <wp:docPr id="110" name="Picture 110"/>
            <wp:cNvGraphicFramePr>
              <a:graphicFrameLocks noChangeAspect="1"/>
            </wp:cNvGraphicFramePr>
            <a:graphic>
              <a:graphicData uri="http://schemas.openxmlformats.org/drawingml/2006/picture">
                <pic:pic>
                  <pic:nvPicPr>
                    <pic:cNvPr id="0" name="d2_touch_fehler_kls.png"/>
                    <pic:cNvPicPr/>
                  </pic:nvPicPr>
                  <pic:blipFill>
                    <a:blip r:embed="rId20"/>
                    <a:stretch>
                      <a:fillRect/>
                    </a:stretch>
                  </pic:blipFill>
                  <pic:spPr>
                    <a:xfrm>
                      <a:off x="0" y="0"/>
                      <a:ext cx="5580000" cy="558000"/>
                    </a:xfrm>
                    <a:prstGeom prst="rect"/>
                  </pic:spPr>
                </pic:pic>
              </a:graphicData>
            </a:graphic>
          </wp:inline>
        </w:drawing>
      </w:r>
    </w:p>
    <w:p>
      <w:pPr>
        <w:pStyle w:val="BeschriftungSSI"/>
      </w:pPr>
      <w:r>
        <w:t>Abb. 7: Touch-Meldung beim automatischen Kommissionierlieferschein (Bildschirmaufnahme 17:28:51)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Ursache offen</w:t>
            </w:r>
          </w:p>
          <w:p>
            <w:pPr>
              <w:spacing w:after="40"/>
            </w:pPr>
            <w:r>
              <w:rPr>
                <w:sz w:val="19"/>
              </w:rPr>
              <w:t xml:space="preserve">Kandidaten: kein PDF-Drucker (Typ </w:t>
            </w:r>
            <w:r>
              <w:rPr>
                <w:rFonts w:ascii="Consolas" w:hAnsi="Consolas" w:cs="Consolas" w:eastAsia="Consolas"/>
                <w:sz w:val="17"/>
              </w:rPr>
              <w:t>Laser</w:t>
            </w:r>
            <w:r>
              <w:rPr>
                <w:sz w:val="19"/>
              </w:rPr>
              <w:t xml:space="preserve">), deaktivierte Standardzeile 44, Zuordnung mit Kriterien, Dateikanal-Pfad. Nur über das Serverlog von srv01 zu klären. Nach dem Anlegen eines PDF-Druckers erneut testen. Hinweis: Die Bildschirmaufnahme zeigt die Meldung schon um 17:28:51, der Testlog nennt sie erst ab MAN_02 (17:37). </w:t>
            </w:r>
            <w:r>
              <w:rPr>
                <w:b/>
                <w:sz w:val="19"/>
              </w:rPr>
              <w:t>[im System prüfen]</w:t>
            </w:r>
          </w:p>
        </w:tc>
      </w:tr>
    </w:tbl>
    <w:p>
      <w:pPr>
        <w:spacing w:after="40"/>
      </w:pPr>
    </w:p>
    <w:p>
      <w:pPr>
        <w:pStyle w:val="Quelle"/>
      </w:pPr>
      <w:r>
        <w:rPr>
          <w:b/>
        </w:rPr>
        <w:t xml:space="preserve">Quelle: </w:t>
      </w:r>
      <w:r>
        <w:rPr>
          <w:sz w:val="17"/>
        </w:rPr>
        <w:t>TL 17:20–17:54; PP 17:24, 17:50; KA Kap. 10.4; Screenshot 17.10. 17:28</w:t>
      </w:r>
    </w:p>
    <w:p>
      <w:pPr>
        <w:pStyle w:val="Heading1"/>
      </w:pPr>
      <w:r>
        <w:t>6 Partneradressen (MD017/MD018)</w:t>
      </w:r>
    </w:p>
    <w:p>
      <w:pPr>
        <w:pStyle w:val="Heading2"/>
      </w:pPr>
      <w:r>
        <w:t>6.1 Briefkopf: eigene Adresse aus MD018 „Lagerort“</w:t>
      </w:r>
    </w:p>
    <w:p>
      <w:r>
        <w:t xml:space="preserve">Der Kopf rechts oben (eigene Firmenadresse) kommt </w:t>
      </w:r>
      <w:r>
        <w:rPr>
          <w:b/>
        </w:rPr>
        <w:t>nur</w:t>
      </w:r>
      <w:r>
        <w:t xml:space="preserve"> aus einem </w:t>
      </w:r>
      <w:r>
        <w:rPr>
          <w:b/>
        </w:rPr>
        <w:t>MD018-Partner der Art „Lagerort“</w:t>
      </w:r>
      <w:r>
        <w:t xml:space="preserve"> mit Lagerstandort </w:t>
      </w:r>
      <w:r>
        <w:rPr>
          <w:rFonts w:ascii="Consolas" w:hAnsi="Consolas" w:cs="Consolas" w:eastAsia="Consolas"/>
          <w:sz w:val="18"/>
        </w:rPr>
        <w:t>LogiMat</w:t>
      </w:r>
      <w:r>
        <w:t xml:space="preserve">. Die Klient-Adresse in </w:t>
      </w:r>
      <w:r>
        <w:rPr>
          <w:b/>
        </w:rPr>
        <w:t>MD017</w:t>
      </w:r>
      <w:r>
        <w:t xml:space="preserve"> wird vom Layout </w:t>
      </w:r>
      <w:r>
        <w:rPr>
          <w:b/>
        </w:rPr>
        <w:t>nicht</w:t>
      </w:r>
      <w:r>
        <w:t xml:space="preserve"> verwendet (Beleg: Ausgabe „CH“ wie im Partner statt „Switzerland“).</w:t>
      </w:r>
    </w:p>
    <w:p>
      <w:pPr>
        <w:tabs>
          <w:tab w:pos="425" w:val="left"/>
        </w:tabs>
        <w:spacing w:after="60"/>
        <w:ind w:left="425" w:hanging="425"/>
      </w:pPr>
      <w:r>
        <w:rPr>
          <w:b/>
        </w:rPr>
        <w:t>1.</w:t>
        <w:tab/>
      </w:r>
      <w:r>
        <w:rPr>
          <w:b/>
        </w:rPr>
        <w:t>MD018 Partner pflegen</w:t>
      </w:r>
      <w:r>
        <w:t xml:space="preserve"> → Partner anlegen (Test: </w:t>
      </w:r>
      <w:r>
        <w:rPr>
          <w:rFonts w:ascii="Consolas" w:hAnsi="Consolas" w:cs="Consolas" w:eastAsia="Consolas"/>
          <w:sz w:val="18"/>
        </w:rPr>
        <w:t>TEST_WD_LAGER</w:t>
      </w:r>
      <w:r>
        <w:t xml:space="preserve">, Klient </w:t>
      </w:r>
      <w:r>
        <w:rPr>
          <w:rFonts w:ascii="Consolas" w:hAnsi="Consolas" w:cs="Consolas" w:eastAsia="Consolas"/>
          <w:sz w:val="18"/>
        </w:rPr>
        <w:t>DEFAULT</w:t>
      </w:r>
      <w:r>
        <w:t xml:space="preserve">), Art </w:t>
      </w:r>
      <w:r>
        <w:rPr>
          <w:b/>
        </w:rPr>
        <w:t>Lagerort</w:t>
      </w:r>
      <w:r>
        <w:t xml:space="preserve">, Lagerstandort </w:t>
      </w:r>
      <w:r>
        <w:rPr>
          <w:rFonts w:ascii="Consolas" w:hAnsi="Consolas" w:cs="Consolas" w:eastAsia="Consolas"/>
          <w:sz w:val="18"/>
        </w:rPr>
        <w:t>LogiMat</w:t>
      </w:r>
      <w:r>
        <w:t xml:space="preserve"> (Feldnamen im Reiter: </w:t>
      </w:r>
      <w:r>
        <w:rPr>
          <w:b/>
        </w:rPr>
        <w:t>[im System prüfen]</w:t>
      </w:r>
      <w:r>
        <w:t>).</w:t>
      </w:r>
    </w:p>
    <w:p>
      <w:pPr>
        <w:tabs>
          <w:tab w:pos="425" w:val="left"/>
        </w:tabs>
        <w:spacing w:after="60"/>
        <w:ind w:left="425" w:hanging="425"/>
      </w:pPr>
      <w:r>
        <w:rPr>
          <w:b/>
        </w:rPr>
        <w:t>2.</w:t>
        <w:tab/>
      </w:r>
      <w:r>
        <w:t xml:space="preserve">Reiter </w:t>
      </w:r>
      <w:r>
        <w:rPr>
          <w:b/>
        </w:rPr>
        <w:t>Adresse</w:t>
      </w:r>
      <w:r>
        <w:t xml:space="preserve"> → </w:t>
      </w:r>
      <w:r>
        <w:rPr>
          <w:b/>
        </w:rPr>
        <w:t>MD090 Partnerrollenadresse bearbeiten</w:t>
      </w:r>
      <w:r>
        <w:t xml:space="preserve">: Name </w:t>
      </w:r>
      <w:r>
        <w:rPr>
          <w:rFonts w:ascii="Consolas" w:hAnsi="Consolas" w:cs="Consolas" w:eastAsia="Consolas"/>
          <w:sz w:val="18"/>
        </w:rPr>
        <w:t>TEST_WD Lager AG</w:t>
      </w:r>
      <w:r>
        <w:t xml:space="preserve">, Straße </w:t>
      </w:r>
      <w:r>
        <w:rPr>
          <w:rFonts w:ascii="Consolas" w:hAnsi="Consolas" w:cs="Consolas" w:eastAsia="Consolas"/>
          <w:sz w:val="18"/>
        </w:rPr>
        <w:t>Lagerstrasse 1</w:t>
      </w:r>
      <w:r>
        <w:t xml:space="preserve">, PLZ </w:t>
      </w:r>
      <w:r>
        <w:rPr>
          <w:rFonts w:ascii="Consolas" w:hAnsi="Consolas" w:cs="Consolas" w:eastAsia="Consolas"/>
          <w:sz w:val="18"/>
        </w:rPr>
        <w:t>8000</w:t>
      </w:r>
      <w:r>
        <w:t xml:space="preserve">, Stadt </w:t>
      </w:r>
      <w:r>
        <w:rPr>
          <w:rFonts w:ascii="Consolas" w:hAnsi="Consolas" w:cs="Consolas" w:eastAsia="Consolas"/>
          <w:sz w:val="18"/>
        </w:rPr>
        <w:t>Zürich</w:t>
      </w:r>
      <w:r>
        <w:t xml:space="preserve">, Land </w:t>
      </w:r>
      <w:r>
        <w:rPr>
          <w:rFonts w:ascii="Consolas" w:hAnsi="Consolas" w:cs="Consolas" w:eastAsia="Consolas"/>
          <w:sz w:val="18"/>
        </w:rPr>
        <w:t>CH</w:t>
      </w:r>
      <w:r>
        <w:t xml:space="preserve">, Sprache </w:t>
      </w:r>
      <w:r>
        <w:rPr>
          <w:rFonts w:ascii="Consolas" w:hAnsi="Consolas" w:cs="Consolas" w:eastAsia="Consolas"/>
          <w:sz w:val="18"/>
        </w:rPr>
        <w:t>ger</w:t>
      </w:r>
      <w:r>
        <w:t xml:space="preserve">, Zeitzone </w:t>
      </w:r>
      <w:r>
        <w:rPr>
          <w:rFonts w:ascii="Consolas" w:hAnsi="Consolas" w:cs="Consolas" w:eastAsia="Consolas"/>
          <w:sz w:val="18"/>
        </w:rPr>
        <w:t>Europe/Zurich</w:t>
      </w:r>
      <w:r>
        <w:t xml:space="preserve"> (Pflicht: Name, Sprache, Zeitzone).</w:t>
      </w:r>
    </w:p>
    <w:p>
      <w:pPr>
        <w:tabs>
          <w:tab w:pos="425" w:val="left"/>
        </w:tabs>
        <w:spacing w:after="60"/>
        <w:ind w:left="425" w:hanging="425"/>
      </w:pPr>
      <w:r>
        <w:rPr>
          <w:b/>
        </w:rPr>
        <w:t>3.</w:t>
        <w:tab/>
      </w:r>
      <w:r>
        <w:t xml:space="preserve">Speichern, Lieferschein neu erzeugen. Ergebnis Einlagerungslieferschein ADR02 (RM018 108/109): Kopf „TEST_WD Lager AG, Lagerstrasse 1, 8000 Zürich, CH“ → </w:t>
      </w:r>
      <w:r>
        <w:rPr>
          <w:b/>
        </w:rPr>
        <w:t>bestätigt</w:t>
      </w:r>
      <w:r>
        <w:t>.</w:t>
      </w:r>
    </w:p>
    <w:p>
      <w:pPr>
        <w:keepNext/>
      </w:pPr>
      <w:r>
        <w:drawing>
          <wp:inline xmlns:a="http://schemas.openxmlformats.org/drawingml/2006/main" xmlns:pic="http://schemas.openxmlformats.org/drawingml/2006/picture">
            <wp:extent cx="4320000" cy="2247205"/>
            <wp:docPr id="111" name="Picture 111"/>
            <wp:cNvGraphicFramePr>
              <a:graphicFrameLocks noChangeAspect="1"/>
            </wp:cNvGraphicFramePr>
            <a:graphic>
              <a:graphicData uri="http://schemas.openxmlformats.org/drawingml/2006/picture">
                <pic:pic>
                  <pic:nvPicPr>
                    <pic:cNvPr id="0" name="d2_md090_lagerort.png"/>
                    <pic:cNvPicPr/>
                  </pic:nvPicPr>
                  <pic:blipFill>
                    <a:blip r:embed="rId21"/>
                    <a:stretch>
                      <a:fillRect/>
                    </a:stretch>
                  </pic:blipFill>
                  <pic:spPr>
                    <a:xfrm>
                      <a:off x="0" y="0"/>
                      <a:ext cx="4320000" cy="2247205"/>
                    </a:xfrm>
                    <a:prstGeom prst="rect"/>
                  </pic:spPr>
                </pic:pic>
              </a:graphicData>
            </a:graphic>
          </wp:inline>
        </w:drawing>
      </w:r>
    </w:p>
    <w:p>
      <w:pPr>
        <w:pStyle w:val="BeschriftungSSI"/>
      </w:pPr>
      <w:r>
        <w:t>Abb. 8: MD018 › Adresse › MD090 für den Partner TEST_WD_LAGER</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 xml:space="preserve">Einlagerungslieferschein ADR02 in </w:t>
            </w:r>
            <w:r>
              <w:rPr>
                <w:b/>
                <w:sz w:val="19"/>
              </w:rPr>
              <w:t>Deutsch (ger)</w:t>
            </w:r>
            <w:r>
              <w:rPr>
                <w:sz w:val="19"/>
              </w:rPr>
              <w:t xml:space="preserve"> mit Briefkopf „TEST_WD Lager AG“ (RM018 ID 109; Speichern war ausgegraut, vorhanden ist nur die englische Fassung 108).</w:t>
            </w:r>
          </w:p>
        </w:tc>
      </w:tr>
    </w:tbl>
    <w:p>
      <w:pPr>
        <w:spacing w:after="40"/>
      </w:pPr>
    </w:p>
    <w:p>
      <w:r>
        <w:t xml:space="preserve">Ob der </w:t>
      </w:r>
      <w:r>
        <w:rPr>
          <w:b/>
        </w:rPr>
        <w:t>Kommissionierlieferschein</w:t>
      </w:r>
      <w:r>
        <w:t xml:space="preserve"> (Layout 104) den Briefkopf ebenso zeigt: </w:t>
      </w:r>
      <w:r>
        <w:rPr>
          <w:b/>
        </w:rPr>
        <w:t>[im System prüfen]</w:t>
      </w:r>
      <w:r>
        <w:t>.</w:t>
      </w:r>
    </w:p>
    <w:p>
      <w:pPr>
        <w:pStyle w:val="Quelle"/>
      </w:pPr>
      <w:r>
        <w:rPr>
          <w:b/>
        </w:rPr>
        <w:t xml:space="preserve">Quelle: </w:t>
      </w:r>
      <w:r>
        <w:rPr>
          <w:sz w:val="17"/>
        </w:rPr>
        <w:t>TL 18:05, 18:13 (DB); PP ~18:00, Nachtrag 18:13; KA Kap. 10.5; Screenshot 17.10. 18:02</w:t>
      </w:r>
    </w:p>
    <w:p>
      <w:pPr>
        <w:pStyle w:val="Heading2"/>
      </w:pPr>
      <w:r>
        <w:t>6.2 Partnerrollen am Bedarf</w:t>
      </w:r>
    </w:p>
    <w:p>
      <w:r>
        <w:t xml:space="preserve">Die Adressen von Lieferant und Kunde kommen als </w:t>
      </w:r>
      <w:r>
        <w:rPr>
          <w:b/>
        </w:rPr>
        <w:t>Partnerrollen am Bedarf</w:t>
      </w:r>
      <w:r>
        <w:t xml:space="preserve"> per Telegramm-Untersatz:</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843"/>
        <w:gridCol w:w="2179"/>
        <w:gridCol w:w="2502"/>
      </w:tblGrid>
      <w:tr>
        <w:trPr>
          <w:tblHeader w:val="true"/>
        </w:trPr>
        <w:tc>
          <w:tcPr>
            <w:tcW w:type="dxa" w:w="4843"/>
            <w:shd w:val="clear" w:color="auto" w:fill="FEEE19"/>
          </w:tcPr>
          <w:p>
            <w:pPr>
              <w:spacing w:after="0"/>
            </w:pPr>
            <w:r>
              <w:rPr>
                <w:b/>
                <w:sz w:val="17"/>
              </w:rPr>
              <w:t>Rolle (`roleKind`)</w:t>
            </w:r>
          </w:p>
        </w:tc>
        <w:tc>
          <w:tcPr>
            <w:tcW w:type="dxa" w:w="2179"/>
            <w:shd w:val="clear" w:color="auto" w:fill="FEEE19"/>
          </w:tcPr>
          <w:p>
            <w:pPr>
              <w:spacing w:after="0"/>
            </w:pPr>
            <w:r>
              <w:rPr>
                <w:b/>
                <w:sz w:val="17"/>
              </w:rPr>
              <w:t>Einlagerungslieferschein</w:t>
            </w:r>
          </w:p>
        </w:tc>
        <w:tc>
          <w:tcPr>
            <w:tcW w:type="dxa" w:w="2502"/>
            <w:shd w:val="clear" w:color="auto" w:fill="FEEE19"/>
          </w:tcPr>
          <w:p>
            <w:pPr>
              <w:spacing w:after="0"/>
            </w:pPr>
            <w:r>
              <w:rPr>
                <w:b/>
                <w:sz w:val="17"/>
              </w:rPr>
              <w:t>Kommissionierlieferschein</w:t>
            </w:r>
          </w:p>
        </w:tc>
      </w:tr>
      <w:tr>
        <w:tc>
          <w:tcPr>
            <w:tcW w:type="dxa" w:w="4843"/>
          </w:tcPr>
          <w:p>
            <w:pPr>
              <w:spacing w:after="0" w:line="252" w:lineRule="auto"/>
            </w:pPr>
            <w:r>
              <w:rPr>
                <w:rFonts w:ascii="Consolas" w:hAnsi="Consolas" w:cs="Consolas" w:eastAsia="Consolas"/>
                <w:sz w:val="15"/>
              </w:rPr>
              <w:t>SUPPLIER</w:t>
            </w:r>
          </w:p>
        </w:tc>
        <w:tc>
          <w:tcPr>
            <w:tcW w:type="dxa" w:w="2179"/>
          </w:tcPr>
          <w:p>
            <w:pPr>
              <w:spacing w:after="0" w:line="252" w:lineRule="auto"/>
            </w:pPr>
            <w:r>
              <w:rPr>
                <w:b/>
                <w:sz w:val="17"/>
              </w:rPr>
              <w:t>Supplier</w:t>
            </w:r>
            <w:r>
              <w:rPr>
                <w:sz w:val="17"/>
              </w:rPr>
              <w:t xml:space="preserve"> (Lieferant)</w:t>
            </w:r>
          </w:p>
        </w:tc>
        <w:tc>
          <w:tcPr>
            <w:tcW w:type="dxa" w:w="2502"/>
          </w:tcPr>
          <w:p>
            <w:pPr>
              <w:spacing w:after="0" w:line="252" w:lineRule="auto"/>
            </w:pPr>
            <w:r>
              <w:rPr>
                <w:b/>
                <w:sz w:val="17"/>
              </w:rPr>
              <w:t>Supplier</w:t>
            </w:r>
            <w:r>
              <w:rPr>
                <w:sz w:val="17"/>
              </w:rPr>
              <w:t xml:space="preserve"> (Absender, rechts)</w:t>
            </w:r>
          </w:p>
        </w:tc>
      </w:tr>
      <w:tr>
        <w:tc>
          <w:tcPr>
            <w:tcW w:type="dxa" w:w="4843"/>
          </w:tcPr>
          <w:p>
            <w:pPr>
              <w:spacing w:after="0" w:line="252" w:lineRule="auto"/>
            </w:pPr>
            <w:r>
              <w:rPr>
                <w:rFonts w:ascii="Consolas" w:hAnsi="Consolas" w:cs="Consolas" w:eastAsia="Consolas"/>
                <w:sz w:val="15"/>
              </w:rPr>
              <w:t>CONTRACTEE</w:t>
            </w:r>
          </w:p>
        </w:tc>
        <w:tc>
          <w:tcPr>
            <w:tcW w:type="dxa" w:w="2179"/>
          </w:tcPr>
          <w:p>
            <w:pPr>
              <w:spacing w:after="0" w:line="252" w:lineRule="auto"/>
            </w:pPr>
            <w:r>
              <w:rPr>
                <w:b/>
                <w:sz w:val="17"/>
              </w:rPr>
              <w:t>Empfänger</w:t>
            </w:r>
          </w:p>
        </w:tc>
        <w:tc>
          <w:tcPr>
            <w:tcW w:type="dxa" w:w="2502"/>
          </w:tcPr>
          <w:p>
            <w:pPr>
              <w:spacing w:after="0" w:line="252" w:lineRule="auto"/>
            </w:pPr>
            <w:r>
              <w:rPr>
                <w:b/>
                <w:sz w:val="17"/>
              </w:rPr>
              <w:t>Contractee</w:t>
            </w:r>
            <w:r>
              <w:rPr>
                <w:sz w:val="17"/>
              </w:rPr>
              <w:t xml:space="preserve"> (Kunde, links)</w:t>
            </w:r>
          </w:p>
        </w:tc>
      </w:tr>
      <w:tr>
        <w:tc>
          <w:tcPr>
            <w:tcW w:type="dxa" w:w="4843"/>
          </w:tcPr>
          <w:p>
            <w:pPr>
              <w:spacing w:after="0" w:line="252" w:lineRule="auto"/>
            </w:pPr>
            <w:r>
              <w:rPr>
                <w:rFonts w:ascii="Consolas" w:hAnsi="Consolas" w:cs="Consolas" w:eastAsia="Consolas"/>
                <w:sz w:val="15"/>
              </w:rPr>
              <w:t>CONSIGNEE</w:t>
            </w:r>
            <w:r>
              <w:rPr>
                <w:sz w:val="17"/>
              </w:rPr>
              <w:t xml:space="preserve">, </w:t>
            </w:r>
            <w:r>
              <w:rPr>
                <w:rFonts w:ascii="Consolas" w:hAnsi="Consolas" w:cs="Consolas" w:eastAsia="Consolas"/>
                <w:sz w:val="15"/>
              </w:rPr>
              <w:t>FINAL_CONSIGNEE</w:t>
            </w:r>
            <w:r>
              <w:rPr>
                <w:sz w:val="17"/>
              </w:rPr>
              <w:t xml:space="preserve">, </w:t>
            </w:r>
            <w:r>
              <w:rPr>
                <w:rFonts w:ascii="Consolas" w:hAnsi="Consolas" w:cs="Consolas" w:eastAsia="Consolas"/>
                <w:sz w:val="15"/>
              </w:rPr>
              <w:t>ORDERER</w:t>
            </w:r>
            <w:r>
              <w:rPr>
                <w:sz w:val="17"/>
              </w:rPr>
              <w:t xml:space="preserve">, </w:t>
            </w:r>
            <w:r>
              <w:rPr>
                <w:rFonts w:ascii="Consolas" w:hAnsi="Consolas" w:cs="Consolas" w:eastAsia="Consolas"/>
                <w:sz w:val="15"/>
              </w:rPr>
              <w:t>INVOICE_RECIPIENT</w:t>
            </w:r>
          </w:p>
        </w:tc>
        <w:tc>
          <w:tcPr>
            <w:tcW w:type="dxa" w:w="2179"/>
          </w:tcPr>
          <w:p>
            <w:pPr>
              <w:spacing w:after="0" w:line="252" w:lineRule="auto"/>
            </w:pPr>
            <w:r>
              <w:rPr>
                <w:sz w:val="17"/>
              </w:rPr>
              <w:t>gespeichert, nicht gedruckt</w:t>
            </w:r>
          </w:p>
        </w:tc>
        <w:tc>
          <w:tcPr>
            <w:tcW w:type="dxa" w:w="2502"/>
          </w:tcPr>
          <w:p>
            <w:pPr>
              <w:spacing w:after="0" w:line="252" w:lineRule="auto"/>
            </w:pPr>
            <w:r>
              <w:rPr>
                <w:sz w:val="17"/>
              </w:rPr>
              <w:t>gespeichert, nicht gedruckt</w:t>
            </w:r>
          </w:p>
        </w:tc>
      </w:tr>
    </w:tbl>
    <w:p>
      <w:pPr>
        <w:pStyle w:val="BeschriftungSSI"/>
      </w:pPr>
      <w:r>
        <w:t>Tab. 7: Welche Rolle auf welchem Lieferschein erscheint (bestätigt mit ADR01–ADR03)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Abweichung vom Interface Manual</w:t>
            </w:r>
          </w:p>
          <w:p>
            <w:pPr>
              <w:spacing w:after="40"/>
            </w:pPr>
            <w:r>
              <w:rPr>
                <w:sz w:val="19"/>
              </w:rPr>
              <w:t xml:space="preserve">Laut Interface Manual ist </w:t>
            </w:r>
            <w:r>
              <w:rPr>
                <w:rFonts w:ascii="Consolas" w:hAnsi="Consolas" w:cs="Consolas" w:eastAsia="Consolas"/>
                <w:sz w:val="17"/>
              </w:rPr>
              <w:t>CONSIGNEE</w:t>
            </w:r>
            <w:r>
              <w:rPr>
                <w:sz w:val="19"/>
              </w:rPr>
              <w:t xml:space="preserve"> der Warenempfänger. Die Lieferscheine drucken als Empfänger aber </w:t>
            </w:r>
            <w:r>
              <w:rPr>
                <w:b/>
                <w:sz w:val="19"/>
              </w:rPr>
              <w:t>nur `CONTRACTEE`</w:t>
            </w:r>
            <w:r>
              <w:rPr>
                <w:sz w:val="19"/>
              </w:rPr>
              <w:t xml:space="preserve">. Für die Kundenadresse immer </w:t>
            </w:r>
            <w:r>
              <w:rPr>
                <w:rFonts w:ascii="Consolas" w:hAnsi="Consolas" w:cs="Consolas" w:eastAsia="Consolas"/>
                <w:sz w:val="17"/>
              </w:rPr>
              <w:t>CONTRACTEE</w:t>
            </w:r>
            <w:r>
              <w:rPr>
                <w:sz w:val="19"/>
              </w:rPr>
              <w:t xml:space="preserve"> senden, für den Absender </w:t>
            </w:r>
            <w:r>
              <w:rPr>
                <w:rFonts w:ascii="Consolas" w:hAnsi="Consolas" w:cs="Consolas" w:eastAsia="Consolas"/>
                <w:sz w:val="17"/>
              </w:rPr>
              <w:t>SUPPLIER</w:t>
            </w:r>
            <w:r>
              <w:rPr>
                <w:sz w:val="19"/>
              </w:rPr>
              <w:t>. Die Überschriften „Contractee“/„Supplier“ bleiben auch in der deutschen Fassung englisch (Layout).</w:t>
            </w:r>
          </w:p>
        </w:tc>
      </w:tr>
    </w:tbl>
    <w:p>
      <w:pPr>
        <w:spacing w:after="40"/>
      </w:pPr>
    </w:p>
    <w:p>
      <w:pPr>
        <w:keepNext/>
      </w:pPr>
      <w:r>
        <w:drawing>
          <wp:inline xmlns:a="http://schemas.openxmlformats.org/drawingml/2006/main" xmlns:pic="http://schemas.openxmlformats.org/drawingml/2006/picture">
            <wp:extent cx="4320000" cy="2810373"/>
            <wp:docPr id="112" name="Picture 112"/>
            <wp:cNvGraphicFramePr>
              <a:graphicFrameLocks noChangeAspect="1"/>
            </wp:cNvGraphicFramePr>
            <a:graphic>
              <a:graphicData uri="http://schemas.openxmlformats.org/drawingml/2006/picture">
                <pic:pic>
                  <pic:nvPicPr>
                    <pic:cNvPr id="0" name="d2_kls_adr03_de.png"/>
                    <pic:cNvPicPr/>
                  </pic:nvPicPr>
                  <pic:blipFill>
                    <a:blip r:embed="rId22"/>
                    <a:stretch>
                      <a:fillRect/>
                    </a:stretch>
                  </pic:blipFill>
                  <pic:spPr>
                    <a:xfrm>
                      <a:off x="0" y="0"/>
                      <a:ext cx="4320000" cy="2810373"/>
                    </a:xfrm>
                    <a:prstGeom prst="rect"/>
                  </pic:spPr>
                </pic:pic>
              </a:graphicData>
            </a:graphic>
          </wp:inline>
        </w:drawing>
      </w:r>
    </w:p>
    <w:p>
      <w:pPr>
        <w:pStyle w:val="BeschriftungSSI"/>
      </w:pPr>
      <w:r>
        <w:t>Abb. 9: Kommissionierlieferschein ADR03 (ger): links Contractee (Kunde), rechts Supplier (Absender)</w:t>
      </w:r>
    </w:p>
    <w:p>
      <w:pPr>
        <w:keepNext/>
      </w:pPr>
      <w:r>
        <w:drawing>
          <wp:inline xmlns:a="http://schemas.openxmlformats.org/drawingml/2006/main" xmlns:pic="http://schemas.openxmlformats.org/drawingml/2006/picture">
            <wp:extent cx="4320000" cy="2440088"/>
            <wp:docPr id="113" name="Picture 113"/>
            <wp:cNvGraphicFramePr>
              <a:graphicFrameLocks noChangeAspect="1"/>
            </wp:cNvGraphicFramePr>
            <a:graphic>
              <a:graphicData uri="http://schemas.openxmlformats.org/drawingml/2006/picture">
                <pic:pic>
                  <pic:nvPicPr>
                    <pic:cNvPr id="0" name="d2_els_adr02_de.png"/>
                    <pic:cNvPicPr/>
                  </pic:nvPicPr>
                  <pic:blipFill>
                    <a:blip r:embed="rId23"/>
                    <a:stretch>
                      <a:fillRect/>
                    </a:stretch>
                  </pic:blipFill>
                  <pic:spPr>
                    <a:xfrm>
                      <a:off x="0" y="0"/>
                      <a:ext cx="4320000" cy="2440088"/>
                    </a:xfrm>
                    <a:prstGeom prst="rect"/>
                  </pic:spPr>
                </pic:pic>
              </a:graphicData>
            </a:graphic>
          </wp:inline>
        </w:drawing>
      </w:r>
    </w:p>
    <w:p>
      <w:pPr>
        <w:pStyle w:val="BeschriftungSSI"/>
      </w:pPr>
      <w:r>
        <w:t>Abb. 10: Einlagerungslieferschein ADR02 (ger): Supplier (Lieferant) und Empfänger (CONTRACTEE)</w:t>
      </w:r>
    </w:p>
    <w:p>
      <w:pPr>
        <w:pStyle w:val="Quelle"/>
      </w:pPr>
      <w:r>
        <w:rPr>
          <w:b/>
        </w:rPr>
        <w:t xml:space="preserve">Quelle: </w:t>
      </w:r>
      <w:r>
        <w:rPr>
          <w:sz w:val="17"/>
        </w:rPr>
        <w:t>TL 15:58–16:05, 16:15–16:24, 16:29–16:32; LA Kap. 0–3; KA Kap. 10.5</w:t>
      </w:r>
    </w:p>
    <w:p>
      <w:pPr>
        <w:pStyle w:val="Heading2"/>
      </w:pPr>
      <w:r>
        <w:t>6.3 Voraussetzungen und Telegramm</w:t>
      </w:r>
    </w:p>
    <w:p>
      <w:pPr>
        <w:tabs>
          <w:tab w:pos="425" w:val="left"/>
        </w:tabs>
        <w:spacing w:after="60"/>
        <w:ind w:left="425" w:hanging="425"/>
      </w:pPr>
      <w:r>
        <w:rPr>
          <w:b/>
        </w:rPr>
        <w:t>1.</w:t>
        <w:tab/>
      </w:r>
      <w:r>
        <w:t xml:space="preserve">Der Partner muss vorher in </w:t>
      </w:r>
      <w:r>
        <w:rPr>
          <w:b/>
        </w:rPr>
        <w:t>MD018</w:t>
      </w:r>
      <w:r>
        <w:t xml:space="preserve"> existieren (Klient </w:t>
      </w:r>
      <w:r>
        <w:rPr>
          <w:rFonts w:ascii="Consolas" w:hAnsi="Consolas" w:cs="Consolas" w:eastAsia="Consolas"/>
          <w:sz w:val="18"/>
        </w:rPr>
        <w:t>DEFAULT</w:t>
      </w:r>
      <w:r>
        <w:t xml:space="preserve">). Partner lassen sich </w:t>
      </w:r>
      <w:r>
        <w:rPr>
          <w:b/>
        </w:rPr>
        <w:t>nicht</w:t>
      </w:r>
      <w:r>
        <w:t xml:space="preserve"> per Telegramm anlegen.</w:t>
      </w:r>
    </w:p>
    <w:p>
      <w:pPr>
        <w:tabs>
          <w:tab w:pos="425" w:val="left"/>
        </w:tabs>
        <w:spacing w:after="60"/>
        <w:ind w:left="425" w:hanging="425"/>
      </w:pPr>
      <w:r>
        <w:rPr>
          <w:b/>
        </w:rPr>
        <w:t>2.</w:t>
        <w:tab/>
      </w:r>
      <w:r>
        <w:rPr>
          <w:rFonts w:ascii="Consolas" w:hAnsi="Consolas" w:cs="Consolas" w:eastAsia="Consolas"/>
          <w:sz w:val="18"/>
        </w:rPr>
        <w:t>partnerId</w:t>
      </w:r>
      <w:r>
        <w:t xml:space="preserve"> höchstens </w:t>
      </w:r>
      <w:r>
        <w:rPr>
          <w:b/>
        </w:rPr>
        <w:t>15 Zeichen</w:t>
      </w:r>
      <w:r>
        <w:t xml:space="preserve"> (deshalb </w:t>
      </w:r>
      <w:r>
        <w:rPr>
          <w:rFonts w:ascii="Consolas" w:hAnsi="Consolas" w:cs="Consolas" w:eastAsia="Consolas"/>
          <w:sz w:val="18"/>
        </w:rPr>
        <w:t>TEST_WD_LIEF</w:t>
      </w:r>
      <w:r>
        <w:t xml:space="preserve"> statt </w:t>
      </w:r>
      <w:r>
        <w:rPr>
          <w:rFonts w:ascii="Consolas" w:hAnsi="Consolas" w:cs="Consolas" w:eastAsia="Consolas"/>
          <w:sz w:val="18"/>
        </w:rPr>
        <w:t>TEST_WD_LIEFERANT</w:t>
      </w:r>
      <w:r>
        <w:t>).</w:t>
      </w:r>
    </w:p>
    <w:p>
      <w:pPr>
        <w:tabs>
          <w:tab w:pos="425" w:val="left"/>
        </w:tabs>
        <w:spacing w:after="60"/>
        <w:ind w:left="425" w:hanging="425"/>
      </w:pPr>
      <w:r>
        <w:rPr>
          <w:b/>
        </w:rPr>
        <w:t>3.</w:t>
        <w:tab/>
      </w:r>
      <w:r>
        <w:t xml:space="preserve">Untersatz </w:t>
      </w:r>
      <w:r>
        <w:rPr>
          <w:rFonts w:ascii="Consolas" w:hAnsi="Consolas" w:cs="Consolas" w:eastAsia="Consolas"/>
          <w:sz w:val="18"/>
        </w:rPr>
        <w:t>WLSSDPARTNER001</w:t>
      </w:r>
      <w:r>
        <w:t xml:space="preserve"> (Einlagerbedarf </w:t>
      </w:r>
      <w:r>
        <w:rPr>
          <w:rFonts w:ascii="Consolas" w:hAnsi="Consolas" w:cs="Consolas" w:eastAsia="Consolas"/>
          <w:sz w:val="18"/>
        </w:rPr>
        <w:t>WLSSD002</w:t>
      </w:r>
      <w:r>
        <w:t xml:space="preserve">) bzw. </w:t>
      </w:r>
      <w:r>
        <w:rPr>
          <w:rFonts w:ascii="Consolas" w:hAnsi="Consolas" w:cs="Consolas" w:eastAsia="Consolas"/>
          <w:sz w:val="18"/>
        </w:rPr>
        <w:t>WLSPDPARTNER001</w:t>
      </w:r>
      <w:r>
        <w:t xml:space="preserve"> (Kommissionierbedarf </w:t>
      </w:r>
      <w:r>
        <w:rPr>
          <w:rFonts w:ascii="Consolas" w:hAnsi="Consolas" w:cs="Consolas" w:eastAsia="Consolas"/>
          <w:sz w:val="18"/>
        </w:rPr>
        <w:t>WLSPD002</w:t>
      </w:r>
      <w:r>
        <w:t>), je 0…n Einträge.</w:t>
      </w:r>
    </w:p>
    <w:p>
      <w:pPr>
        <w:tabs>
          <w:tab w:pos="425" w:val="left"/>
        </w:tabs>
        <w:spacing w:after="60"/>
        <w:ind w:left="425" w:hanging="425"/>
      </w:pPr>
      <w:r>
        <w:rPr>
          <w:b/>
        </w:rPr>
        <w:t>4.</w:t>
        <w:tab/>
      </w:r>
      <w:r>
        <w:t xml:space="preserve">Pflichtfelder: </w:t>
      </w:r>
      <w:r>
        <w:rPr>
          <w:rFonts w:ascii="Consolas" w:hAnsi="Consolas" w:cs="Consolas" w:eastAsia="Consolas"/>
          <w:sz w:val="18"/>
        </w:rPr>
        <w:t>clientId</w:t>
      </w:r>
      <w:r>
        <w:t xml:space="preserve">, </w:t>
      </w:r>
      <w:r>
        <w:rPr>
          <w:rFonts w:ascii="Consolas" w:hAnsi="Consolas" w:cs="Consolas" w:eastAsia="Consolas"/>
          <w:sz w:val="18"/>
        </w:rPr>
        <w:t>demandNo</w:t>
      </w:r>
      <w:r>
        <w:t xml:space="preserve">, </w:t>
      </w:r>
      <w:r>
        <w:rPr>
          <w:rFonts w:ascii="Consolas" w:hAnsi="Consolas" w:cs="Consolas" w:eastAsia="Consolas"/>
          <w:sz w:val="18"/>
        </w:rPr>
        <w:t>roleKind</w:t>
      </w:r>
      <w:r>
        <w:t xml:space="preserve">, </w:t>
      </w:r>
      <w:r>
        <w:rPr>
          <w:rFonts w:ascii="Consolas" w:hAnsi="Consolas" w:cs="Consolas" w:eastAsia="Consolas"/>
          <w:sz w:val="18"/>
        </w:rPr>
        <w:t>partnerId</w:t>
      </w:r>
      <w:r>
        <w:t xml:space="preserve">, </w:t>
      </w:r>
      <w:r>
        <w:rPr>
          <w:rFonts w:ascii="Consolas" w:hAnsi="Consolas" w:cs="Consolas" w:eastAsia="Consolas"/>
          <w:sz w:val="18"/>
        </w:rPr>
        <w:t>partnerAddrCountryId</w:t>
      </w:r>
      <w:r>
        <w:t xml:space="preserve">, </w:t>
      </w:r>
      <w:r>
        <w:rPr>
          <w:rFonts w:ascii="Consolas" w:hAnsi="Consolas" w:cs="Consolas" w:eastAsia="Consolas"/>
          <w:sz w:val="18"/>
        </w:rPr>
        <w:t>partnerAddrLangId</w:t>
      </w:r>
      <w:r>
        <w:t xml:space="preserve"> (</w:t>
      </w:r>
      <w:r>
        <w:rPr>
          <w:rFonts w:ascii="Consolas" w:hAnsi="Consolas" w:cs="Consolas" w:eastAsia="Consolas"/>
          <w:sz w:val="18"/>
        </w:rPr>
        <w:t>ger</w:t>
      </w:r>
      <w:r>
        <w:t xml:space="preserve">), </w:t>
      </w:r>
      <w:r>
        <w:rPr>
          <w:rFonts w:ascii="Consolas" w:hAnsi="Consolas" w:cs="Consolas" w:eastAsia="Consolas"/>
          <w:sz w:val="18"/>
        </w:rPr>
        <w:t>partnerAddrTimezone</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"WLSPDPARTNER001": [</w:t>
            </w:r>
          </w:p>
          <w:p>
            <w:pPr>
              <w:pStyle w:val="Code"/>
            </w:pPr>
            <w:r>
              <w:t xml:space="preserve">  { "clientId": "DEFAULT", "demandNo": "TEST_WD_PD_P2_ADR03",</w:t>
            </w:r>
          </w:p>
          <w:p>
            <w:pPr>
              <w:pStyle w:val="Code"/>
            </w:pPr>
            <w:r>
              <w:t xml:space="preserve">    "roleKind": "CONTRACTEE", "partnerId": "TEST_WD_KUNDE",</w:t>
            </w:r>
          </w:p>
          <w:p>
            <w:pPr>
              <w:pStyle w:val="Code"/>
            </w:pPr>
            <w:r>
              <w:t xml:space="preserve">    "partnerAddrName": "Kunde CONTRACTEE AG",</w:t>
            </w:r>
          </w:p>
          <w:p>
            <w:pPr>
              <w:pStyle w:val="Code"/>
            </w:pPr>
            <w:r>
              <w:t xml:space="preserve">    "partnerAddrStreet": "Kundenstrasse 5", "partnerAddrZipCode": "3000",</w:t>
            </w:r>
          </w:p>
          <w:p>
            <w:pPr>
              <w:pStyle w:val="Code"/>
            </w:pPr>
            <w:r>
              <w:t xml:space="preserve">    "partnerAddrCity": "Bern", "partnerAddrCountryId": "CH",</w:t>
            </w:r>
          </w:p>
          <w:p>
            <w:pPr>
              <w:pStyle w:val="Code"/>
            </w:pPr>
            <w:r>
              <w:t xml:space="preserve">    "partnerAddrLangId": "ger", "partnerAddrTimezone": "Europe/Zurich" },</w:t>
            </w:r>
          </w:p>
          <w:p>
            <w:pPr>
              <w:pStyle w:val="Code"/>
            </w:pPr>
            <w:r>
              <w:t xml:space="preserve">  { "clientId": "DEFAULT", "demandNo": "TEST_WD_PD_P2_ADR03",</w:t>
            </w:r>
          </w:p>
          <w:p>
            <w:pPr>
              <w:pStyle w:val="Code"/>
            </w:pPr>
            <w:r>
              <w:t xml:space="preserve">    "roleKind": "SUPPLIER", "partnerId": "TEST_WD_KUNDE",</w:t>
            </w:r>
          </w:p>
          <w:p>
            <w:pPr>
              <w:pStyle w:val="Code"/>
            </w:pPr>
            <w:r>
              <w:t xml:space="preserve">    "partnerAddrName": "Absender SUPPLIER AG",</w:t>
            </w:r>
          </w:p>
          <w:p>
            <w:pPr>
              <w:pStyle w:val="Code"/>
            </w:pPr>
            <w:r>
              <w:t xml:space="preserve">    "partnerAddrStreet": "Absenderweg 9", "partnerAddrZipCode": "8000",</w:t>
            </w:r>
          </w:p>
          <w:p>
            <w:pPr>
              <w:pStyle w:val="Code"/>
            </w:pPr>
            <w:r>
              <w:t xml:space="preserve">    "partnerAddrCity": "Zürich", "partnerAddrCountryId": "CH",</w:t>
            </w:r>
          </w:p>
          <w:p>
            <w:pPr>
              <w:pStyle w:val="Code"/>
            </w:pPr>
            <w:r>
              <w:t xml:space="preserve">    "partnerAddrLangId": "ger", "partnerAddrTimezone": "Europe/Zurich" }</w:t>
            </w:r>
          </w:p>
          <w:p>
            <w:pPr>
              <w:pStyle w:val="Code"/>
            </w:pPr>
            <w:r>
              <w:t>]</w:t>
            </w:r>
          </w:p>
        </w:tc>
      </w:tr>
    </w:tbl>
    <w:p>
      <w:pPr>
        <w:pStyle w:val="BeschriftungSSI"/>
      </w:pPr>
      <w:r>
        <w:t>Abb. 11: Untersatz WLSPDPARTNER001 aus ADR03 (Import InSPM 1826, Fertiggestellt; gekürzt)</w:t>
      </w:r>
    </w:p>
    <w:p>
      <w:pPr>
        <w:pStyle w:val="Quelle"/>
      </w:pPr>
      <w:r>
        <w:rPr>
          <w:b/>
        </w:rPr>
        <w:t xml:space="preserve">Quelle: </w:t>
      </w:r>
      <w:r>
        <w:rPr>
          <w:sz w:val="17"/>
        </w:rPr>
        <w:t xml:space="preserve">Datei </w:t>
      </w:r>
      <w:r>
        <w:rPr>
          <w:rFonts w:ascii="Consolas" w:hAnsi="Consolas" w:cs="Consolas" w:eastAsia="Consolas"/>
          <w:sz w:val="15"/>
        </w:rPr>
        <w:t>Import/Phase2/TEST_WD_PD_P2_ADR03_WLSPD002.json</w:t>
      </w:r>
      <w:r>
        <w:rPr>
          <w:sz w:val="17"/>
        </w:rPr>
        <w:t>; TL 15:45–15:54, 16:29–16:32; SI Kap. 1</w:t>
      </w:r>
    </w:p>
    <w:p>
      <w:pPr>
        <w:pStyle w:val="Heading1"/>
      </w:pPr>
      <w:r>
        <w:t>7 Packliste</w:t>
      </w:r>
    </w:p>
    <w:p>
      <w:pPr>
        <w:pStyle w:val="ListBullet"/>
      </w:pPr>
      <w:r>
        <w:t xml:space="preserve">Entsteht </w:t>
      </w:r>
      <w:r>
        <w:rPr>
          <w:b/>
        </w:rPr>
        <w:t>automatisch beim Abschluss</w:t>
      </w:r>
      <w:r>
        <w:t xml:space="preserve"> eines Kommissionierauftrags, wenn am Kommissionierbedarfstyp </w:t>
      </w:r>
      <w:r>
        <w:rPr>
          <w:b/>
        </w:rPr>
        <w:t>Packliste drucken</w:t>
      </w:r>
      <w:r>
        <w:t xml:space="preserve"> an ist (SHPG und „Kommissionieren“: an).</w:t>
      </w:r>
    </w:p>
    <w:p>
      <w:pPr>
        <w:pStyle w:val="ListBullet"/>
      </w:pPr>
      <w:r>
        <w:t>Touch-Meldung beim Einzelauftrag: „Bericht Packliste wurde für 'TEST_WD_PD_P2_01' generiert.“ Bei Multi-Order kommt keine Meldung, die Packlisten entstehen trotzdem (RM018 59–66).</w:t>
      </w:r>
    </w:p>
    <w:p>
      <w:pPr>
        <w:pStyle w:val="ListBullet"/>
      </w:pPr>
      <w:r>
        <w:t xml:space="preserve">Ohne passenden Drucker: RM023 Status </w:t>
      </w:r>
      <w:r>
        <w:rPr>
          <w:b/>
        </w:rPr>
        <w:t>Fehler</w:t>
      </w:r>
      <w:r>
        <w:t>, Statusmeldung „Rendering erfolgreich“, Verteilung „NEW“. Das PDF steht trotzdem in RM018 (eng-US + ger) und kann gespeichert werden (Kap. 4.2).</w:t>
      </w:r>
    </w:p>
    <w:p>
      <w:pPr>
        <w:keepNext/>
      </w:pPr>
      <w:r>
        <w:drawing>
          <wp:inline xmlns:a="http://schemas.openxmlformats.org/drawingml/2006/main" xmlns:pic="http://schemas.openxmlformats.org/drawingml/2006/picture">
            <wp:extent cx="4320000" cy="1889407"/>
            <wp:docPr id="114" name="Picture 114"/>
            <wp:cNvGraphicFramePr>
              <a:graphicFrameLocks noChangeAspect="1"/>
            </wp:cNvGraphicFramePr>
            <a:graphic>
              <a:graphicData uri="http://schemas.openxmlformats.org/drawingml/2006/picture">
                <pic:pic>
                  <pic:nvPicPr>
                    <pic:cNvPr id="0" name="d2_packliste_man01_de.png"/>
                    <pic:cNvPicPr/>
                  </pic:nvPicPr>
                  <pic:blipFill>
                    <a:blip r:embed="rId24"/>
                    <a:stretch>
                      <a:fillRect/>
                    </a:stretch>
                  </pic:blipFill>
                  <pic:spPr>
                    <a:xfrm>
                      <a:off x="0" y="0"/>
                      <a:ext cx="4320000" cy="1889407"/>
                    </a:xfrm>
                    <a:prstGeom prst="rect"/>
                  </pic:spPr>
                </pic:pic>
              </a:graphicData>
            </a:graphic>
          </wp:inline>
        </w:drawing>
      </w:r>
    </w:p>
    <w:p>
      <w:pPr>
        <w:pStyle w:val="BeschriftungSSI"/>
      </w:pPr>
      <w:r>
        <w:t>Abb. 12: Packliste TEST_WD_PD_MAN_01 (ger) mit externer Ladeeinheit TEST_WD_MAN01</w:t>
      </w:r>
    </w:p>
    <w:p>
      <w:pPr>
        <w:pStyle w:val="Quelle"/>
      </w:pPr>
      <w:r>
        <w:rPr>
          <w:b/>
        </w:rPr>
        <w:t xml:space="preserve">Quelle: </w:t>
      </w:r>
      <w:r>
        <w:rPr>
          <w:sz w:val="17"/>
        </w:rPr>
        <w:t>TL 14:37–14:44, 15:10–15:30, 16:05–16:12, 17:28</w:t>
      </w:r>
    </w:p>
    <w:p>
      <w:pPr>
        <w:pStyle w:val="Heading1"/>
      </w:pPr>
      <w:r>
        <w:t>8 Sprache: nur Deutsch</w:t>
      </w:r>
    </w:p>
    <w:p>
      <w:pPr>
        <w:pStyle w:val="ListBullet"/>
      </w:pPr>
      <w:r>
        <w:t xml:space="preserve">Die Standardkonfigurationen haben in </w:t>
      </w:r>
      <w:r>
        <w:rPr>
          <w:b/>
        </w:rPr>
        <w:t>RM005</w:t>
      </w:r>
      <w:r>
        <w:t xml:space="preserve"> › Reiter </w:t>
      </w:r>
      <w:r>
        <w:rPr>
          <w:b/>
        </w:rPr>
        <w:t>Sprache</w:t>
      </w:r>
      <w:r>
        <w:t xml:space="preserve"> die Zeilen </w:t>
      </w:r>
      <w:r>
        <w:rPr>
          <w:rFonts w:ascii="Consolas" w:hAnsi="Consolas" w:cs="Consolas" w:eastAsia="Consolas"/>
          <w:sz w:val="18"/>
        </w:rPr>
        <w:t>eng-US</w:t>
      </w:r>
      <w:r>
        <w:t xml:space="preserve"> und </w:t>
      </w:r>
      <w:r>
        <w:rPr>
          <w:rFonts w:ascii="Consolas" w:hAnsi="Consolas" w:cs="Consolas" w:eastAsia="Consolas"/>
          <w:sz w:val="18"/>
        </w:rPr>
        <w:t>ger</w:t>
      </w:r>
      <w:r>
        <w:t xml:space="preserve">. </w:t>
      </w:r>
      <w:r>
        <w:rPr>
          <w:b/>
        </w:rPr>
        <w:t>Datensatz löschen</w:t>
      </w:r>
      <w:r>
        <w:t xml:space="preserve"> ist an Standardkonfigurationen gesperrt. RM010 hat kein Sprachfeld.</w:t>
      </w:r>
    </w:p>
    <w:p>
      <w:pPr>
        <w:pStyle w:val="ListBullet"/>
      </w:pPr>
      <w:r>
        <w:t xml:space="preserve">RM100 erzeugt deshalb immer </w:t>
      </w:r>
      <w:r>
        <w:rPr>
          <w:b/>
        </w:rPr>
        <w:t>zwei Dokumente</w:t>
      </w:r>
      <w:r>
        <w:t xml:space="preserve"> (eng-US + ger). Eine eigene Kopie nur mit </w:t>
      </w:r>
      <w:r>
        <w:rPr>
          <w:rFonts w:ascii="Consolas" w:hAnsi="Consolas" w:cs="Consolas" w:eastAsia="Consolas"/>
          <w:sz w:val="18"/>
        </w:rPr>
        <w:t>ger</w:t>
      </w:r>
      <w:r>
        <w:t xml:space="preserve"> wirkt beim manuellen Druck nur, wenn die </w:t>
      </w:r>
      <w:r>
        <w:rPr>
          <w:b/>
        </w:rPr>
        <w:t>erste kriterienlose RM010-Zeile</w:t>
      </w:r>
      <w:r>
        <w:t xml:space="preserve"> auf die Kopie zeigt (Kap. 3).</w:t>
      </w:r>
    </w:p>
    <w:p>
      <w:pPr>
        <w:pStyle w:val="ListBullet"/>
      </w:pPr>
      <w:r>
        <w:t>Artikel haben nur deutsche Texte (</w:t>
      </w:r>
      <w:r>
        <w:rPr>
          <w:rFonts w:ascii="Consolas" w:hAnsi="Consolas" w:cs="Consolas" w:eastAsia="Consolas"/>
          <w:sz w:val="18"/>
        </w:rPr>
        <w:t>ger</w:t>
      </w:r>
      <w:r>
        <w:t xml:space="preserve">). Ein Druck in </w:t>
      </w:r>
      <w:r>
        <w:rPr>
          <w:rFonts w:ascii="Consolas" w:hAnsi="Consolas" w:cs="Consolas" w:eastAsia="Consolas"/>
          <w:sz w:val="18"/>
        </w:rPr>
        <w:t>eng-US</w:t>
      </w:r>
      <w:r>
        <w:t xml:space="preserve"> zeigt keine Artikelbezeichnung (Beispiel Kommissionieretikett RM018 71). Für Etiketten deshalb nur </w:t>
      </w:r>
      <w:r>
        <w:rPr>
          <w:rFonts w:ascii="Consolas" w:hAnsi="Consolas" w:cs="Consolas" w:eastAsia="Consolas"/>
          <w:sz w:val="18"/>
        </w:rPr>
        <w:t>ger</w:t>
      </w:r>
      <w:r>
        <w:t>.</w:t>
      </w:r>
    </w:p>
    <w:p>
      <w:pPr>
        <w:keepNext/>
      </w:pPr>
      <w:r>
        <w:drawing>
          <wp:inline xmlns:a="http://schemas.openxmlformats.org/drawingml/2006/main" xmlns:pic="http://schemas.openxmlformats.org/drawingml/2006/picture">
            <wp:extent cx="5400000" cy="2877188"/>
            <wp:docPr id="115" name="Picture 115"/>
            <wp:cNvGraphicFramePr>
              <a:graphicFrameLocks noChangeAspect="1"/>
            </wp:cNvGraphicFramePr>
            <a:graphic>
              <a:graphicData uri="http://schemas.openxmlformats.org/drawingml/2006/picture">
                <pic:pic>
                  <pic:nvPicPr>
                    <pic:cNvPr id="0" name="d2_rm005_sprache.png"/>
                    <pic:cNvPicPr/>
                  </pic:nvPicPr>
                  <pic:blipFill>
                    <a:blip r:embed="rId25"/>
                    <a:stretch>
                      <a:fillRect/>
                    </a:stretch>
                  </pic:blipFill>
                  <pic:spPr>
                    <a:xfrm>
                      <a:off x="0" y="0"/>
                      <a:ext cx="5400000" cy="2877188"/>
                    </a:xfrm>
                    <a:prstGeom prst="rect"/>
                  </pic:spPr>
                </pic:pic>
              </a:graphicData>
            </a:graphic>
          </wp:inline>
        </w:drawing>
      </w:r>
    </w:p>
    <w:p>
      <w:pPr>
        <w:pStyle w:val="BeschriftungSSI"/>
      </w:pPr>
      <w:r>
        <w:t>Abb. 13: RM005 › Sprache – Zeilen eng-US und ger, „Datensatz löschen“ gesperrt (markiert)</w:t>
      </w:r>
    </w:p>
    <w:p>
      <w:r>
        <w:t>Heute funktioniert: deutsche Fassung aus RM018 speichern (Kap. 4.2). Nur Deutsch dauerhaft = Standardänderung (RM010-Zeile umstellen) → Entscheid Marek.</w:t>
      </w:r>
    </w:p>
    <w:p>
      <w:pPr>
        <w:pStyle w:val="Quelle"/>
      </w:pPr>
      <w:r>
        <w:rPr>
          <w:b/>
        </w:rPr>
        <w:t xml:space="preserve">Quelle: </w:t>
      </w:r>
      <w:r>
        <w:rPr>
          <w:sz w:val="17"/>
        </w:rPr>
        <w:t>TL 16:15–16:57, 22:02–22:03; PP 16:36–16:48; Screenshot 17.10. 16:31</w:t>
      </w:r>
    </w:p>
    <w:p>
      <w:pPr>
        <w:pStyle w:val="Heading1"/>
      </w:pPr>
      <w:r>
        <w:t>9 Layout und Logo (RM003)</w:t>
      </w:r>
    </w:p>
    <w:p>
      <w:pPr>
        <w:pStyle w:val="Heading2"/>
      </w:pPr>
      <w:r>
        <w:t>9.1 Aufbau eines Layouts</w:t>
      </w:r>
    </w:p>
    <w:p>
      <w:r>
        <w:t xml:space="preserve">Ein HTML-Layout wird in </w:t>
      </w:r>
      <w:r>
        <w:rPr>
          <w:b/>
        </w:rPr>
        <w:t>RM003</w:t>
      </w:r>
      <w:r>
        <w:t xml:space="preserve"> als ZIP exportiert (Version markieren → Rechtsklick </w:t>
      </w:r>
      <w:r>
        <w:rPr>
          <w:b/>
        </w:rPr>
        <w:t>Layout in Datei exportieren…</w:t>
      </w:r>
      <w:r>
        <w:t xml:space="preserve"> → </w:t>
      </w:r>
      <w:r>
        <w:rPr>
          <w:b/>
        </w:rPr>
        <w:t>FW010</w:t>
      </w:r>
      <w:r>
        <w:t xml:space="preserve"> → </w:t>
      </w:r>
      <w:r>
        <w:rPr>
          <w:b/>
        </w:rPr>
        <w:t>Download</w:t>
      </w:r>
      <w:r>
        <w:t xml:space="preserve">). Inhalt am Beispiel Kommissionierlieferschein: </w:t>
      </w:r>
      <w:r>
        <w:rPr>
          <w:rFonts w:ascii="Consolas" w:hAnsi="Consolas" w:cs="Consolas" w:eastAsia="Consolas"/>
          <w:sz w:val="18"/>
        </w:rPr>
        <w:t>logimatpickingdeliverynote.html</w:t>
      </w:r>
      <w:r>
        <w:t xml:space="preserve">, </w:t>
      </w:r>
      <w:r>
        <w:rPr>
          <w:rFonts w:ascii="Consolas" w:hAnsi="Consolas" w:cs="Consolas" w:eastAsia="Consolas"/>
          <w:sz w:val="18"/>
        </w:rPr>
        <w:t>a4label.css</w:t>
      </w:r>
      <w:r>
        <w:t xml:space="preserve">, </w:t>
      </w:r>
      <w:r>
        <w:rPr>
          <w:rFonts w:ascii="Consolas" w:hAnsi="Consolas" w:cs="Consolas" w:eastAsia="Consolas"/>
          <w:sz w:val="18"/>
        </w:rPr>
        <w:t>flying-saucer-header-footer.css</w:t>
      </w:r>
      <w:r>
        <w:t xml:space="preserve">, </w:t>
      </w:r>
      <w:r>
        <w:rPr>
          <w:rFonts w:ascii="Consolas" w:hAnsi="Consolas" w:cs="Consolas" w:eastAsia="Consolas"/>
          <w:sz w:val="18"/>
        </w:rPr>
        <w:t>ssiTransparent.png</w:t>
      </w:r>
      <w:r>
        <w:t xml:space="preserve"> (Logo oben rechts, 250 × 25 px), </w:t>
      </w:r>
      <w:r>
        <w:rPr>
          <w:rFonts w:ascii="Consolas" w:hAnsi="Consolas" w:cs="Consolas" w:eastAsia="Consolas"/>
          <w:sz w:val="18"/>
        </w:rPr>
        <w:t>wamasLogo.png</w:t>
      </w:r>
      <w:r>
        <w:t xml:space="preserve"> (Fußzeile).</w:t>
      </w:r>
    </w:p>
    <w:p>
      <w:pPr>
        <w:keepNext/>
      </w:pPr>
      <w:r>
        <w:drawing>
          <wp:inline xmlns:a="http://schemas.openxmlformats.org/drawingml/2006/main" xmlns:pic="http://schemas.openxmlformats.org/drawingml/2006/picture">
            <wp:extent cx="5400000" cy="2321194"/>
            <wp:docPr id="116" name="Picture 116"/>
            <wp:cNvGraphicFramePr>
              <a:graphicFrameLocks noChangeAspect="1"/>
            </wp:cNvGraphicFramePr>
            <a:graphic>
              <a:graphicData uri="http://schemas.openxmlformats.org/drawingml/2006/picture">
                <pic:pic>
                  <pic:nvPicPr>
                    <pic:cNvPr id="0" name="d2_rm003.png"/>
                    <pic:cNvPicPr/>
                  </pic:nvPicPr>
                  <pic:blipFill>
                    <a:blip r:embed="rId26"/>
                    <a:stretch>
                      <a:fillRect/>
                    </a:stretch>
                  </pic:blipFill>
                  <pic:spPr>
                    <a:xfrm>
                      <a:off x="0" y="0"/>
                      <a:ext cx="5400000" cy="2321194"/>
                    </a:xfrm>
                    <a:prstGeom prst="rect"/>
                  </pic:spPr>
                </pic:pic>
              </a:graphicData>
            </a:graphic>
          </wp:inline>
        </w:drawing>
      </w:r>
    </w:p>
    <w:p>
      <w:pPr>
        <w:pStyle w:val="BeschriftungSSI"/>
      </w:pPr>
      <w:r>
        <w:t>Abb. 14: RM003 Dokumentlayout pflegen – HTML- und ZPL-II-Layouts mit Auflösung und Seitengröße</w:t>
      </w:r>
    </w:p>
    <w:p>
      <w:pPr>
        <w:pStyle w:val="Quelle"/>
      </w:pPr>
      <w:r>
        <w:rPr>
          <w:b/>
        </w:rPr>
        <w:t xml:space="preserve">Quelle: </w:t>
      </w:r>
      <w:r>
        <w:rPr>
          <w:sz w:val="17"/>
        </w:rPr>
        <w:t>TL 16:15–16:24; LAY Kap. 2; Screenshot 17.10. 16:23</w:t>
      </w:r>
    </w:p>
    <w:p>
      <w:pPr>
        <w:pStyle w:val="Heading2"/>
      </w:pPr>
      <w:r>
        <w:t>9.2 Kundenlogo einsetzen</w:t>
      </w:r>
    </w:p>
    <w:p>
      <w:pPr>
        <w:tabs>
          <w:tab w:pos="425" w:val="left"/>
        </w:tabs>
        <w:spacing w:after="60"/>
        <w:ind w:left="425" w:hanging="425"/>
      </w:pPr>
      <w:r>
        <w:rPr>
          <w:b/>
        </w:rPr>
        <w:t>1.</w:t>
        <w:tab/>
      </w:r>
      <w:r>
        <w:t xml:space="preserve">ZIP flach entpacken, Kundenlogo als PNG (transparent) in </w:t>
      </w:r>
      <w:r>
        <w:rPr>
          <w:b/>
        </w:rPr>
        <w:t>`ssiTransparent.png`</w:t>
      </w:r>
      <w:r>
        <w:t xml:space="preserve"> umbenennen und die Datei ersetzen.</w:t>
      </w:r>
    </w:p>
    <w:p>
      <w:pPr>
        <w:tabs>
          <w:tab w:pos="425" w:val="left"/>
        </w:tabs>
        <w:spacing w:after="60"/>
        <w:ind w:left="425" w:hanging="425"/>
      </w:pPr>
      <w:r>
        <w:rPr>
          <w:b/>
        </w:rPr>
        <w:t>2.</w:t>
        <w:tab/>
      </w:r>
      <w:r>
        <w:t xml:space="preserve">Ist das Logo höher als das SSI-Logo: in der HTML-Datei </w:t>
      </w:r>
      <w:r>
        <w:rPr>
          <w:rFonts w:ascii="Consolas" w:hAnsi="Consolas" w:cs="Consolas" w:eastAsia="Consolas"/>
          <w:sz w:val="18"/>
        </w:rPr>
        <w:t>width="180px"</w:t>
      </w:r>
      <w:r>
        <w:t xml:space="preserve"> durch </w:t>
      </w:r>
      <w:r>
        <w:rPr>
          <w:rFonts w:ascii="Consolas" w:hAnsi="Consolas" w:cs="Consolas" w:eastAsia="Consolas"/>
          <w:sz w:val="18"/>
        </w:rPr>
        <w:t>height="45px"</w:t>
      </w:r>
      <w:r>
        <w:t xml:space="preserve"> ersetzen. </w:t>
      </w:r>
      <w:r>
        <w:rPr>
          <w:b/>
        </w:rPr>
        <w:t>45 px ist das Maximum</w:t>
      </w:r>
      <w:r>
        <w:t>, 60 px überlappt den Adressblock (lokal gerendert).</w:t>
      </w:r>
    </w:p>
    <w:p>
      <w:pPr>
        <w:tabs>
          <w:tab w:pos="425" w:val="left"/>
        </w:tabs>
        <w:spacing w:after="60"/>
        <w:ind w:left="425" w:hanging="425"/>
      </w:pPr>
      <w:r>
        <w:rPr>
          <w:b/>
        </w:rPr>
        <w:t>3.</w:t>
        <w:tab/>
      </w:r>
      <w:r>
        <w:t>Alle Dateien flach zippen (ohne Unterordner).</w:t>
      </w:r>
    </w:p>
    <w:p>
      <w:pPr>
        <w:tabs>
          <w:tab w:pos="425" w:val="left"/>
        </w:tabs>
        <w:spacing w:after="60"/>
        <w:ind w:left="425" w:hanging="425"/>
      </w:pPr>
      <w:r>
        <w:rPr>
          <w:b/>
        </w:rPr>
        <w:t>4.</w:t>
        <w:tab/>
      </w:r>
      <w:r>
        <w:t xml:space="preserve">Import in RM003 über das Feld der Hauptdatei → neue Version. </w:t>
      </w:r>
      <w:r>
        <w:rPr>
          <w:b/>
        </w:rPr>
        <w:t>Noch nicht live getestet</w:t>
      </w:r>
      <w:r>
        <w:t>: ob RM003 das ZIP annimmt, ob RM005 auf die neue Version umgestellt werden muss. Für Kunden eine eigene Kopie verwenden, Original nicht überschreiben.</w:t>
      </w:r>
    </w:p>
    <w:p>
      <w:r>
        <w:t>Testkopien mit Lely-Logo liegen vor (</w:t>
      </w:r>
      <w:r>
        <w:rPr>
          <w:rFonts w:ascii="Consolas" w:hAnsi="Consolas" w:cs="Consolas" w:eastAsia="Consolas"/>
          <w:sz w:val="18"/>
        </w:rPr>
        <w:t>LELY_STORAGEDELIVERYNOTE_v2.zip</w:t>
      </w:r>
      <w:r>
        <w:t xml:space="preserve">, </w:t>
      </w:r>
      <w:r>
        <w:rPr>
          <w:rFonts w:ascii="Consolas" w:hAnsi="Consolas" w:cs="Consolas" w:eastAsia="Consolas"/>
          <w:sz w:val="18"/>
        </w:rPr>
        <w:t>LELY_PICKINGDELIVERYNOTE_v2.zip</w:t>
      </w:r>
      <w:r>
        <w:t>), noch nicht hochgeladen.</w:t>
      </w:r>
    </w:p>
    <w:p>
      <w:pPr>
        <w:pStyle w:val="Quelle"/>
      </w:pPr>
      <w:r>
        <w:rPr>
          <w:b/>
        </w:rPr>
        <w:t xml:space="preserve">Quelle: </w:t>
      </w:r>
      <w:r>
        <w:rPr>
          <w:sz w:val="17"/>
        </w:rPr>
        <w:t>TL 16:15–16:45; LAY Kap. 1, 3; KA Kap. 10.7</w:t>
      </w:r>
    </w:p>
    <w:p>
      <w:pPr>
        <w:pStyle w:val="Heading1"/>
      </w:pPr>
      <w:r>
        <w:t>10 Etiketten</w:t>
      </w:r>
    </w:p>
    <w:p>
      <w:pPr>
        <w:pStyle w:val="ListBullet"/>
      </w:pPr>
      <w:r>
        <w:rPr>
          <w:b/>
        </w:rPr>
        <w:t>PDF-Etiketten</w:t>
      </w:r>
      <w:r>
        <w:t xml:space="preserve"> (HTML-Layout, A4, ein Etikett je Seite) wurden als PDF erzeugt: Artikeletikett, Lagerplatzetikett, LE-Etikett, Kommissionieretikett, generisches Etikett (RM500).</w:t>
      </w:r>
    </w:p>
    <w:p>
      <w:pPr>
        <w:pStyle w:val="ListBullet"/>
      </w:pPr>
      <w:r>
        <w:rPr>
          <w:b/>
        </w:rPr>
        <w:t>ZPL-Etiketten</w:t>
      </w:r>
      <w:r>
        <w:t xml:space="preserve"> auf dem Zebra ZD410: siehe eigene Anleitung „Etikettendruck einrichten – Zebra ZD410 (ZPL)“. Kurz: Typ </w:t>
      </w:r>
      <w:r>
        <w:rPr>
          <w:rFonts w:ascii="Consolas" w:hAnsi="Consolas" w:cs="Consolas" w:eastAsia="Consolas"/>
          <w:sz w:val="18"/>
        </w:rPr>
        <w:t>ZPL_300</w:t>
      </w:r>
      <w:r>
        <w:t xml:space="preserve">, nur 300-dpi-Layouts, erste kriterienlose RM010-Zeile auf die ZPL-Konfiguration, Sprache nur </w:t>
      </w:r>
      <w:r>
        <w:rPr>
          <w:rFonts w:ascii="Consolas" w:hAnsi="Consolas" w:cs="Consolas" w:eastAsia="Consolas"/>
          <w:sz w:val="18"/>
        </w:rPr>
        <w:t>ger</w:t>
      </w:r>
      <w:r>
        <w:t>.</w:t>
      </w:r>
    </w:p>
    <w:p>
      <w:pPr>
        <w:pStyle w:val="ListBullet"/>
      </w:pPr>
      <w:r>
        <w:rPr>
          <w:b/>
        </w:rPr>
        <w:t>Kommissionieretikett</w:t>
      </w:r>
      <w:r>
        <w:t xml:space="preserve"> RM018 71 (eng-US, 15:39): nur Nummern, kein Barcode-Bild, keine Bezeichnung. Vermutete Ursache: Druck in eng-US, Artikel nur </w:t>
      </w:r>
      <w:r>
        <w:rPr>
          <w:rFonts w:ascii="Consolas" w:hAnsi="Consolas" w:cs="Consolas" w:eastAsia="Consolas"/>
          <w:sz w:val="18"/>
        </w:rPr>
        <w:t>ger</w:t>
      </w:r>
      <w:r>
        <w:t>. Bestätigung mit der deutschen Kopie offen.</w:t>
      </w:r>
    </w:p>
    <w:p>
      <w:pPr>
        <w:pStyle w:val="ListBullet"/>
      </w:pPr>
      <w:r>
        <w:rPr>
          <w:b/>
        </w:rPr>
        <w:t>Massendruck Lagerplatzetiketten</w:t>
      </w:r>
      <w:r>
        <w:t xml:space="preserve">: Bei Mehrfachauswahl in WH004 öffnet sich </w:t>
      </w:r>
      <w:r>
        <w:rPr>
          <w:b/>
        </w:rPr>
        <w:t>je Etikett ein RM100</w:t>
      </w:r>
      <w:r>
        <w:t>. Es gibt keine Einstellung, die RM100 unterdrückt (kein Parameter in FW028, kein Feld in RM005/RM010), und keinen Sammel-Dokumenttyp. Touch LM044 druckt ohne Dialog, aber nur einen Platz je Tipp. Ausweichlösung: Plätze in WH004/LM127 filtern, exportieren und mit ZebraDesigner (CSV als Datenquelle) drucken; Barcode vorher am WAMAS-Etikett prüfen. Live-Test L-00 bis L-10 offen.</w:t>
      </w:r>
    </w:p>
    <w:p>
      <w:pPr>
        <w:keepNext/>
      </w:pPr>
      <w:r>
        <w:drawing>
          <wp:inline xmlns:a="http://schemas.openxmlformats.org/drawingml/2006/main" xmlns:pic="http://schemas.openxmlformats.org/drawingml/2006/picture">
            <wp:extent cx="3600000" cy="763516"/>
            <wp:docPr id="117" name="Picture 117"/>
            <wp:cNvGraphicFramePr>
              <a:graphicFrameLocks noChangeAspect="1"/>
            </wp:cNvGraphicFramePr>
            <a:graphic>
              <a:graphicData uri="http://schemas.openxmlformats.org/drawingml/2006/picture">
                <pic:pic>
                  <pic:nvPicPr>
                    <pic:cNvPr id="0" name="d2_lagerplatzetikett_de.png"/>
                    <pic:cNvPicPr/>
                  </pic:nvPicPr>
                  <pic:blipFill>
                    <a:blip r:embed="rId27"/>
                    <a:stretch>
                      <a:fillRect/>
                    </a:stretch>
                  </pic:blipFill>
                  <pic:spPr>
                    <a:xfrm>
                      <a:off x="0" y="0"/>
                      <a:ext cx="3600000" cy="763516"/>
                    </a:xfrm>
                    <a:prstGeom prst="rect"/>
                  </pic:spPr>
                </pic:pic>
              </a:graphicData>
            </a:graphic>
          </wp:inline>
        </w:drawing>
      </w:r>
    </w:p>
    <w:p>
      <w:pPr>
        <w:pStyle w:val="BeschriftungSSI"/>
      </w:pPr>
      <w:r>
        <w:t>Abb. 15: Lagerplatzetikett ZONEA-51-001-001 als PDF (Ausschnitt)</w:t>
      </w:r>
    </w:p>
    <w:p>
      <w:pPr>
        <w:pStyle w:val="Quelle"/>
      </w:pPr>
      <w:r>
        <w:rPr>
          <w:b/>
        </w:rPr>
        <w:t xml:space="preserve">Quelle: </w:t>
      </w:r>
      <w:r>
        <w:rPr>
          <w:sz w:val="17"/>
        </w:rPr>
        <w:t>TL 15:10–15:40, 22:02–22:03; LPE Kap. 1–5; DH10 Kap. 8</w:t>
      </w:r>
    </w:p>
    <w:p>
      <w:pPr>
        <w:pStyle w:val="Heading1"/>
      </w:pPr>
      <w:r>
        <w:t>11 Touch und Mobile</w:t>
      </w:r>
    </w:p>
    <w:p>
      <w:pPr>
        <w:pStyle w:val="ListBullet"/>
      </w:pPr>
      <w:r>
        <w:rPr>
          <w:b/>
        </w:rPr>
        <w:t>Touch</w:t>
      </w:r>
      <w:r>
        <w:t>: kein Drucker- oder Layoutdialog. Druck-Symbole in der unteren Leiste (z. B. LM035, LM108), LM040 › Übersicht Aufträge, LM044, LM045. Es gelten Konfiguration und Standarddrucker. Meldungen erscheinen oben im Touch (Abb. 7).</w:t>
      </w:r>
    </w:p>
    <w:p>
      <w:pPr>
        <w:pStyle w:val="ListBullet"/>
      </w:pPr>
      <w:r>
        <w:rPr>
          <w:b/>
        </w:rPr>
        <w:t>Mobile</w:t>
      </w:r>
      <w:r>
        <w:t xml:space="preserve">: Im Handbuch ist keine Druckfunktion beschrieben. Das Menü </w:t>
      </w:r>
      <w:r>
        <w:rPr>
          <w:b/>
        </w:rPr>
        <w:t>Tätigkeiten</w:t>
      </w:r>
      <w:r>
        <w:t xml:space="preserve"> (Einlagerung, Kommissionierung, Inventur, Spontan, Stammdaten) hat keinen Druck-Punkt; die Untermenüs sind nicht vollständig geprüft </w:t>
      </w:r>
      <w:r>
        <w:rPr>
          <w:b/>
        </w:rPr>
        <w:t>[im System prüfen]</w:t>
      </w:r>
      <w:r>
        <w:t xml:space="preserve">. Zum Prüfen von Barcodes auf Etiketten eignet sich </w:t>
      </w:r>
      <w:r>
        <w:rPr>
          <w:b/>
        </w:rPr>
        <w:t>Stammdaten › LE/LP/Artikelinfo</w:t>
      </w:r>
      <w:r>
        <w:t xml:space="preserve"> (MFW005).</w:t>
      </w:r>
    </w:p>
    <w:p>
      <w:pPr>
        <w:keepNext/>
      </w:pPr>
      <w:r>
        <w:drawing>
          <wp:inline xmlns:a="http://schemas.openxmlformats.org/drawingml/2006/main" xmlns:pic="http://schemas.openxmlformats.org/drawingml/2006/picture">
            <wp:extent cx="3600000" cy="540000"/>
            <wp:docPr id="118" name="Picture 118"/>
            <wp:cNvGraphicFramePr>
              <a:graphicFrameLocks noChangeAspect="1"/>
            </wp:cNvGraphicFramePr>
            <a:graphic>
              <a:graphicData uri="http://schemas.openxmlformats.org/drawingml/2006/picture">
                <pic:pic>
                  <pic:nvPicPr>
                    <pic:cNvPr id="0" name="d2_mobile_taetigkeiten.png"/>
                    <pic:cNvPicPr/>
                  </pic:nvPicPr>
                  <pic:blipFill>
                    <a:blip r:embed="rId28"/>
                    <a:stretch>
                      <a:fillRect/>
                    </a:stretch>
                  </pic:blipFill>
                  <pic:spPr>
                    <a:xfrm>
                      <a:off x="0" y="0"/>
                      <a:ext cx="3600000" cy="540000"/>
                    </a:xfrm>
                    <a:prstGeom prst="rect"/>
                  </pic:spPr>
                </pic:pic>
              </a:graphicData>
            </a:graphic>
          </wp:inline>
        </w:drawing>
      </w:r>
    </w:p>
    <w:p>
      <w:pPr>
        <w:pStyle w:val="BeschriftungSSI"/>
      </w:pPr>
      <w:r>
        <w:t>Abb. 16: Mobile WLM001 Tätigkeiten – oberste Ebene ohne Druck-Punkt</w:t>
      </w:r>
    </w:p>
    <w:p>
      <w:pPr>
        <w:pStyle w:val="Quelle"/>
      </w:pPr>
      <w:r>
        <w:rPr>
          <w:b/>
        </w:rPr>
        <w:t xml:space="preserve">Quelle: </w:t>
      </w:r>
      <w:r>
        <w:rPr>
          <w:sz w:val="17"/>
        </w:rPr>
        <w:t>DR Kap. 5; UM28 S. 116–121, 146–147; KM Kap. 4; Screenshots Mobile 17.10.</w:t>
      </w:r>
    </w:p>
    <w:p>
      <w:pPr>
        <w:pStyle w:val="Heading1"/>
      </w:pPr>
      <w:r>
        <w:t>12 Stolperfallen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Die häufigsten Fehler</w:t>
            </w:r>
          </w:p>
          <w:p>
            <w:pPr>
              <w:spacing w:after="40"/>
            </w:pPr>
            <w:r>
              <w:rPr>
                <w:sz w:val="19"/>
              </w:rPr>
              <w:t>- Eigene RM010-Zeile mit Kriterien angelegt oder „Aktiviert“ umgeschaltet → RM100 nimmt trotzdem die erste kriterienlose Zeile.</w:t>
            </w:r>
          </w:p>
          <w:p>
            <w:pPr>
              <w:spacing w:after="40"/>
            </w:pPr>
            <w:r>
              <w:rPr>
                <w:sz w:val="19"/>
              </w:rPr>
              <w:t>- Standardzeile deaktiviert → Nachdruck aus RM018 meldet „keine geeignete Dokumenttypkonfiguration“.</w:t>
            </w:r>
          </w:p>
          <w:p>
            <w:pPr>
              <w:spacing w:after="40"/>
            </w:pPr>
            <w:r>
              <w:rPr>
                <w:sz w:val="19"/>
              </w:rPr>
              <w:t>- E-Mail-Kanal in RM100 angehakt lassen oder „Dokument noch einmal verteilen“ drücken → E-Mail an Testadressen.</w:t>
            </w:r>
          </w:p>
          <w:p>
            <w:pPr>
              <w:spacing w:after="40"/>
            </w:pPr>
            <w:r>
              <w:rPr>
                <w:sz w:val="19"/>
              </w:rPr>
              <w:t>- Direktdownload = eng-US. Die deutsche Fassung aus RM018 (</w:t>
            </w:r>
            <w:r>
              <w:rPr>
                <w:rFonts w:ascii="Consolas" w:hAnsi="Consolas" w:cs="Consolas" w:eastAsia="Consolas"/>
                <w:sz w:val="17"/>
              </w:rPr>
              <w:t>ger</w:t>
            </w:r>
            <w:r>
              <w:rPr>
                <w:sz w:val="19"/>
              </w:rPr>
              <w:t>) sofort speichern, später ist „Speichern...“ ausgegraut.</w:t>
            </w:r>
          </w:p>
          <w:p>
            <w:pPr>
              <w:spacing w:after="40"/>
            </w:pPr>
            <w:r>
              <w:rPr>
                <w:sz w:val="19"/>
              </w:rPr>
              <w:t>- Lieferschein vor dem Pick erzeugt → Geliefert 0.</w:t>
            </w:r>
          </w:p>
          <w:p>
            <w:pPr>
              <w:spacing w:after="40"/>
            </w:pPr>
            <w:r>
              <w:rPr>
                <w:sz w:val="19"/>
              </w:rPr>
              <w:t xml:space="preserve">- Kundenadresse als </w:t>
            </w:r>
            <w:r>
              <w:rPr>
                <w:rFonts w:ascii="Consolas" w:hAnsi="Consolas" w:cs="Consolas" w:eastAsia="Consolas"/>
                <w:sz w:val="17"/>
              </w:rPr>
              <w:t>CONSIGNEE</w:t>
            </w:r>
            <w:r>
              <w:rPr>
                <w:sz w:val="19"/>
              </w:rPr>
              <w:t xml:space="preserve"> geschickt → erscheint nicht. </w:t>
            </w:r>
            <w:r>
              <w:rPr>
                <w:rFonts w:ascii="Consolas" w:hAnsi="Consolas" w:cs="Consolas" w:eastAsia="Consolas"/>
                <w:sz w:val="17"/>
              </w:rPr>
              <w:t>CONTRACTEE</w:t>
            </w:r>
            <w:r>
              <w:rPr>
                <w:sz w:val="19"/>
              </w:rPr>
              <w:t xml:space="preserve"> verwenden.</w:t>
            </w:r>
          </w:p>
          <w:p>
            <w:pPr>
              <w:spacing w:after="40"/>
            </w:pPr>
            <w:r>
              <w:rPr>
                <w:sz w:val="19"/>
              </w:rPr>
              <w:t>- Firmenadresse nur in MD017 gepflegt → Briefkopf leer. MD018-Partner Art „Lagerort“ anlegen.</w:t>
            </w:r>
          </w:p>
          <w:p>
            <w:pPr>
              <w:spacing w:after="40"/>
            </w:pPr>
            <w:r>
              <w:rPr>
                <w:sz w:val="19"/>
              </w:rPr>
              <w:t xml:space="preserve">- </w:t>
            </w:r>
            <w:r>
              <w:rPr>
                <w:rFonts w:ascii="Consolas" w:hAnsi="Consolas" w:cs="Consolas" w:eastAsia="Consolas"/>
                <w:sz w:val="17"/>
              </w:rPr>
              <w:t>partnerId</w:t>
            </w:r>
            <w:r>
              <w:rPr>
                <w:sz w:val="19"/>
              </w:rPr>
              <w:t xml:space="preserve"> &gt; 15 Zeichen oder Partner fehlt in MD018 → Telegramm scheitert.</w:t>
            </w:r>
          </w:p>
          <w:p>
            <w:pPr>
              <w:spacing w:after="40"/>
            </w:pPr>
            <w:r>
              <w:rPr>
                <w:sz w:val="19"/>
              </w:rPr>
              <w:t xml:space="preserve">- Automatischer Lieferschein ohne </w:t>
            </w:r>
            <w:r>
              <w:rPr>
                <w:rFonts w:ascii="Consolas" w:hAnsi="Consolas" w:cs="Consolas" w:eastAsia="Consolas"/>
                <w:sz w:val="17"/>
              </w:rPr>
              <w:t>noteNo</w:t>
            </w:r>
            <w:r>
              <w:rPr>
                <w:sz w:val="19"/>
              </w:rPr>
              <w:t xml:space="preserve"> → kein Dokument.</w:t>
            </w:r>
          </w:p>
          <w:p>
            <w:pPr>
              <w:spacing w:after="40"/>
            </w:pPr>
            <w:r>
              <w:rPr>
                <w:sz w:val="19"/>
              </w:rPr>
              <w:t>- Packliste in RM023 „Fehler“ ohne Drucker → PDF trotzdem in RM018.</w:t>
            </w:r>
          </w:p>
          <w:p>
            <w:pPr>
              <w:spacing w:after="40"/>
            </w:pPr>
            <w:r>
              <w:rPr>
                <w:sz w:val="19"/>
              </w:rPr>
              <w:t>- Logo höher als 45 px → überlappt den Adressblock; ZIP mit Unterordner → falsche Struktur.</w:t>
            </w:r>
          </w:p>
          <w:p>
            <w:pPr>
              <w:spacing w:after="40"/>
            </w:pPr>
            <w:r>
              <w:rPr>
                <w:sz w:val="19"/>
              </w:rPr>
              <w:t>- Dateikanal mit Client-Pfad → muss ein Pfad auf dem WAMAS-Server sein.</w:t>
            </w:r>
          </w:p>
        </w:tc>
      </w:tr>
    </w:tbl>
    <w:p>
      <w:pPr>
        <w:spacing w:after="40"/>
      </w:pPr>
    </w:p>
    <w:p>
      <w:pPr>
        <w:pStyle w:val="Quelle"/>
      </w:pPr>
      <w:r>
        <w:rPr>
          <w:b/>
        </w:rPr>
        <w:t xml:space="preserve">Quelle: </w:t>
      </w:r>
      <w:r>
        <w:rPr>
          <w:sz w:val="17"/>
        </w:rPr>
        <w:t>Kap. 3–10</w:t>
      </w:r>
    </w:p>
    <w:p>
      <w:pPr>
        <w:pStyle w:val="Heading1"/>
      </w:pPr>
      <w:r>
        <w:t>13 Praxisbeispiele</w:t>
      </w:r>
    </w:p>
    <w:p>
      <w:pPr>
        <w:pStyle w:val="Heading2"/>
      </w:pPr>
      <w:r>
        <w:t>13.1 Kommissionierlieferschein mit Kunden- und Firmenadresse als deutsches PDF</w:t>
      </w:r>
    </w:p>
    <w:p>
      <w:pPr>
        <w:tabs>
          <w:tab w:pos="425" w:val="left"/>
        </w:tabs>
        <w:spacing w:after="60"/>
        <w:ind w:left="425" w:hanging="425"/>
      </w:pPr>
      <w:r>
        <w:rPr>
          <w:b/>
        </w:rPr>
        <w:t>1.</w:t>
        <w:tab/>
      </w:r>
      <w:r>
        <w:t xml:space="preserve">MD018: Partner </w:t>
      </w:r>
      <w:r>
        <w:rPr>
          <w:rFonts w:ascii="Consolas" w:hAnsi="Consolas" w:cs="Consolas" w:eastAsia="Consolas"/>
          <w:sz w:val="18"/>
        </w:rPr>
        <w:t>TEST_WD_KUNDE</w:t>
      </w:r>
      <w:r>
        <w:t xml:space="preserve"> (Kunde) und </w:t>
      </w:r>
      <w:r>
        <w:rPr>
          <w:rFonts w:ascii="Consolas" w:hAnsi="Consolas" w:cs="Consolas" w:eastAsia="Consolas"/>
          <w:sz w:val="18"/>
        </w:rPr>
        <w:t>TEST_WD_LAGER</w:t>
      </w:r>
      <w:r>
        <w:t xml:space="preserve"> (Art Lagerort, </w:t>
      </w:r>
      <w:r>
        <w:rPr>
          <w:rFonts w:ascii="Consolas" w:hAnsi="Consolas" w:cs="Consolas" w:eastAsia="Consolas"/>
          <w:sz w:val="18"/>
        </w:rPr>
        <w:t>LogiMat</w:t>
      </w:r>
      <w:r>
        <w:t>, Adresse in MD090) anlegen.</w:t>
      </w:r>
    </w:p>
    <w:p>
      <w:pPr>
        <w:tabs>
          <w:tab w:pos="425" w:val="left"/>
        </w:tabs>
        <w:spacing w:after="60"/>
        <w:ind w:left="425" w:hanging="425"/>
      </w:pPr>
      <w:r>
        <w:rPr>
          <w:b/>
        </w:rPr>
        <w:t>2.</w:t>
        <w:tab/>
      </w:r>
      <w:r>
        <w:t xml:space="preserve">Kommissionierbedarf mit </w:t>
      </w:r>
      <w:r>
        <w:rPr>
          <w:rFonts w:ascii="Consolas" w:hAnsi="Consolas" w:cs="Consolas" w:eastAsia="Consolas"/>
          <w:sz w:val="18"/>
        </w:rPr>
        <w:t>WLSPDPARTNER001</w:t>
      </w:r>
      <w:r>
        <w:t xml:space="preserve"> für </w:t>
      </w:r>
      <w:r>
        <w:rPr>
          <w:rFonts w:ascii="Consolas" w:hAnsi="Consolas" w:cs="Consolas" w:eastAsia="Consolas"/>
          <w:sz w:val="18"/>
        </w:rPr>
        <w:t>CONTRACTEE</w:t>
      </w:r>
      <w:r>
        <w:t xml:space="preserve"> (Kunde) und </w:t>
      </w:r>
      <w:r>
        <w:rPr>
          <w:rFonts w:ascii="Consolas" w:hAnsi="Consolas" w:cs="Consolas" w:eastAsia="Consolas"/>
          <w:sz w:val="18"/>
        </w:rPr>
        <w:t>SUPPLIER</w:t>
      </w:r>
      <w:r>
        <w:t xml:space="preserve"> (Absender) importieren (DI002 → DI014, Konverter JsonConverter, Systempartner HOST).</w:t>
      </w:r>
    </w:p>
    <w:p>
      <w:pPr>
        <w:tabs>
          <w:tab w:pos="425" w:val="left"/>
        </w:tabs>
        <w:spacing w:after="60"/>
        <w:ind w:left="425" w:hanging="425"/>
      </w:pPr>
      <w:r>
        <w:rPr>
          <w:b/>
        </w:rPr>
        <w:t>3.</w:t>
        <w:tab/>
      </w:r>
      <w:r>
        <w:t xml:space="preserve">Am Touch A2/Öffnung 1 kommissionieren, bis der Auftrag </w:t>
      </w:r>
      <w:r>
        <w:rPr>
          <w:b/>
        </w:rPr>
        <w:t>Fertiggestellt</w:t>
      </w:r>
      <w:r>
        <w:t xml:space="preserve"> ist.</w:t>
      </w:r>
    </w:p>
    <w:p>
      <w:pPr>
        <w:tabs>
          <w:tab w:pos="425" w:val="left"/>
        </w:tabs>
        <w:spacing w:after="60"/>
        <w:ind w:left="425" w:hanging="425"/>
      </w:pPr>
      <w:r>
        <w:rPr>
          <w:b/>
        </w:rPr>
        <w:t>4.</w:t>
        <w:tab/>
      </w:r>
      <w:r>
        <w:t xml:space="preserve">LM071 → </w:t>
      </w:r>
      <w:r>
        <w:rPr>
          <w:b/>
        </w:rPr>
        <w:t>Lieferschein drucken…</w:t>
      </w:r>
      <w:r>
        <w:t xml:space="preserve"> → RM100: nur </w:t>
      </w:r>
      <w:r>
        <w:rPr>
          <w:b/>
        </w:rPr>
        <w:t>Lokales Dateisystem</w:t>
      </w:r>
      <w:r>
        <w:t xml:space="preserve"> → </w:t>
      </w:r>
      <w:r>
        <w:rPr>
          <w:b/>
        </w:rPr>
        <w:t>Generieren und verteilen</w:t>
      </w:r>
      <w:r>
        <w:t>.</w:t>
      </w:r>
    </w:p>
    <w:p>
      <w:pPr>
        <w:tabs>
          <w:tab w:pos="425" w:val="left"/>
        </w:tabs>
        <w:spacing w:after="60"/>
        <w:ind w:left="425" w:hanging="425"/>
      </w:pPr>
      <w:r>
        <w:rPr>
          <w:b/>
        </w:rPr>
        <w:t>5.</w:t>
        <w:tab/>
      </w:r>
      <w:r>
        <w:t xml:space="preserve">RM018 → Zeile </w:t>
      </w:r>
      <w:r>
        <w:rPr>
          <w:rFonts w:ascii="Consolas" w:hAnsi="Consolas" w:cs="Consolas" w:eastAsia="Consolas"/>
          <w:sz w:val="18"/>
        </w:rPr>
        <w:t>ger</w:t>
      </w:r>
      <w:r>
        <w:t xml:space="preserve"> → </w:t>
      </w:r>
      <w:r>
        <w:rPr>
          <w:b/>
        </w:rPr>
        <w:t>Speichern...</w:t>
      </w:r>
      <w:r>
        <w:t xml:space="preserve"> → FW010 → </w:t>
      </w:r>
      <w:r>
        <w:rPr>
          <w:rFonts w:ascii="Consolas" w:hAnsi="Consolas" w:cs="Consolas" w:eastAsia="Consolas"/>
          <w:sz w:val="18"/>
        </w:rPr>
        <w:t>Kommissionierlieferschein_TEST_WD_PD_P2_ADR03_de.pdf</w:t>
      </w:r>
      <w:r>
        <w:t>.</w:t>
      </w:r>
    </w:p>
    <w:p>
      <w:r>
        <w:t xml:space="preserve">Ergebnis ADR03: links „Kunde CONTRACTEE AG, Kundenstrasse 5, 3000 Bern“, rechts „Absender SUPPLIER AG, Absenderweg 9, 8000 Zürich“. Briefkopf am Kommissionierlieferschein: </w:t>
      </w:r>
      <w:r>
        <w:rPr>
          <w:b/>
        </w:rPr>
        <w:t>[im System prüfen]</w:t>
      </w:r>
      <w:r>
        <w:t>.</w:t>
      </w:r>
    </w:p>
    <w:p>
      <w:pPr>
        <w:pStyle w:val="Quelle"/>
      </w:pPr>
      <w:r>
        <w:rPr>
          <w:b/>
        </w:rPr>
        <w:t xml:space="preserve">Quelle: </w:t>
      </w:r>
      <w:r>
        <w:rPr>
          <w:sz w:val="17"/>
        </w:rPr>
        <w:t>TL 15:45–16:32, 18:05; KA Kap. 10.5, 10.8</w:t>
      </w:r>
    </w:p>
    <w:p>
      <w:pPr>
        <w:pStyle w:val="Heading2"/>
      </w:pPr>
      <w:r>
        <w:t>13.2 Artikeletikett soll eine andere Konfiguration nehmen</w:t>
      </w:r>
    </w:p>
    <w:p>
      <w:r>
        <w:t xml:space="preserve">Ausgangslage: RM100 zeigt </w:t>
      </w:r>
      <w:r>
        <w:rPr>
          <w:rFonts w:ascii="Consolas" w:hAnsi="Consolas" w:cs="Consolas" w:eastAsia="Consolas"/>
          <w:sz w:val="18"/>
        </w:rPr>
        <w:t>Item label</w:t>
      </w:r>
      <w:r>
        <w:t xml:space="preserve"> (PDF), Druck-Kanal grau.</w:t>
      </w:r>
    </w:p>
    <w:p>
      <w:pPr>
        <w:tabs>
          <w:tab w:pos="425" w:val="left"/>
        </w:tabs>
        <w:spacing w:after="60"/>
        <w:ind w:left="425" w:hanging="425"/>
      </w:pPr>
      <w:r>
        <w:rPr>
          <w:b/>
        </w:rPr>
        <w:t>1.</w:t>
        <w:tab/>
      </w:r>
      <w:r>
        <w:t xml:space="preserve">RM010 nach Dokumenttyp sortieren und die </w:t>
      </w:r>
      <w:r>
        <w:rPr>
          <w:b/>
        </w:rPr>
        <w:t>erste Zeile ohne Kriterien</w:t>
      </w:r>
      <w:r>
        <w:t xml:space="preserve"> suchen (hier Zeile 4).</w:t>
      </w:r>
    </w:p>
    <w:p>
      <w:pPr>
        <w:tabs>
          <w:tab w:pos="425" w:val="left"/>
        </w:tabs>
        <w:spacing w:after="60"/>
        <w:ind w:left="425" w:hanging="425"/>
      </w:pPr>
      <w:r>
        <w:rPr>
          <w:b/>
        </w:rPr>
        <w:t>2.</w:t>
        <w:tab/>
      </w:r>
      <w:r>
        <w:t xml:space="preserve">Mit Freigabe: Zeile 4 und die Zeile mit der gewünschten Konfiguration (hier Zeile 8 </w:t>
      </w:r>
      <w:r>
        <w:rPr>
          <w:rFonts w:ascii="Consolas" w:hAnsi="Consolas" w:cs="Consolas" w:eastAsia="Consolas"/>
          <w:sz w:val="18"/>
        </w:rPr>
        <w:t>Item label, ZPL 300, small</w:t>
      </w:r>
      <w:r>
        <w:t>) tauschen. Alt/neu protokollieren.</w:t>
      </w:r>
    </w:p>
    <w:p>
      <w:pPr>
        <w:tabs>
          <w:tab w:pos="425" w:val="left"/>
        </w:tabs>
        <w:spacing w:after="60"/>
        <w:ind w:left="425" w:hanging="425"/>
      </w:pPr>
      <w:r>
        <w:rPr>
          <w:b/>
        </w:rPr>
        <w:t>3.</w:t>
        <w:tab/>
      </w:r>
      <w:r>
        <w:t xml:space="preserve">RM100 neu öffnen: Konfiguration </w:t>
      </w:r>
      <w:r>
        <w:rPr>
          <w:rFonts w:ascii="Consolas" w:hAnsi="Consolas" w:cs="Consolas" w:eastAsia="Consolas"/>
          <w:sz w:val="18"/>
        </w:rPr>
        <w:t>Item label, ZPL 300, small</w:t>
      </w:r>
      <w:r>
        <w:t>, Druck-Kanal aktiv.</w:t>
      </w:r>
    </w:p>
    <w:p>
      <w:pPr>
        <w:tabs>
          <w:tab w:pos="425" w:val="left"/>
        </w:tabs>
        <w:spacing w:after="60"/>
        <w:ind w:left="425" w:hanging="425"/>
      </w:pPr>
      <w:r>
        <w:rPr>
          <w:b/>
        </w:rPr>
        <w:t>4.</w:t>
        <w:tab/>
      </w:r>
      <w:r>
        <w:t>Rückbau: zurücktauschen.</w:t>
      </w:r>
    </w:p>
    <w:p>
      <w:pPr>
        <w:pStyle w:val="Quelle"/>
      </w:pPr>
      <w:r>
        <w:rPr>
          <w:b/>
        </w:rPr>
        <w:t xml:space="preserve">Quelle: </w:t>
      </w:r>
      <w:r>
        <w:rPr>
          <w:sz w:val="17"/>
        </w:rPr>
        <w:t>TL 23:20–23:42; PP 23:20–23:42</w:t>
      </w:r>
    </w:p>
    <w:p>
      <w:pPr>
        <w:pStyle w:val="Heading1"/>
      </w:pPr>
      <w:r>
        <w:t>14 Offene Punkte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0"/>
        <w:gridCol w:w="5603"/>
        <w:gridCol w:w="3361"/>
      </w:tblGrid>
      <w:tr>
        <w:trPr>
          <w:tblHeader w:val="true"/>
        </w:trPr>
        <w:tc>
          <w:tcPr>
            <w:tcW w:type="dxa" w:w="560"/>
            <w:shd w:val="clear" w:color="auto" w:fill="FEEE19"/>
          </w:tcPr>
          <w:p>
            <w:pPr>
              <w:spacing w:after="0"/>
            </w:pPr>
            <w:r>
              <w:rPr>
                <w:b/>
                <w:sz w:val="17"/>
              </w:rPr>
              <w:t>Nr.</w:t>
            </w:r>
          </w:p>
        </w:tc>
        <w:tc>
          <w:tcPr>
            <w:tcW w:type="dxa" w:w="5603"/>
            <w:shd w:val="clear" w:color="auto" w:fill="FEEE19"/>
          </w:tcPr>
          <w:p>
            <w:pPr>
              <w:spacing w:after="0"/>
            </w:pPr>
            <w:r>
              <w:rPr>
                <w:b/>
                <w:sz w:val="17"/>
              </w:rPr>
              <w:t>Thema</w:t>
            </w:r>
          </w:p>
        </w:tc>
        <w:tc>
          <w:tcPr>
            <w:tcW w:type="dxa" w:w="3362"/>
            <w:shd w:val="clear" w:color="auto" w:fill="FEEE19"/>
          </w:tcPr>
          <w:p>
            <w:pPr>
              <w:spacing w:after="0"/>
            </w:pPr>
            <w:r>
              <w:rPr>
                <w:b/>
                <w:sz w:val="17"/>
              </w:rPr>
              <w:t>Status</w:t>
            </w:r>
          </w:p>
        </w:tc>
      </w:tr>
      <w:tr>
        <w:tc>
          <w:tcPr>
            <w:tcW w:type="dxa" w:w="560"/>
          </w:tcPr>
          <w:p>
            <w:pPr>
              <w:spacing w:after="0" w:line="252" w:lineRule="auto"/>
            </w:pPr>
            <w:r>
              <w:rPr>
                <w:sz w:val="17"/>
              </w:rPr>
              <w:t>1</w:t>
            </w:r>
          </w:p>
        </w:tc>
        <w:tc>
          <w:tcPr>
            <w:tcW w:type="dxa" w:w="5603"/>
          </w:tcPr>
          <w:p>
            <w:pPr>
              <w:spacing w:after="0" w:line="252" w:lineRule="auto"/>
            </w:pPr>
            <w:r>
              <w:rPr>
                <w:sz w:val="17"/>
              </w:rPr>
              <w:t>Automatischer Kommissionierlieferschein (Fehler bei MAN_02/MAN_03), Serverlog</w:t>
            </w:r>
          </w:p>
        </w:tc>
        <w:tc>
          <w:tcPr>
            <w:tcW w:type="dxa" w:w="3362"/>
          </w:tcPr>
          <w:p>
            <w:pPr>
              <w:spacing w:after="0" w:line="252" w:lineRule="auto"/>
            </w:pPr>
            <w:r>
              <w:rPr>
                <w:sz w:val="17"/>
              </w:rPr>
              <w:t>offen</w:t>
            </w:r>
          </w:p>
        </w:tc>
      </w:tr>
      <w:tr>
        <w:tc>
          <w:tcPr>
            <w:tcW w:type="dxa" w:w="560"/>
          </w:tcPr>
          <w:p>
            <w:pPr>
              <w:spacing w:after="0" w:line="252" w:lineRule="auto"/>
            </w:pPr>
            <w:r>
              <w:rPr>
                <w:sz w:val="17"/>
              </w:rPr>
              <w:t>2</w:t>
            </w:r>
          </w:p>
        </w:tc>
        <w:tc>
          <w:tcPr>
            <w:tcW w:type="dxa" w:w="5603"/>
          </w:tcPr>
          <w:p>
            <w:pPr>
              <w:spacing w:after="0" w:line="252" w:lineRule="auto"/>
            </w:pPr>
            <w:r>
              <w:rPr>
                <w:sz w:val="17"/>
              </w:rPr>
              <w:t>Welche Zuordnung nimmt der automatische Druck (Aktiviert, Kriterien)?</w:t>
            </w:r>
          </w:p>
        </w:tc>
        <w:tc>
          <w:tcPr>
            <w:tcW w:type="dxa" w:w="3362"/>
          </w:tcPr>
          <w:p>
            <w:pPr>
              <w:spacing w:after="0" w:line="252" w:lineRule="auto"/>
            </w:pPr>
            <w:r>
              <w:rPr>
                <w:sz w:val="17"/>
              </w:rPr>
              <w:t>offen</w:t>
            </w:r>
          </w:p>
        </w:tc>
      </w:tr>
      <w:tr>
        <w:tc>
          <w:tcPr>
            <w:tcW w:type="dxa" w:w="560"/>
          </w:tcPr>
          <w:p>
            <w:pPr>
              <w:spacing w:after="0" w:line="252" w:lineRule="auto"/>
            </w:pPr>
            <w:r>
              <w:rPr>
                <w:sz w:val="17"/>
              </w:rPr>
              <w:t>3</w:t>
            </w:r>
          </w:p>
        </w:tc>
        <w:tc>
          <w:tcPr>
            <w:tcW w:type="dxa" w:w="5603"/>
          </w:tcPr>
          <w:p>
            <w:pPr>
              <w:spacing w:after="0" w:line="252" w:lineRule="auto"/>
            </w:pPr>
            <w:r>
              <w:rPr>
                <w:sz w:val="17"/>
              </w:rPr>
              <w:t xml:space="preserve">PDF-Drucker (Typ </w:t>
            </w:r>
            <w:r>
              <w:rPr>
                <w:rFonts w:ascii="Consolas" w:hAnsi="Consolas" w:cs="Consolas" w:eastAsia="Consolas"/>
                <w:sz w:val="15"/>
              </w:rPr>
              <w:t>Laser</w:t>
            </w:r>
            <w:r>
              <w:rPr>
                <w:sz w:val="17"/>
              </w:rPr>
              <w:t>) für Papier-Lieferscheine</w:t>
            </w:r>
          </w:p>
        </w:tc>
        <w:tc>
          <w:tcPr>
            <w:tcW w:type="dxa" w:w="3362"/>
          </w:tcPr>
          <w:p>
            <w:pPr>
              <w:spacing w:after="0" w:line="252" w:lineRule="auto"/>
            </w:pPr>
            <w:r>
              <w:rPr>
                <w:sz w:val="17"/>
              </w:rPr>
              <w:t>nicht eingerichtet</w:t>
            </w:r>
          </w:p>
        </w:tc>
      </w:tr>
      <w:tr>
        <w:tc>
          <w:tcPr>
            <w:tcW w:type="dxa" w:w="560"/>
          </w:tcPr>
          <w:p>
            <w:pPr>
              <w:spacing w:after="0" w:line="252" w:lineRule="auto"/>
            </w:pPr>
            <w:r>
              <w:rPr>
                <w:sz w:val="17"/>
              </w:rPr>
              <w:t>4</w:t>
            </w:r>
          </w:p>
        </w:tc>
        <w:tc>
          <w:tcPr>
            <w:tcW w:type="dxa" w:w="5603"/>
          </w:tcPr>
          <w:p>
            <w:pPr>
              <w:spacing w:after="0" w:line="252" w:lineRule="auto"/>
            </w:pPr>
            <w:r>
              <w:rPr>
                <w:sz w:val="17"/>
              </w:rPr>
              <w:t>Briefkopf auch am Kommissionierlieferschein; deutscher Briefkopf-Screenshot</w:t>
            </w:r>
          </w:p>
        </w:tc>
        <w:tc>
          <w:tcPr>
            <w:tcW w:type="dxa" w:w="3362"/>
          </w:tcPr>
          <w:p>
            <w:pPr>
              <w:spacing w:after="0" w:line="252" w:lineRule="auto"/>
            </w:pPr>
            <w:r>
              <w:rPr>
                <w:sz w:val="17"/>
              </w:rPr>
              <w:t>im System prüfen</w:t>
            </w:r>
          </w:p>
        </w:tc>
      </w:tr>
      <w:tr>
        <w:tc>
          <w:tcPr>
            <w:tcW w:type="dxa" w:w="560"/>
          </w:tcPr>
          <w:p>
            <w:pPr>
              <w:spacing w:after="0" w:line="252" w:lineRule="auto"/>
            </w:pPr>
            <w:r>
              <w:rPr>
                <w:sz w:val="17"/>
              </w:rPr>
              <w:t>5</w:t>
            </w:r>
          </w:p>
        </w:tc>
        <w:tc>
          <w:tcPr>
            <w:tcW w:type="dxa" w:w="5603"/>
          </w:tcPr>
          <w:p>
            <w:pPr>
              <w:spacing w:after="0" w:line="252" w:lineRule="auto"/>
            </w:pPr>
            <w:r>
              <w:rPr>
                <w:sz w:val="17"/>
              </w:rPr>
              <w:t>Nur Deutsch dauerhaft (RM010-Zeile auf ger-Kopie)</w:t>
            </w:r>
          </w:p>
        </w:tc>
        <w:tc>
          <w:tcPr>
            <w:tcW w:type="dxa" w:w="3362"/>
          </w:tcPr>
          <w:p>
            <w:pPr>
              <w:spacing w:after="0" w:line="252" w:lineRule="auto"/>
            </w:pPr>
            <w:r>
              <w:rPr>
                <w:sz w:val="17"/>
              </w:rPr>
              <w:t>Entscheid Marek</w:t>
            </w:r>
          </w:p>
        </w:tc>
      </w:tr>
      <w:tr>
        <w:tc>
          <w:tcPr>
            <w:tcW w:type="dxa" w:w="560"/>
          </w:tcPr>
          <w:p>
            <w:pPr>
              <w:spacing w:after="0" w:line="252" w:lineRule="auto"/>
            </w:pPr>
            <w:r>
              <w:rPr>
                <w:sz w:val="17"/>
              </w:rPr>
              <w:t>6</w:t>
            </w:r>
          </w:p>
        </w:tc>
        <w:tc>
          <w:tcPr>
            <w:tcW w:type="dxa" w:w="5603"/>
          </w:tcPr>
          <w:p>
            <w:pPr>
              <w:spacing w:after="0" w:line="252" w:lineRule="auto"/>
            </w:pPr>
            <w:r>
              <w:rPr>
                <w:sz w:val="17"/>
              </w:rPr>
              <w:t>Layout-Upload RM003, Umstellung RM005</w:t>
            </w:r>
          </w:p>
        </w:tc>
        <w:tc>
          <w:tcPr>
            <w:tcW w:type="dxa" w:w="3362"/>
          </w:tcPr>
          <w:p>
            <w:pPr>
              <w:spacing w:after="0" w:line="252" w:lineRule="auto"/>
            </w:pPr>
            <w:r>
              <w:rPr>
                <w:sz w:val="17"/>
              </w:rPr>
              <w:t>noch nicht live getestet</w:t>
            </w:r>
          </w:p>
        </w:tc>
      </w:tr>
      <w:tr>
        <w:tc>
          <w:tcPr>
            <w:tcW w:type="dxa" w:w="560"/>
          </w:tcPr>
          <w:p>
            <w:pPr>
              <w:spacing w:after="0" w:line="252" w:lineRule="auto"/>
            </w:pPr>
            <w:r>
              <w:rPr>
                <w:sz w:val="17"/>
              </w:rPr>
              <w:t>7</w:t>
            </w:r>
          </w:p>
        </w:tc>
        <w:tc>
          <w:tcPr>
            <w:tcW w:type="dxa" w:w="5603"/>
          </w:tcPr>
          <w:p>
            <w:pPr>
              <w:spacing w:after="0" w:line="252" w:lineRule="auto"/>
            </w:pPr>
            <w:r>
              <w:rPr>
                <w:sz w:val="17"/>
              </w:rPr>
              <w:t>Dateikanal: Datei auf srv01 geschrieben?</w:t>
            </w:r>
          </w:p>
        </w:tc>
        <w:tc>
          <w:tcPr>
            <w:tcW w:type="dxa" w:w="3362"/>
          </w:tcPr>
          <w:p>
            <w:pPr>
              <w:spacing w:after="0" w:line="252" w:lineRule="auto"/>
            </w:pPr>
            <w:r>
              <w:rPr>
                <w:sz w:val="17"/>
              </w:rPr>
              <w:t>offen</w:t>
            </w:r>
          </w:p>
        </w:tc>
      </w:tr>
      <w:tr>
        <w:tc>
          <w:tcPr>
            <w:tcW w:type="dxa" w:w="560"/>
          </w:tcPr>
          <w:p>
            <w:pPr>
              <w:spacing w:after="0" w:line="252" w:lineRule="auto"/>
            </w:pPr>
            <w:r>
              <w:rPr>
                <w:sz w:val="17"/>
              </w:rPr>
              <w:t>8</w:t>
            </w:r>
          </w:p>
        </w:tc>
        <w:tc>
          <w:tcPr>
            <w:tcW w:type="dxa" w:w="5603"/>
          </w:tcPr>
          <w:p>
            <w:pPr>
              <w:spacing w:after="0" w:line="252" w:lineRule="auto"/>
            </w:pPr>
            <w:r>
              <w:rPr>
                <w:sz w:val="17"/>
              </w:rPr>
              <w:t>Massendruck Lagerplatzetiketten (RM100 je Etikett)</w:t>
            </w:r>
          </w:p>
        </w:tc>
        <w:tc>
          <w:tcPr>
            <w:tcW w:type="dxa" w:w="3362"/>
          </w:tcPr>
          <w:p>
            <w:pPr>
              <w:spacing w:after="0" w:line="252" w:lineRule="auto"/>
            </w:pPr>
            <w:r>
              <w:rPr>
                <w:sz w:val="17"/>
              </w:rPr>
              <w:t>Live-Test offen, ggf. Anfrage an SSI</w:t>
            </w:r>
          </w:p>
        </w:tc>
      </w:tr>
      <w:tr>
        <w:tc>
          <w:tcPr>
            <w:tcW w:type="dxa" w:w="560"/>
          </w:tcPr>
          <w:p>
            <w:pPr>
              <w:spacing w:after="0" w:line="252" w:lineRule="auto"/>
            </w:pPr>
            <w:r>
              <w:rPr>
                <w:sz w:val="17"/>
              </w:rPr>
              <w:t>9</w:t>
            </w:r>
          </w:p>
        </w:tc>
        <w:tc>
          <w:tcPr>
            <w:tcW w:type="dxa" w:w="5603"/>
          </w:tcPr>
          <w:p>
            <w:pPr>
              <w:spacing w:after="0" w:line="252" w:lineRule="auto"/>
            </w:pPr>
            <w:r>
              <w:rPr>
                <w:sz w:val="17"/>
              </w:rPr>
              <w:t>Kommissionieretikett in ger prüfen (RM018 71 eng-US leer)</w:t>
            </w:r>
          </w:p>
        </w:tc>
        <w:tc>
          <w:tcPr>
            <w:tcW w:type="dxa" w:w="3362"/>
          </w:tcPr>
          <w:p>
            <w:pPr>
              <w:spacing w:after="0" w:line="252" w:lineRule="auto"/>
            </w:pPr>
            <w:r>
              <w:rPr>
                <w:sz w:val="17"/>
              </w:rPr>
              <w:t>offen</w:t>
            </w:r>
          </w:p>
        </w:tc>
      </w:tr>
      <w:tr>
        <w:tc>
          <w:tcPr>
            <w:tcW w:type="dxa" w:w="560"/>
          </w:tcPr>
          <w:p>
            <w:pPr>
              <w:spacing w:after="0" w:line="252" w:lineRule="auto"/>
            </w:pPr>
            <w:r>
              <w:rPr>
                <w:sz w:val="17"/>
              </w:rPr>
              <w:t>10</w:t>
            </w:r>
          </w:p>
        </w:tc>
        <w:tc>
          <w:tcPr>
            <w:tcW w:type="dxa" w:w="5603"/>
          </w:tcPr>
          <w:p>
            <w:pPr>
              <w:spacing w:after="0" w:line="252" w:lineRule="auto"/>
            </w:pPr>
            <w:r>
              <w:rPr>
                <w:sz w:val="17"/>
              </w:rPr>
              <w:t>Lizenz „PRINTING SUPPORT“ (SE072 nur Entwicklungsmodus)</w:t>
            </w:r>
          </w:p>
        </w:tc>
        <w:tc>
          <w:tcPr>
            <w:tcW w:type="dxa" w:w="3362"/>
          </w:tcPr>
          <w:p>
            <w:pPr>
              <w:spacing w:after="0" w:line="252" w:lineRule="auto"/>
            </w:pPr>
            <w:r>
              <w:rPr>
                <w:sz w:val="17"/>
              </w:rPr>
              <w:t>nicht prüfbar</w:t>
            </w:r>
          </w:p>
        </w:tc>
      </w:tr>
      <w:tr>
        <w:tc>
          <w:tcPr>
            <w:tcW w:type="dxa" w:w="560"/>
          </w:tcPr>
          <w:p>
            <w:pPr>
              <w:spacing w:after="0" w:line="252" w:lineRule="auto"/>
            </w:pPr>
            <w:r>
              <w:rPr>
                <w:sz w:val="17"/>
              </w:rPr>
              <w:t>11</w:t>
            </w:r>
          </w:p>
        </w:tc>
        <w:tc>
          <w:tcPr>
            <w:tcW w:type="dxa" w:w="5603"/>
          </w:tcPr>
          <w:p>
            <w:pPr>
              <w:spacing w:after="0" w:line="252" w:lineRule="auto"/>
            </w:pPr>
            <w:r>
              <w:rPr>
                <w:sz w:val="17"/>
              </w:rPr>
              <w:t>Rückbau der Testeinstellungen (Anhang A)</w:t>
            </w:r>
          </w:p>
        </w:tc>
        <w:tc>
          <w:tcPr>
            <w:tcW w:type="dxa" w:w="3362"/>
          </w:tcPr>
          <w:p>
            <w:pPr>
              <w:spacing w:after="0" w:line="252" w:lineRule="auto"/>
            </w:pPr>
            <w:r>
              <w:rPr>
                <w:sz w:val="17"/>
              </w:rPr>
              <w:t>Entscheid Marek</w:t>
            </w:r>
          </w:p>
        </w:tc>
      </w:tr>
    </w:tbl>
    <w:p>
      <w:pPr>
        <w:pStyle w:val="BeschriftungSSI"/>
      </w:pPr>
      <w:r>
        <w:t>Tab. 8: Offene Punkte</w:t>
      </w:r>
    </w:p>
    <w:p>
      <w:pPr>
        <w:pStyle w:val="Heading1"/>
      </w:pPr>
      <w:r>
        <w:t>15 Anhang A: Druckrelevante Änderungen am Testsystem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9"/>
        <w:gridCol w:w="2220"/>
        <w:gridCol w:w="4297"/>
        <w:gridCol w:w="2148"/>
      </w:tblGrid>
      <w:tr>
        <w:trPr>
          <w:tblHeader w:val="true"/>
        </w:trPr>
        <w:tc>
          <w:tcPr>
            <w:tcW w:type="dxa" w:w="859"/>
            <w:shd w:val="clear" w:color="auto" w:fill="FEEE19"/>
          </w:tcPr>
          <w:p>
            <w:pPr>
              <w:spacing w:after="0"/>
            </w:pPr>
            <w:r>
              <w:rPr>
                <w:b/>
                <w:sz w:val="17"/>
              </w:rPr>
              <w:t>Zeit</w:t>
            </w:r>
          </w:p>
        </w:tc>
        <w:tc>
          <w:tcPr>
            <w:tcW w:type="dxa" w:w="2220"/>
            <w:shd w:val="clear" w:color="auto" w:fill="FEEE19"/>
          </w:tcPr>
          <w:p>
            <w:pPr>
              <w:spacing w:after="0"/>
            </w:pPr>
            <w:r>
              <w:rPr>
                <w:b/>
                <w:sz w:val="17"/>
              </w:rPr>
              <w:t>Dialog</w:t>
            </w:r>
          </w:p>
        </w:tc>
        <w:tc>
          <w:tcPr>
            <w:tcW w:type="dxa" w:w="4297"/>
            <w:shd w:val="clear" w:color="auto" w:fill="FEEE19"/>
          </w:tcPr>
          <w:p>
            <w:pPr>
              <w:spacing w:after="0"/>
            </w:pPr>
            <w:r>
              <w:rPr>
                <w:b/>
                <w:sz w:val="17"/>
              </w:rPr>
              <w:t>Änderung (alt → neu)</w:t>
            </w:r>
          </w:p>
        </w:tc>
        <w:tc>
          <w:tcPr>
            <w:tcW w:type="dxa" w:w="2148"/>
            <w:shd w:val="clear" w:color="auto" w:fill="FEEE19"/>
          </w:tcPr>
          <w:p>
            <w:pPr>
              <w:spacing w:after="0"/>
            </w:pPr>
            <w:r>
              <w:rPr>
                <w:b/>
                <w:sz w:val="17"/>
              </w:rPr>
              <w:t>Rückbau</w:t>
            </w:r>
          </w:p>
        </w:tc>
      </w:tr>
      <w:tr>
        <w:tc>
          <w:tcPr>
            <w:tcW w:type="dxa" w:w="859"/>
          </w:tcPr>
          <w:p>
            <w:pPr>
              <w:spacing w:after="0" w:line="252" w:lineRule="auto"/>
            </w:pPr>
            <w:r>
              <w:rPr>
                <w:sz w:val="17"/>
              </w:rPr>
              <w:t>17.10. 15:45</w:t>
            </w:r>
          </w:p>
        </w:tc>
        <w:tc>
          <w:tcPr>
            <w:tcW w:type="dxa" w:w="2220"/>
          </w:tcPr>
          <w:p>
            <w:pPr>
              <w:spacing w:after="0" w:line="252" w:lineRule="auto"/>
            </w:pPr>
            <w:r>
              <w:rPr>
                <w:sz w:val="17"/>
              </w:rPr>
              <w:t>MD017 › Kommissionierbedarfstyp</w:t>
            </w:r>
          </w:p>
        </w:tc>
        <w:tc>
          <w:tcPr>
            <w:tcW w:type="dxa" w:w="4297"/>
          </w:tcPr>
          <w:p>
            <w:pPr>
              <w:spacing w:after="0" w:line="252" w:lineRule="auto"/>
            </w:pPr>
            <w:r>
              <w:rPr>
                <w:sz w:val="17"/>
              </w:rPr>
              <w:t>NEU „Kommissionieren“ (Kopie SHPG, Packliste an)</w:t>
            </w:r>
          </w:p>
        </w:tc>
        <w:tc>
          <w:tcPr>
            <w:tcW w:type="dxa" w:w="2148"/>
          </w:tcPr>
          <w:p>
            <w:pPr>
              <w:spacing w:after="0" w:line="252" w:lineRule="auto"/>
            </w:pPr>
            <w:r>
              <w:rPr>
                <w:sz w:val="17"/>
              </w:rPr>
              <w:t>Zeile löschen</w:t>
            </w:r>
          </w:p>
        </w:tc>
      </w:tr>
      <w:tr>
        <w:tc>
          <w:tcPr>
            <w:tcW w:type="dxa" w:w="859"/>
          </w:tcPr>
          <w:p>
            <w:pPr>
              <w:spacing w:after="0" w:line="252" w:lineRule="auto"/>
            </w:pPr>
            <w:r>
              <w:rPr>
                <w:sz w:val="17"/>
              </w:rPr>
              <w:t>15:50</w:t>
            </w:r>
          </w:p>
        </w:tc>
        <w:tc>
          <w:tcPr>
            <w:tcW w:type="dxa" w:w="2220"/>
          </w:tcPr>
          <w:p>
            <w:pPr>
              <w:spacing w:after="0" w:line="252" w:lineRule="auto"/>
            </w:pPr>
            <w:r>
              <w:rPr>
                <w:sz w:val="17"/>
              </w:rPr>
              <w:t>MD018</w:t>
            </w:r>
          </w:p>
        </w:tc>
        <w:tc>
          <w:tcPr>
            <w:tcW w:type="dxa" w:w="4297"/>
          </w:tcPr>
          <w:p>
            <w:pPr>
              <w:spacing w:after="0" w:line="252" w:lineRule="auto"/>
            </w:pPr>
            <w:r>
              <w:rPr>
                <w:sz w:val="17"/>
              </w:rPr>
              <w:t xml:space="preserve">NEU </w:t>
            </w:r>
            <w:r>
              <w:rPr>
                <w:rFonts w:ascii="Consolas" w:hAnsi="Consolas" w:cs="Consolas" w:eastAsia="Consolas"/>
                <w:sz w:val="15"/>
              </w:rPr>
              <w:t>TEST_WD_KUNDE</w:t>
            </w:r>
            <w:r>
              <w:rPr>
                <w:sz w:val="17"/>
              </w:rPr>
              <w:t xml:space="preserve">, </w:t>
            </w:r>
            <w:r>
              <w:rPr>
                <w:rFonts w:ascii="Consolas" w:hAnsi="Consolas" w:cs="Consolas" w:eastAsia="Consolas"/>
                <w:sz w:val="15"/>
              </w:rPr>
              <w:t>TEST_WD_LIEF</w:t>
            </w:r>
          </w:p>
        </w:tc>
        <w:tc>
          <w:tcPr>
            <w:tcW w:type="dxa" w:w="2148"/>
          </w:tcPr>
          <w:p>
            <w:pPr>
              <w:spacing w:after="0" w:line="252" w:lineRule="auto"/>
            </w:pPr>
            <w:r>
              <w:rPr>
                <w:sz w:val="17"/>
              </w:rPr>
              <w:t>löschen</w:t>
            </w:r>
          </w:p>
        </w:tc>
      </w:tr>
      <w:tr>
        <w:tc>
          <w:tcPr>
            <w:tcW w:type="dxa" w:w="859"/>
          </w:tcPr>
          <w:p>
            <w:pPr>
              <w:spacing w:after="0" w:line="252" w:lineRule="auto"/>
            </w:pPr>
            <w:r>
              <w:rPr>
                <w:sz w:val="17"/>
              </w:rPr>
              <w:t>16:36</w:t>
            </w:r>
          </w:p>
        </w:tc>
        <w:tc>
          <w:tcPr>
            <w:tcW w:type="dxa" w:w="2220"/>
          </w:tcPr>
          <w:p>
            <w:pPr>
              <w:spacing w:after="0" w:line="252" w:lineRule="auto"/>
            </w:pPr>
            <w:r>
              <w:rPr>
                <w:sz w:val="17"/>
              </w:rPr>
              <w:t>RM005 / RM010</w:t>
            </w:r>
          </w:p>
        </w:tc>
        <w:tc>
          <w:tcPr>
            <w:tcW w:type="dxa" w:w="4297"/>
          </w:tcPr>
          <w:p>
            <w:pPr>
              <w:spacing w:after="0" w:line="252" w:lineRule="auto"/>
            </w:pPr>
            <w:r>
              <w:rPr>
                <w:sz w:val="17"/>
              </w:rPr>
              <w:t>NEU „TEST_WD Kommissionierlieferschein DE“ (nur ger) + Zuordnung 512 (Zeile 54, ab 16:46 DEFAULT/LogiMat)</w:t>
            </w:r>
          </w:p>
        </w:tc>
        <w:tc>
          <w:tcPr>
            <w:tcW w:type="dxa" w:w="2148"/>
          </w:tcPr>
          <w:p>
            <w:pPr>
              <w:spacing w:after="0" w:line="252" w:lineRule="auto"/>
            </w:pPr>
            <w:r>
              <w:rPr>
                <w:sz w:val="17"/>
              </w:rPr>
              <w:t>löschen</w:t>
            </w:r>
          </w:p>
        </w:tc>
      </w:tr>
      <w:tr>
        <w:tc>
          <w:tcPr>
            <w:tcW w:type="dxa" w:w="859"/>
          </w:tcPr>
          <w:p>
            <w:pPr>
              <w:spacing w:after="0" w:line="252" w:lineRule="auto"/>
            </w:pPr>
            <w:r>
              <w:rPr>
                <w:sz w:val="17"/>
              </w:rPr>
              <w:t>16:48</w:t>
            </w:r>
          </w:p>
        </w:tc>
        <w:tc>
          <w:tcPr>
            <w:tcW w:type="dxa" w:w="2220"/>
          </w:tcPr>
          <w:p>
            <w:pPr>
              <w:spacing w:after="0" w:line="252" w:lineRule="auto"/>
            </w:pPr>
            <w:r>
              <w:rPr>
                <w:sz w:val="17"/>
              </w:rPr>
              <w:t>RM010 Zeile 44 (assignId 80)</w:t>
            </w:r>
          </w:p>
        </w:tc>
        <w:tc>
          <w:tcPr>
            <w:tcW w:type="dxa" w:w="4297"/>
          </w:tcPr>
          <w:p>
            <w:pPr>
              <w:spacing w:after="0" w:line="252" w:lineRule="auto"/>
            </w:pPr>
            <w:r>
              <w:rPr>
                <w:sz w:val="17"/>
              </w:rPr>
              <w:t>Aktiviert ja → nein</w:t>
            </w:r>
          </w:p>
        </w:tc>
        <w:tc>
          <w:tcPr>
            <w:tcW w:type="dxa" w:w="2148"/>
          </w:tcPr>
          <w:p>
            <w:pPr>
              <w:spacing w:after="0" w:line="252" w:lineRule="auto"/>
            </w:pPr>
            <w:r>
              <w:rPr>
                <w:sz w:val="17"/>
              </w:rPr>
              <w:t>wieder aktivieren</w:t>
            </w:r>
          </w:p>
        </w:tc>
      </w:tr>
      <w:tr>
        <w:tc>
          <w:tcPr>
            <w:tcW w:type="dxa" w:w="859"/>
          </w:tcPr>
          <w:p>
            <w:pPr>
              <w:spacing w:after="0" w:line="252" w:lineRule="auto"/>
            </w:pPr>
            <w:r>
              <w:rPr>
                <w:sz w:val="17"/>
              </w:rPr>
              <w:t>17:24</w:t>
            </w:r>
          </w:p>
        </w:tc>
        <w:tc>
          <w:tcPr>
            <w:tcW w:type="dxa" w:w="2220"/>
          </w:tcPr>
          <w:p>
            <w:pPr>
              <w:spacing w:after="0" w:line="252" w:lineRule="auto"/>
            </w:pPr>
            <w:r>
              <w:rPr>
                <w:sz w:val="17"/>
              </w:rPr>
              <w:t>MD017 „Kommissionieren“</w:t>
            </w:r>
          </w:p>
        </w:tc>
        <w:tc>
          <w:tcPr>
            <w:tcW w:type="dxa" w:w="4297"/>
          </w:tcPr>
          <w:p>
            <w:pPr>
              <w:spacing w:after="0" w:line="252" w:lineRule="auto"/>
            </w:pPr>
            <w:r>
              <w:rPr>
                <w:sz w:val="17"/>
              </w:rPr>
              <w:t>Kommissionierlieferschein drucken nein → ja</w:t>
            </w:r>
          </w:p>
        </w:tc>
        <w:tc>
          <w:tcPr>
            <w:tcW w:type="dxa" w:w="2148"/>
          </w:tcPr>
          <w:p>
            <w:pPr>
              <w:spacing w:after="0" w:line="252" w:lineRule="auto"/>
            </w:pPr>
            <w:r>
              <w:rPr>
                <w:sz w:val="17"/>
              </w:rPr>
              <w:t>wieder nein</w:t>
            </w:r>
          </w:p>
        </w:tc>
      </w:tr>
      <w:tr>
        <w:tc>
          <w:tcPr>
            <w:tcW w:type="dxa" w:w="859"/>
          </w:tcPr>
          <w:p>
            <w:pPr>
              <w:spacing w:after="0" w:line="252" w:lineRule="auto"/>
            </w:pPr>
            <w:r>
              <w:rPr>
                <w:sz w:val="17"/>
              </w:rPr>
              <w:t>17:50</w:t>
            </w:r>
          </w:p>
        </w:tc>
        <w:tc>
          <w:tcPr>
            <w:tcW w:type="dxa" w:w="2220"/>
          </w:tcPr>
          <w:p>
            <w:pPr>
              <w:spacing w:after="0" w:line="252" w:lineRule="auto"/>
            </w:pPr>
            <w:r>
              <w:rPr>
                <w:sz w:val="17"/>
              </w:rPr>
              <w:t>RM005 eigene Konfiguration</w:t>
            </w:r>
          </w:p>
        </w:tc>
        <w:tc>
          <w:tcPr>
            <w:tcW w:type="dxa" w:w="4297"/>
          </w:tcPr>
          <w:p>
            <w:pPr>
              <w:spacing w:after="0" w:line="252" w:lineRule="auto"/>
            </w:pPr>
            <w:r>
              <w:rPr>
                <w:sz w:val="17"/>
              </w:rPr>
              <w:t xml:space="preserve">Druck-Kanal → Dateikanal </w:t>
            </w:r>
            <w:r>
              <w:rPr>
                <w:rFonts w:ascii="Consolas" w:hAnsi="Consolas" w:cs="Consolas" w:eastAsia="Consolas"/>
                <w:sz w:val="15"/>
              </w:rPr>
              <w:t>C:\temp</w:t>
            </w:r>
          </w:p>
        </w:tc>
        <w:tc>
          <w:tcPr>
            <w:tcW w:type="dxa" w:w="2148"/>
          </w:tcPr>
          <w:p>
            <w:pPr>
              <w:spacing w:after="0" w:line="252" w:lineRule="auto"/>
            </w:pPr>
            <w:r>
              <w:rPr>
                <w:sz w:val="17"/>
              </w:rPr>
              <w:t>mit Konfiguration löschen</w:t>
            </w:r>
          </w:p>
        </w:tc>
      </w:tr>
      <w:tr>
        <w:tc>
          <w:tcPr>
            <w:tcW w:type="dxa" w:w="859"/>
          </w:tcPr>
          <w:p>
            <w:pPr>
              <w:spacing w:after="0" w:line="252" w:lineRule="auto"/>
            </w:pPr>
            <w:r>
              <w:rPr>
                <w:sz w:val="17"/>
              </w:rPr>
              <w:t>~18:00</w:t>
            </w:r>
          </w:p>
        </w:tc>
        <w:tc>
          <w:tcPr>
            <w:tcW w:type="dxa" w:w="2220"/>
          </w:tcPr>
          <w:p>
            <w:pPr>
              <w:spacing w:after="0" w:line="252" w:lineRule="auto"/>
            </w:pPr>
            <w:r>
              <w:rPr>
                <w:sz w:val="17"/>
              </w:rPr>
              <w:t>MD018 / MD017</w:t>
            </w:r>
          </w:p>
        </w:tc>
        <w:tc>
          <w:tcPr>
            <w:tcW w:type="dxa" w:w="4297"/>
          </w:tcPr>
          <w:p>
            <w:pPr>
              <w:spacing w:after="0" w:line="252" w:lineRule="auto"/>
            </w:pPr>
            <w:r>
              <w:rPr>
                <w:sz w:val="17"/>
              </w:rPr>
              <w:t xml:space="preserve">NEU </w:t>
            </w:r>
            <w:r>
              <w:rPr>
                <w:rFonts w:ascii="Consolas" w:hAnsi="Consolas" w:cs="Consolas" w:eastAsia="Consolas"/>
                <w:sz w:val="15"/>
              </w:rPr>
              <w:t>TEST_WD_LAGER</w:t>
            </w:r>
            <w:r>
              <w:rPr>
                <w:sz w:val="17"/>
              </w:rPr>
              <w:t xml:space="preserve"> (Lagerort); Klient-Adresse leer → TEST_WD Lager AG</w:t>
            </w:r>
          </w:p>
        </w:tc>
        <w:tc>
          <w:tcPr>
            <w:tcW w:type="dxa" w:w="2148"/>
          </w:tcPr>
          <w:p>
            <w:pPr>
              <w:spacing w:after="0" w:line="252" w:lineRule="auto"/>
            </w:pPr>
            <w:r>
              <w:rPr>
                <w:sz w:val="17"/>
              </w:rPr>
              <w:t>löschen / leeren</w:t>
            </w:r>
          </w:p>
        </w:tc>
      </w:tr>
      <w:tr>
        <w:tc>
          <w:tcPr>
            <w:tcW w:type="dxa" w:w="859"/>
          </w:tcPr>
          <w:p>
            <w:pPr>
              <w:spacing w:after="0" w:line="252" w:lineRule="auto"/>
            </w:pPr>
            <w:r>
              <w:rPr>
                <w:sz w:val="17"/>
              </w:rPr>
              <w:t>22:25–23:57</w:t>
            </w:r>
          </w:p>
        </w:tc>
        <w:tc>
          <w:tcPr>
            <w:tcW w:type="dxa" w:w="2220"/>
          </w:tcPr>
          <w:p>
            <w:pPr>
              <w:spacing w:after="0" w:line="252" w:lineRule="auto"/>
            </w:pPr>
            <w:r>
              <w:rPr>
                <w:sz w:val="17"/>
              </w:rPr>
              <w:t>RM011 / RM017</w:t>
            </w:r>
          </w:p>
        </w:tc>
        <w:tc>
          <w:tcPr>
            <w:tcW w:type="dxa" w:w="4297"/>
          </w:tcPr>
          <w:p>
            <w:pPr>
              <w:spacing w:after="0" w:line="252" w:lineRule="auto"/>
            </w:pPr>
            <w:r>
              <w:rPr>
                <w:sz w:val="17"/>
              </w:rPr>
              <w:t xml:space="preserve">NEU </w:t>
            </w:r>
            <w:r>
              <w:rPr>
                <w:rFonts w:ascii="Consolas" w:hAnsi="Consolas" w:cs="Consolas" w:eastAsia="Consolas"/>
                <w:sz w:val="15"/>
              </w:rPr>
              <w:t>TEST_WD_ZD410</w:t>
            </w:r>
            <w:r>
              <w:rPr>
                <w:sz w:val="17"/>
              </w:rPr>
              <w:t xml:space="preserve"> (ZPL_300, ID </w:t>
            </w:r>
            <w:r>
              <w:rPr>
                <w:rFonts w:ascii="Consolas" w:hAnsi="Consolas" w:cs="Consolas" w:eastAsia="Consolas"/>
                <w:sz w:val="15"/>
              </w:rPr>
              <w:t>ZD410</w:t>
            </w:r>
            <w:r>
              <w:rPr>
                <w:sz w:val="17"/>
              </w:rPr>
              <w:t>), Zuordnung LogiMat</w:t>
            </w:r>
          </w:p>
        </w:tc>
        <w:tc>
          <w:tcPr>
            <w:tcW w:type="dxa" w:w="2148"/>
          </w:tcPr>
          <w:p>
            <w:pPr>
              <w:spacing w:after="0" w:line="252" w:lineRule="auto"/>
            </w:pPr>
            <w:r>
              <w:rPr>
                <w:sz w:val="17"/>
              </w:rPr>
              <w:t>löschen</w:t>
            </w:r>
          </w:p>
        </w:tc>
      </w:tr>
      <w:tr>
        <w:tc>
          <w:tcPr>
            <w:tcW w:type="dxa" w:w="859"/>
          </w:tcPr>
          <w:p>
            <w:pPr>
              <w:spacing w:after="0" w:line="252" w:lineRule="auto"/>
            </w:pPr>
            <w:r>
              <w:rPr>
                <w:sz w:val="17"/>
              </w:rPr>
              <w:t>22:43–23:42</w:t>
            </w:r>
          </w:p>
        </w:tc>
        <w:tc>
          <w:tcPr>
            <w:tcW w:type="dxa" w:w="2220"/>
          </w:tcPr>
          <w:p>
            <w:pPr>
              <w:spacing w:after="0" w:line="252" w:lineRule="auto"/>
            </w:pPr>
            <w:r>
              <w:rPr>
                <w:sz w:val="17"/>
              </w:rPr>
              <w:t>RM010</w:t>
            </w:r>
          </w:p>
        </w:tc>
        <w:tc>
          <w:tcPr>
            <w:tcW w:type="dxa" w:w="4297"/>
          </w:tcPr>
          <w:p>
            <w:pPr>
              <w:spacing w:after="0" w:line="252" w:lineRule="auto"/>
            </w:pPr>
            <w:r>
              <w:rPr>
                <w:sz w:val="17"/>
              </w:rPr>
              <w:t>NEU Zeile 55 (assignId 513); Tausch Zeilen 4/8</w:t>
            </w:r>
          </w:p>
        </w:tc>
        <w:tc>
          <w:tcPr>
            <w:tcW w:type="dxa" w:w="2148"/>
          </w:tcPr>
          <w:p>
            <w:pPr>
              <w:spacing w:after="0" w:line="252" w:lineRule="auto"/>
            </w:pPr>
            <w:r>
              <w:rPr>
                <w:sz w:val="17"/>
              </w:rPr>
              <w:t>löschen / zurücktauschen</w:t>
            </w:r>
          </w:p>
        </w:tc>
      </w:tr>
      <w:tr>
        <w:tc>
          <w:tcPr>
            <w:tcW w:type="dxa" w:w="859"/>
          </w:tcPr>
          <w:p>
            <w:pPr>
              <w:spacing w:after="0" w:line="252" w:lineRule="auto"/>
            </w:pPr>
            <w:r>
              <w:rPr>
                <w:sz w:val="17"/>
              </w:rPr>
              <w:t>23:48</w:t>
            </w:r>
          </w:p>
        </w:tc>
        <w:tc>
          <w:tcPr>
            <w:tcW w:type="dxa" w:w="2220"/>
          </w:tcPr>
          <w:p>
            <w:pPr>
              <w:spacing w:after="0" w:line="252" w:lineRule="auto"/>
            </w:pPr>
            <w:r>
              <w:rPr>
                <w:sz w:val="17"/>
              </w:rPr>
              <w:t>MD022 Terminal 81</w:t>
            </w:r>
          </w:p>
        </w:tc>
        <w:tc>
          <w:tcPr>
            <w:tcW w:type="dxa" w:w="4297"/>
          </w:tcPr>
          <w:p>
            <w:pPr>
              <w:spacing w:after="0" w:line="252" w:lineRule="auto"/>
            </w:pPr>
            <w:r>
              <w:rPr>
                <w:sz w:val="17"/>
              </w:rPr>
              <w:t>Standard-Lagerstandort leer → LogiMat</w:t>
            </w:r>
          </w:p>
        </w:tc>
        <w:tc>
          <w:tcPr>
            <w:tcW w:type="dxa" w:w="2148"/>
          </w:tcPr>
          <w:p>
            <w:pPr>
              <w:spacing w:after="0" w:line="252" w:lineRule="auto"/>
            </w:pPr>
            <w:r>
              <w:rPr>
                <w:sz w:val="17"/>
              </w:rPr>
              <w:t>leeren</w:t>
            </w:r>
          </w:p>
        </w:tc>
      </w:tr>
      <w:tr>
        <w:tc>
          <w:tcPr>
            <w:tcW w:type="dxa" w:w="859"/>
          </w:tcPr>
          <w:p>
            <w:pPr>
              <w:spacing w:after="0" w:line="252" w:lineRule="auto"/>
            </w:pPr>
            <w:r>
              <w:rPr>
                <w:sz w:val="17"/>
              </w:rPr>
              <w:t>23:46–00:06</w:t>
            </w:r>
          </w:p>
        </w:tc>
        <w:tc>
          <w:tcPr>
            <w:tcW w:type="dxa" w:w="2220"/>
          </w:tcPr>
          <w:p>
            <w:pPr>
              <w:spacing w:after="0" w:line="252" w:lineRule="auto"/>
            </w:pPr>
            <w:r>
              <w:rPr>
                <w:sz w:val="17"/>
              </w:rPr>
              <w:t>Windows srv01 / Druck-PC</w:t>
            </w:r>
          </w:p>
        </w:tc>
        <w:tc>
          <w:tcPr>
            <w:tcW w:type="dxa" w:w="4297"/>
          </w:tcPr>
          <w:p>
            <w:pPr>
              <w:spacing w:after="0" w:line="252" w:lineRule="auto"/>
            </w:pPr>
            <w:r>
              <w:rPr>
                <w:sz w:val="17"/>
              </w:rPr>
              <w:t xml:space="preserve">LPR-Port, LPR-Port-Monitor, </w:t>
            </w:r>
            <w:r>
              <w:rPr>
                <w:rFonts w:ascii="Consolas" w:hAnsi="Consolas" w:cs="Consolas" w:eastAsia="Consolas"/>
                <w:sz w:val="15"/>
              </w:rPr>
              <w:t>hosts</w:t>
            </w:r>
            <w:r>
              <w:rPr>
                <w:sz w:val="17"/>
              </w:rPr>
              <w:t xml:space="preserve">, LPD, Freigabe, </w:t>
            </w:r>
            <w:r>
              <w:rPr>
                <w:rFonts w:ascii="Consolas" w:hAnsi="Consolas" w:cs="Consolas" w:eastAsia="Consolas"/>
                <w:sz w:val="15"/>
              </w:rPr>
              <w:t>SimulatePassThrough</w:t>
            </w:r>
          </w:p>
        </w:tc>
        <w:tc>
          <w:tcPr>
            <w:tcW w:type="dxa" w:w="2148"/>
          </w:tcPr>
          <w:p>
            <w:pPr>
              <w:spacing w:after="0" w:line="252" w:lineRule="auto"/>
            </w:pPr>
            <w:r>
              <w:rPr>
                <w:sz w:val="17"/>
              </w:rPr>
              <w:t>siehe Anleitung Etikettendruck</w:t>
            </w:r>
          </w:p>
        </w:tc>
      </w:tr>
    </w:tbl>
    <w:p>
      <w:pPr>
        <w:pStyle w:val="BeschriftungSSI"/>
      </w:pPr>
      <w:r>
        <w:t>Tab. 9: Druckrelevante Änderungen laut Parameter-Protokoll</w:t>
      </w:r>
    </w:p>
    <w:p>
      <w:pPr>
        <w:pStyle w:val="Quelle"/>
      </w:pPr>
      <w:r>
        <w:rPr>
          <w:b/>
        </w:rPr>
        <w:t xml:space="preserve">Quelle: </w:t>
      </w:r>
      <w:r>
        <w:rPr>
          <w:sz w:val="17"/>
        </w:rPr>
        <w:t>PP (Stand 18.10. 00:06)</w:t>
      </w:r>
    </w:p>
    <w:p>
      <w:pPr>
        <w:pStyle w:val="Heading1"/>
      </w:pPr>
      <w:r>
        <w:t>16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7"/>
        <w:gridCol w:w="6804"/>
        <w:gridCol w:w="1474"/>
      </w:tblGrid>
      <w:tr>
        <w:trPr>
          <w:tblHeader w:val="true"/>
        </w:trPr>
        <w:tc>
          <w:tcPr>
            <w:tcW w:type="dxa" w:w="1247"/>
            <w:shd w:val="clear" w:color="auto" w:fill="FEEE19"/>
          </w:tcPr>
          <w:p>
            <w:pPr>
              <w:spacing w:after="0"/>
            </w:pPr>
            <w:r>
              <w:rPr>
                <w:b/>
                <w:sz w:val="17"/>
              </w:rPr>
              <w:t>Kürzel</w:t>
            </w:r>
          </w:p>
        </w:tc>
        <w:tc>
          <w:tcPr>
            <w:tcW w:type="dxa" w:w="6803"/>
            <w:shd w:val="clear" w:color="auto" w:fill="FEEE19"/>
          </w:tcPr>
          <w:p>
            <w:pPr>
              <w:spacing w:after="0"/>
            </w:pPr>
            <w:r>
              <w:rPr>
                <w:b/>
                <w:sz w:val="17"/>
              </w:rPr>
              <w:t>Datei / Dokument</w:t>
            </w:r>
          </w:p>
        </w:tc>
        <w:tc>
          <w:tcPr>
            <w:tcW w:type="dxa" w:w="1474"/>
            <w:shd w:val="clear" w:color="auto" w:fill="FEEE19"/>
          </w:tcPr>
          <w:p>
            <w:pPr>
              <w:spacing w:after="0"/>
            </w:pPr>
            <w:r>
              <w:rPr>
                <w:b/>
                <w:sz w:val="17"/>
              </w:rPr>
              <w:t>Verwendet in</w:t>
            </w:r>
          </w:p>
        </w:tc>
      </w:tr>
      <w:tr>
        <w:tc>
          <w:tcPr>
            <w:tcW w:type="dxa" w:w="1247"/>
          </w:tcPr>
          <w:p>
            <w:pPr>
              <w:spacing w:after="0" w:line="252" w:lineRule="auto"/>
            </w:pPr>
            <w:r>
              <w:rPr>
                <w:sz w:val="17"/>
              </w:rPr>
              <w:t>TL</w:t>
            </w:r>
          </w:p>
        </w:tc>
        <w:tc>
          <w:tcPr>
            <w:tcW w:type="dxa" w:w="6803"/>
          </w:tcPr>
          <w:p>
            <w:pPr>
              <w:spacing w:after="0" w:line="252" w:lineRule="auto"/>
            </w:pPr>
            <w:r>
              <w:rPr>
                <w:rFonts w:ascii="Consolas" w:hAnsi="Consolas" w:cs="Consolas" w:eastAsia="Consolas"/>
                <w:sz w:val="15"/>
              </w:rPr>
              <w:t>Revidiert_mit_echtem_System/00_Testplan/Testlog_WAMAS_Dev.md</w:t>
            </w:r>
          </w:p>
        </w:tc>
        <w:tc>
          <w:tcPr>
            <w:tcW w:type="dxa" w:w="1474"/>
          </w:tcPr>
          <w:p>
            <w:pPr>
              <w:spacing w:after="0" w:line="252" w:lineRule="auto"/>
            </w:pPr>
            <w:r>
              <w:rPr>
                <w:sz w:val="17"/>
              </w:rPr>
              <w:t>Kap. 2–13</w:t>
            </w:r>
          </w:p>
        </w:tc>
      </w:tr>
      <w:tr>
        <w:tc>
          <w:tcPr>
            <w:tcW w:type="dxa" w:w="1247"/>
          </w:tcPr>
          <w:p>
            <w:pPr>
              <w:spacing w:after="0" w:line="252" w:lineRule="auto"/>
            </w:pPr>
            <w:r>
              <w:rPr>
                <w:sz w:val="17"/>
              </w:rPr>
              <w:t>PP</w:t>
            </w:r>
          </w:p>
        </w:tc>
        <w:tc>
          <w:tcPr>
            <w:tcW w:type="dxa" w:w="6803"/>
          </w:tcPr>
          <w:p>
            <w:pPr>
              <w:spacing w:after="0" w:line="252" w:lineRule="auto"/>
            </w:pPr>
            <w:r>
              <w:rPr>
                <w:rFonts w:ascii="Consolas" w:hAnsi="Consolas" w:cs="Consolas" w:eastAsia="Consolas"/>
                <w:sz w:val="15"/>
              </w:rPr>
              <w:t>00_Testplan/Parameter_Protokoll.md</w:t>
            </w:r>
          </w:p>
        </w:tc>
        <w:tc>
          <w:tcPr>
            <w:tcW w:type="dxa" w:w="1474"/>
          </w:tcPr>
          <w:p>
            <w:pPr>
              <w:spacing w:after="0" w:line="252" w:lineRule="auto"/>
            </w:pPr>
            <w:r>
              <w:rPr>
                <w:sz w:val="17"/>
              </w:rPr>
              <w:t>Kap. 3, 5, 15</w:t>
            </w:r>
          </w:p>
        </w:tc>
      </w:tr>
      <w:tr>
        <w:tc>
          <w:tcPr>
            <w:tcW w:type="dxa" w:w="1247"/>
          </w:tcPr>
          <w:p>
            <w:pPr>
              <w:spacing w:after="0" w:line="252" w:lineRule="auto"/>
            </w:pPr>
            <w:r>
              <w:rPr>
                <w:sz w:val="17"/>
              </w:rPr>
              <w:t>DH10</w:t>
            </w:r>
          </w:p>
        </w:tc>
        <w:tc>
          <w:tcPr>
            <w:tcW w:type="dxa" w:w="6803"/>
          </w:tcPr>
          <w:p>
            <w:pPr>
              <w:spacing w:after="0" w:line="252" w:lineRule="auto"/>
            </w:pPr>
            <w:r>
              <w:rPr>
                <w:rFonts w:ascii="Consolas" w:hAnsi="Consolas" w:cs="Consolas" w:eastAsia="Consolas"/>
                <w:sz w:val="15"/>
              </w:rPr>
              <w:t>Druck/WAMAS-LS28_Druckdokumente_HowTo_deDE_v1.0</w:t>
            </w:r>
            <w:r>
              <w:rPr>
                <w:sz w:val="17"/>
              </w:rPr>
              <w:t xml:space="preserve"> (Vorgänger)</w:t>
            </w:r>
          </w:p>
        </w:tc>
        <w:tc>
          <w:tcPr>
            <w:tcW w:type="dxa" w:w="1474"/>
          </w:tcPr>
          <w:p>
            <w:pPr>
              <w:spacing w:after="0" w:line="252" w:lineRule="auto"/>
            </w:pPr>
            <w:r>
              <w:rPr>
                <w:sz w:val="17"/>
              </w:rPr>
              <w:t>alle</w:t>
            </w:r>
          </w:p>
        </w:tc>
      </w:tr>
      <w:tr>
        <w:tc>
          <w:tcPr>
            <w:tcW w:type="dxa" w:w="1247"/>
          </w:tcPr>
          <w:p>
            <w:pPr>
              <w:spacing w:after="0" w:line="252" w:lineRule="auto"/>
            </w:pPr>
            <w:r>
              <w:rPr>
                <w:sz w:val="17"/>
              </w:rPr>
              <w:t>DR</w:t>
            </w:r>
          </w:p>
        </w:tc>
        <w:tc>
          <w:tcPr>
            <w:tcW w:type="dxa" w:w="6803"/>
          </w:tcPr>
          <w:p>
            <w:pPr>
              <w:spacing w:after="0" w:line="252" w:lineRule="auto"/>
            </w:pPr>
            <w:r>
              <w:rPr>
                <w:rFonts w:ascii="Consolas" w:hAnsi="Consolas" w:cs="Consolas" w:eastAsia="Consolas"/>
                <w:sz w:val="15"/>
              </w:rPr>
              <w:t>00_Testplan/Druck_Recherche.md</w:t>
            </w:r>
          </w:p>
        </w:tc>
        <w:tc>
          <w:tcPr>
            <w:tcW w:type="dxa" w:w="1474"/>
          </w:tcPr>
          <w:p>
            <w:pPr>
              <w:spacing w:after="0" w:line="252" w:lineRule="auto"/>
            </w:pPr>
            <w:r>
              <w:rPr>
                <w:sz w:val="17"/>
              </w:rPr>
              <w:t>Kap. 2, 11</w:t>
            </w:r>
          </w:p>
        </w:tc>
      </w:tr>
      <w:tr>
        <w:tc>
          <w:tcPr>
            <w:tcW w:type="dxa" w:w="1247"/>
          </w:tcPr>
          <w:p>
            <w:pPr>
              <w:spacing w:after="0" w:line="252" w:lineRule="auto"/>
            </w:pPr>
            <w:r>
              <w:rPr>
                <w:sz w:val="17"/>
              </w:rPr>
              <w:t>LA</w:t>
            </w:r>
          </w:p>
        </w:tc>
        <w:tc>
          <w:tcPr>
            <w:tcW w:type="dxa" w:w="6803"/>
          </w:tcPr>
          <w:p>
            <w:pPr>
              <w:spacing w:after="0" w:line="252" w:lineRule="auto"/>
            </w:pPr>
            <w:r>
              <w:rPr>
                <w:rFonts w:ascii="Consolas" w:hAnsi="Consolas" w:cs="Consolas" w:eastAsia="Consolas"/>
                <w:sz w:val="15"/>
              </w:rPr>
              <w:t>00_Testplan/Lieferschein_Adressen_Recherche.md</w:t>
            </w:r>
          </w:p>
        </w:tc>
        <w:tc>
          <w:tcPr>
            <w:tcW w:type="dxa" w:w="1474"/>
          </w:tcPr>
          <w:p>
            <w:pPr>
              <w:spacing w:after="0" w:line="252" w:lineRule="auto"/>
            </w:pPr>
            <w:r>
              <w:rPr>
                <w:sz w:val="17"/>
              </w:rPr>
              <w:t>Kap. 6</w:t>
            </w:r>
          </w:p>
        </w:tc>
      </w:tr>
      <w:tr>
        <w:tc>
          <w:tcPr>
            <w:tcW w:type="dxa" w:w="1247"/>
          </w:tcPr>
          <w:p>
            <w:pPr>
              <w:spacing w:after="0" w:line="252" w:lineRule="auto"/>
            </w:pPr>
            <w:r>
              <w:rPr>
                <w:sz w:val="17"/>
              </w:rPr>
              <w:t>LAY</w:t>
            </w:r>
          </w:p>
        </w:tc>
        <w:tc>
          <w:tcPr>
            <w:tcW w:type="dxa" w:w="6803"/>
          </w:tcPr>
          <w:p>
            <w:pPr>
              <w:spacing w:after="0" w:line="252" w:lineRule="auto"/>
            </w:pPr>
            <w:r>
              <w:rPr>
                <w:rFonts w:ascii="Consolas" w:hAnsi="Consolas" w:cs="Consolas" w:eastAsia="Consolas"/>
                <w:sz w:val="15"/>
              </w:rPr>
              <w:t>00_Testplan/Layout_Anpassung_Recherche.md</w:t>
            </w:r>
          </w:p>
        </w:tc>
        <w:tc>
          <w:tcPr>
            <w:tcW w:type="dxa" w:w="1474"/>
          </w:tcPr>
          <w:p>
            <w:pPr>
              <w:spacing w:after="0" w:line="252" w:lineRule="auto"/>
            </w:pPr>
            <w:r>
              <w:rPr>
                <w:sz w:val="17"/>
              </w:rPr>
              <w:t>Kap. 9</w:t>
            </w:r>
          </w:p>
        </w:tc>
      </w:tr>
      <w:tr>
        <w:tc>
          <w:tcPr>
            <w:tcW w:type="dxa" w:w="1247"/>
          </w:tcPr>
          <w:p>
            <w:pPr>
              <w:spacing w:after="0" w:line="252" w:lineRule="auto"/>
            </w:pPr>
            <w:r>
              <w:rPr>
                <w:sz w:val="17"/>
              </w:rPr>
              <w:t>LPE</w:t>
            </w:r>
          </w:p>
        </w:tc>
        <w:tc>
          <w:tcPr>
            <w:tcW w:type="dxa" w:w="6803"/>
          </w:tcPr>
          <w:p>
            <w:pPr>
              <w:spacing w:after="0" w:line="252" w:lineRule="auto"/>
            </w:pPr>
            <w:r>
              <w:rPr>
                <w:rFonts w:ascii="Consolas" w:hAnsi="Consolas" w:cs="Consolas" w:eastAsia="Consolas"/>
                <w:sz w:val="15"/>
              </w:rPr>
              <w:t>00_Testplan/Lagerplatzetiketten_Massendruck_Recherche.md</w:t>
            </w:r>
          </w:p>
        </w:tc>
        <w:tc>
          <w:tcPr>
            <w:tcW w:type="dxa" w:w="1474"/>
          </w:tcPr>
          <w:p>
            <w:pPr>
              <w:spacing w:after="0" w:line="252" w:lineRule="auto"/>
            </w:pPr>
            <w:r>
              <w:rPr>
                <w:sz w:val="17"/>
              </w:rPr>
              <w:t>Kap. 4, 10</w:t>
            </w:r>
          </w:p>
        </w:tc>
      </w:tr>
      <w:tr>
        <w:tc>
          <w:tcPr>
            <w:tcW w:type="dxa" w:w="1247"/>
          </w:tcPr>
          <w:p>
            <w:pPr>
              <w:spacing w:after="0" w:line="252" w:lineRule="auto"/>
            </w:pPr>
            <w:r>
              <w:rPr>
                <w:sz w:val="17"/>
              </w:rPr>
              <w:t>ZI</w:t>
            </w:r>
          </w:p>
        </w:tc>
        <w:tc>
          <w:tcPr>
            <w:tcW w:type="dxa" w:w="6803"/>
          </w:tcPr>
          <w:p>
            <w:pPr>
              <w:spacing w:after="0" w:line="252" w:lineRule="auto"/>
            </w:pPr>
            <w:r>
              <w:rPr>
                <w:rFonts w:ascii="Consolas" w:hAnsi="Consolas" w:cs="Consolas" w:eastAsia="Consolas"/>
                <w:sz w:val="15"/>
              </w:rPr>
              <w:t>00_Testplan/ZPL_Etiketten_Inventar.md</w:t>
            </w:r>
          </w:p>
        </w:tc>
        <w:tc>
          <w:tcPr>
            <w:tcW w:type="dxa" w:w="1474"/>
          </w:tcPr>
          <w:p>
            <w:pPr>
              <w:spacing w:after="0" w:line="252" w:lineRule="auto"/>
            </w:pPr>
            <w:r>
              <w:rPr>
                <w:sz w:val="17"/>
              </w:rPr>
              <w:t>Kap. 2, 10</w:t>
            </w:r>
          </w:p>
        </w:tc>
      </w:tr>
      <w:tr>
        <w:tc>
          <w:tcPr>
            <w:tcW w:type="dxa" w:w="1247"/>
          </w:tcPr>
          <w:p>
            <w:pPr>
              <w:spacing w:after="0" w:line="252" w:lineRule="auto"/>
            </w:pPr>
            <w:r>
              <w:rPr>
                <w:sz w:val="17"/>
              </w:rPr>
              <w:t>SI</w:t>
            </w:r>
          </w:p>
        </w:tc>
        <w:tc>
          <w:tcPr>
            <w:tcW w:type="dxa" w:w="6803"/>
          </w:tcPr>
          <w:p>
            <w:pPr>
              <w:spacing w:after="0" w:line="252" w:lineRule="auto"/>
            </w:pPr>
            <w:r>
              <w:rPr>
                <w:rFonts w:ascii="Consolas" w:hAnsi="Consolas" w:cs="Consolas" w:eastAsia="Consolas"/>
                <w:sz w:val="15"/>
              </w:rPr>
              <w:t>00_Testplan/Stammdaten_Import_Recherche.md</w:t>
            </w:r>
          </w:p>
        </w:tc>
        <w:tc>
          <w:tcPr>
            <w:tcW w:type="dxa" w:w="1474"/>
          </w:tcPr>
          <w:p>
            <w:pPr>
              <w:spacing w:after="0" w:line="252" w:lineRule="auto"/>
            </w:pPr>
            <w:r>
              <w:rPr>
                <w:sz w:val="17"/>
              </w:rPr>
              <w:t>Kap. 6</w:t>
            </w:r>
          </w:p>
        </w:tc>
      </w:tr>
      <w:tr>
        <w:tc>
          <w:tcPr>
            <w:tcW w:type="dxa" w:w="1247"/>
          </w:tcPr>
          <w:p>
            <w:pPr>
              <w:spacing w:after="0" w:line="252" w:lineRule="auto"/>
            </w:pPr>
            <w:r>
              <w:rPr>
                <w:sz w:val="17"/>
              </w:rPr>
              <w:t>KA / KM</w:t>
            </w:r>
          </w:p>
        </w:tc>
        <w:tc>
          <w:tcPr>
            <w:tcW w:type="dxa" w:w="6803"/>
          </w:tcPr>
          <w:p>
            <w:pPr>
              <w:spacing w:after="0" w:line="252" w:lineRule="auto"/>
            </w:pPr>
            <w:r>
              <w:rPr>
                <w:rFonts w:ascii="Consolas" w:hAnsi="Consolas" w:cs="Consolas" w:eastAsia="Consolas"/>
                <w:sz w:val="15"/>
              </w:rPr>
              <w:t>00_Knowhow/WAMAS_Admin_Knowhow.md</w:t>
            </w:r>
            <w:r>
              <w:rPr>
                <w:sz w:val="17"/>
              </w:rPr>
              <w:t xml:space="preserve"> Kap. 10 / </w:t>
            </w:r>
            <w:r>
              <w:rPr>
                <w:rFonts w:ascii="Consolas" w:hAnsi="Consolas" w:cs="Consolas" w:eastAsia="Consolas"/>
                <w:sz w:val="15"/>
              </w:rPr>
              <w:t>WAMAS_Mobile_Knowhow.md</w:t>
            </w:r>
          </w:p>
        </w:tc>
        <w:tc>
          <w:tcPr>
            <w:tcW w:type="dxa" w:w="1474"/>
          </w:tcPr>
          <w:p>
            <w:pPr>
              <w:spacing w:after="0" w:line="252" w:lineRule="auto"/>
            </w:pPr>
            <w:r>
              <w:rPr>
                <w:sz w:val="17"/>
              </w:rPr>
              <w:t>alle</w:t>
            </w:r>
          </w:p>
        </w:tc>
      </w:tr>
      <w:tr>
        <w:tc>
          <w:tcPr>
            <w:tcW w:type="dxa" w:w="1247"/>
          </w:tcPr>
          <w:p>
            <w:pPr>
              <w:spacing w:after="0" w:line="252" w:lineRule="auto"/>
            </w:pPr>
            <w:r>
              <w:rPr>
                <w:sz w:val="17"/>
              </w:rPr>
              <w:t>AH28 / UM28</w:t>
            </w:r>
          </w:p>
        </w:tc>
        <w:tc>
          <w:tcPr>
            <w:tcW w:type="dxa" w:w="6803"/>
          </w:tcPr>
          <w:p>
            <w:pPr>
              <w:spacing w:after="0" w:line="252" w:lineRule="auto"/>
            </w:pPr>
            <w:r>
              <w:rPr>
                <w:sz w:val="17"/>
              </w:rPr>
              <w:t>WAMAS LS 2.8 Administrator- / Benutzerhandbuch (enUS)</w:t>
            </w:r>
          </w:p>
        </w:tc>
        <w:tc>
          <w:tcPr>
            <w:tcW w:type="dxa" w:w="1474"/>
          </w:tcPr>
          <w:p>
            <w:pPr>
              <w:spacing w:after="0" w:line="252" w:lineRule="auto"/>
            </w:pPr>
            <w:r>
              <w:rPr>
                <w:sz w:val="17"/>
              </w:rPr>
              <w:t>Kap. 2, 11</w:t>
            </w:r>
          </w:p>
        </w:tc>
      </w:tr>
      <w:tr>
        <w:tc>
          <w:tcPr>
            <w:tcW w:type="dxa" w:w="1247"/>
          </w:tcPr>
          <w:p>
            <w:pPr>
              <w:spacing w:after="0" w:line="252" w:lineRule="auto"/>
            </w:pPr>
            <w:r>
              <w:rPr>
                <w:sz w:val="17"/>
              </w:rPr>
              <w:t>Bilder</w:t>
            </w:r>
          </w:p>
        </w:tc>
        <w:tc>
          <w:tcPr>
            <w:tcW w:type="dxa" w:w="6803"/>
          </w:tcPr>
          <w:p>
            <w:pPr>
              <w:spacing w:after="0" w:line="252" w:lineRule="auto"/>
            </w:pPr>
            <w:r>
              <w:rPr>
                <w:rFonts w:ascii="Consolas" w:hAnsi="Consolas" w:cs="Consolas" w:eastAsia="Consolas"/>
                <w:sz w:val="15"/>
              </w:rPr>
              <w:t>/workspace/screens</w:t>
            </w:r>
            <w:r>
              <w:rPr>
                <w:sz w:val="17"/>
              </w:rPr>
              <w:t xml:space="preserve"> (Zeitstempel im Namen), </w:t>
            </w:r>
            <w:r>
              <w:rPr>
                <w:rFonts w:ascii="Consolas" w:hAnsi="Consolas" w:cs="Consolas" w:eastAsia="Consolas"/>
                <w:sz w:val="15"/>
              </w:rPr>
              <w:t>Screens_Mobile</w:t>
            </w:r>
            <w:r>
              <w:rPr>
                <w:sz w:val="17"/>
              </w:rPr>
              <w:t xml:space="preserve">, PDFs aus </w:t>
            </w:r>
            <w:r>
              <w:rPr>
                <w:rFonts w:ascii="Consolas" w:hAnsi="Consolas" w:cs="Consolas" w:eastAsia="Consolas"/>
                <w:sz w:val="15"/>
              </w:rPr>
              <w:t>/workspace/etikette</w:t>
            </w:r>
          </w:p>
        </w:tc>
        <w:tc>
          <w:tcPr>
            <w:tcW w:type="dxa" w:w="1474"/>
          </w:tcPr>
          <w:p>
            <w:pPr>
              <w:spacing w:after="0" w:line="252" w:lineRule="auto"/>
            </w:pPr>
            <w:r>
              <w:rPr>
                <w:sz w:val="17"/>
              </w:rPr>
              <w:t>alle</w:t>
            </w:r>
          </w:p>
        </w:tc>
      </w:tr>
    </w:tbl>
    <w:p>
      <w:pPr>
        <w:pStyle w:val="BeschriftungSSI"/>
      </w:pPr>
      <w:r>
        <w:t>Tab. 10: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8"/>
        <w:gridCol w:w="7876"/>
      </w:tblGrid>
      <w:tr>
        <w:trPr>
          <w:tblHeader w:val="true"/>
        </w:trPr>
        <w:tc>
          <w:tcPr>
            <w:tcW w:type="dxa" w:w="1648"/>
            <w:shd w:val="clear" w:color="auto" w:fill="FEEE19"/>
          </w:tcPr>
          <w:p>
            <w:pPr>
              <w:spacing w:after="0"/>
            </w:pPr>
            <w:r>
              <w:rPr>
                <w:b/>
                <w:sz w:val="17"/>
              </w:rPr>
              <w:t>Abkürzung</w:t>
            </w:r>
          </w:p>
        </w:tc>
        <w:tc>
          <w:tcPr>
            <w:tcW w:type="dxa" w:w="7876"/>
            <w:shd w:val="clear" w:color="auto" w:fill="FEEE19"/>
          </w:tcPr>
          <w:p>
            <w:pPr>
              <w:spacing w:after="0"/>
            </w:pPr>
            <w:r>
              <w:rPr>
                <w:b/>
                <w:sz w:val="17"/>
              </w:rPr>
              <w:t>Bedeutung</w:t>
            </w:r>
          </w:p>
        </w:tc>
      </w:tr>
      <w:tr>
        <w:tc>
          <w:tcPr>
            <w:tcW w:type="dxa" w:w="1648"/>
          </w:tcPr>
          <w:p>
            <w:pPr>
              <w:spacing w:after="0" w:line="252" w:lineRule="auto"/>
            </w:pPr>
            <w:r>
              <w:rPr>
                <w:sz w:val="17"/>
              </w:rPr>
              <w:t>LS</w:t>
            </w:r>
          </w:p>
        </w:tc>
        <w:tc>
          <w:tcPr>
            <w:tcW w:type="dxa" w:w="7876"/>
          </w:tcPr>
          <w:p>
            <w:pPr>
              <w:spacing w:after="0" w:line="252" w:lineRule="auto"/>
            </w:pPr>
            <w:r>
              <w:rPr>
                <w:sz w:val="17"/>
              </w:rPr>
              <w:t>Lieferschein</w:t>
            </w:r>
          </w:p>
        </w:tc>
      </w:tr>
      <w:tr>
        <w:tc>
          <w:tcPr>
            <w:tcW w:type="dxa" w:w="1648"/>
          </w:tcPr>
          <w:p>
            <w:pPr>
              <w:spacing w:after="0" w:line="252" w:lineRule="auto"/>
            </w:pPr>
            <w:r>
              <w:rPr>
                <w:sz w:val="17"/>
              </w:rPr>
              <w:t>LE</w:t>
            </w:r>
          </w:p>
        </w:tc>
        <w:tc>
          <w:tcPr>
            <w:tcW w:type="dxa" w:w="7876"/>
          </w:tcPr>
          <w:p>
            <w:pPr>
              <w:spacing w:after="0" w:line="252" w:lineRule="auto"/>
            </w:pPr>
            <w:r>
              <w:rPr>
                <w:sz w:val="17"/>
              </w:rPr>
              <w:t>Ladeeinheit</w:t>
            </w:r>
          </w:p>
        </w:tc>
      </w:tr>
      <w:tr>
        <w:tc>
          <w:tcPr>
            <w:tcW w:type="dxa" w:w="1648"/>
          </w:tcPr>
          <w:p>
            <w:pPr>
              <w:spacing w:after="0" w:line="252" w:lineRule="auto"/>
            </w:pPr>
            <w:r>
              <w:rPr>
                <w:sz w:val="17"/>
              </w:rPr>
              <w:t>RM</w:t>
            </w:r>
          </w:p>
        </w:tc>
        <w:tc>
          <w:tcPr>
            <w:tcW w:type="dxa" w:w="7876"/>
          </w:tcPr>
          <w:p>
            <w:pPr>
              <w:spacing w:after="0" w:line="252" w:lineRule="auto"/>
            </w:pPr>
            <w:r>
              <w:rPr>
                <w:sz w:val="17"/>
              </w:rPr>
              <w:t>Dialoge der Dokument- und Druckerverwaltung</w:t>
            </w:r>
          </w:p>
        </w:tc>
      </w:tr>
      <w:tr>
        <w:tc>
          <w:tcPr>
            <w:tcW w:type="dxa" w:w="1648"/>
          </w:tcPr>
          <w:p>
            <w:pPr>
              <w:spacing w:after="0" w:line="252" w:lineRule="auto"/>
            </w:pPr>
            <w:r>
              <w:rPr>
                <w:rFonts w:ascii="Consolas" w:hAnsi="Consolas" w:cs="Consolas" w:eastAsia="Consolas"/>
                <w:sz w:val="15"/>
              </w:rPr>
              <w:t>noteNo</w:t>
            </w:r>
          </w:p>
        </w:tc>
        <w:tc>
          <w:tcPr>
            <w:tcW w:type="dxa" w:w="7876"/>
          </w:tcPr>
          <w:p>
            <w:pPr>
              <w:spacing w:after="0" w:line="252" w:lineRule="auto"/>
            </w:pPr>
            <w:r>
              <w:rPr>
                <w:sz w:val="17"/>
              </w:rPr>
              <w:t>Lieferscheinnummer am Bedarf (Telegramm)</w:t>
            </w:r>
          </w:p>
        </w:tc>
      </w:tr>
    </w:tbl>
    <w:p>
      <w:pPr>
        <w:pStyle w:val="BeschriftungSSI"/>
      </w:pPr>
      <w:r>
        <w:t>Tab. 11: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How-to-Handbuch V 1.0</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Druckdokumente – WAMAS LS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Druckdokumente WAMAS LS 2.8</dc:title>
  <dc:subject>Lieferscheine, Packliste, Etiketten, Partneradressen – Verhalten von RM010 und RM100, PDF-Ablage, Sprache und Layout</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