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Dokumente drucken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Drucker, Dokumenttypen, Layouts, Zuordnungen und Etiketten in WAMAS Lift &amp; Store</w:t>
            </w:r>
          </w:p>
          <w:p>
            <w:pPr>
              <w:spacing w:after="0"/>
            </w:pPr>
            <w:r>
              <w:rPr>
                <w:b w:val="0"/>
                <w:color w:val="555555"/>
                <w:sz w:val="18"/>
              </w:rPr>
              <w:t>SSI SCHÄFER</w:t>
            </w:r>
          </w:p>
        </w:tc>
      </w:tr>
    </w:tbl>
    <w:p>
      <w:pPr>
        <w:spacing w:before="8617"/>
      </w:pPr>
      <w:r>
        <w:rPr>
          <w:sz w:val="18"/>
        </w:rPr>
        <w:t>V 1.1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Abgrenzung</w:t>
        <w:tab/>
        <w:t>5</w:t>
      </w:r>
    </w:p>
    <w:p>
      <w:pPr>
        <w:pStyle w:val="TOC2"/>
        <w:tabs>
          <w:tab w:pos="9524" w:val="right" w:leader="dot"/>
        </w:tabs>
      </w:pPr>
      <w:r>
        <w:t>1.4 Dokumentinformationen</w:t>
        <w:tab/>
        <w:t>5</w:t>
      </w:r>
    </w:p>
    <w:p>
      <w:pPr>
        <w:pStyle w:val="TOC1"/>
        <w:tabs>
          <w:tab w:pos="9524" w:val="right" w:leader="dot"/>
        </w:tabs>
      </w:pPr>
      <w:r>
        <w:t>2 Überblick: So entstehen Dokumente in WAMAS</w:t>
        <w:tab/>
        <w:t>6</w:t>
      </w:r>
    </w:p>
    <w:p>
      <w:pPr>
        <w:pStyle w:val="TOC2"/>
        <w:tabs>
          <w:tab w:pos="9524" w:val="right" w:leader="dot"/>
        </w:tabs>
      </w:pPr>
      <w:r>
        <w:t>2.1 Dokumentklassen</w:t>
        <w:tab/>
        <w:t>6</w:t>
      </w:r>
    </w:p>
    <w:p>
      <w:pPr>
        <w:pStyle w:val="TOC2"/>
        <w:tabs>
          <w:tab w:pos="9524" w:val="right" w:leader="dot"/>
        </w:tabs>
      </w:pPr>
      <w:r>
        <w:t>2.2 Komponenten und Dialoge</w:t>
        <w:tab/>
        <w:t>6</w:t>
      </w:r>
    </w:p>
    <w:p>
      <w:pPr>
        <w:pStyle w:val="TOC2"/>
        <w:tabs>
          <w:tab w:pos="9524" w:val="right" w:leader="dot"/>
        </w:tabs>
      </w:pPr>
      <w:r>
        <w:t>2.3 Ablauf einer Dokumentgenerierung</w:t>
        <w:tab/>
        <w:t>6</w:t>
      </w:r>
    </w:p>
    <w:p>
      <w:pPr>
        <w:pStyle w:val="TOC2"/>
        <w:tabs>
          <w:tab w:pos="9524" w:val="right" w:leader="dot"/>
        </w:tabs>
      </w:pPr>
      <w:r>
        <w:t>2.4 Abgleich mit Version 2.8</w:t>
        <w:tab/>
        <w:t>7</w:t>
      </w:r>
    </w:p>
    <w:p>
      <w:pPr>
        <w:pStyle w:val="TOC1"/>
        <w:tabs>
          <w:tab w:pos="9524" w:val="right" w:leader="dot"/>
        </w:tabs>
      </w:pPr>
      <w:r>
        <w:t>3 Drucker einrichten</w:t>
        <w:tab/>
        <w:t>8</w:t>
      </w:r>
    </w:p>
    <w:p>
      <w:pPr>
        <w:pStyle w:val="TOC2"/>
        <w:tabs>
          <w:tab w:pos="9524" w:val="right" w:leader="dot"/>
        </w:tabs>
      </w:pPr>
      <w:r>
        <w:t>3.1 Reihenfolge der Einrichtung</w:t>
        <w:tab/>
        <w:t>8</w:t>
      </w:r>
    </w:p>
    <w:p>
      <w:pPr>
        <w:pStyle w:val="TOC2"/>
        <w:tabs>
          <w:tab w:pos="9524" w:val="right" w:leader="dot"/>
        </w:tabs>
      </w:pPr>
      <w:r>
        <w:t>3.2 Seitengrößen und Druckauflösungen (RM020, RM021)</w:t>
        <w:tab/>
        <w:t>8</w:t>
      </w:r>
    </w:p>
    <w:p>
      <w:pPr>
        <w:pStyle w:val="TOC2"/>
        <w:tabs>
          <w:tab w:pos="9524" w:val="right" w:leader="dot"/>
        </w:tabs>
      </w:pPr>
      <w:r>
        <w:t>3.3 Druckertypen (RM015)</w:t>
        <w:tab/>
        <w:t>8</w:t>
      </w:r>
    </w:p>
    <w:p>
      <w:pPr>
        <w:pStyle w:val="TOC2"/>
        <w:tabs>
          <w:tab w:pos="9524" w:val="right" w:leader="dot"/>
        </w:tabs>
      </w:pPr>
      <w:r>
        <w:t>3.4 Drucker (RM011)</w:t>
        <w:tab/>
        <w:t>8</w:t>
      </w:r>
    </w:p>
    <w:p>
      <w:pPr>
        <w:pStyle w:val="TOC2"/>
        <w:tabs>
          <w:tab w:pos="9524" w:val="right" w:leader="dot"/>
        </w:tabs>
      </w:pPr>
      <w:r>
        <w:t>3.5 Druckerortzuordnung (RM017)</w:t>
        <w:tab/>
        <w:t>9</w:t>
      </w:r>
    </w:p>
    <w:p>
      <w:pPr>
        <w:pStyle w:val="TOC2"/>
        <w:tabs>
          <w:tab w:pos="9524" w:val="right" w:leader="dot"/>
        </w:tabs>
      </w:pPr>
      <w:r>
        <w:t>3.6 So wählt WAMAS den Drucker aus</w:t>
        <w:tab/>
        <w:t>9</w:t>
      </w:r>
    </w:p>
    <w:p>
      <w:pPr>
        <w:pStyle w:val="TOC1"/>
        <w:tabs>
          <w:tab w:pos="9524" w:val="right" w:leader="dot"/>
        </w:tabs>
      </w:pPr>
      <w:r>
        <w:t>4 Dokumenttypen, Layouts und Konfigurationen</w:t>
        <w:tab/>
        <w:t>10</w:t>
      </w:r>
    </w:p>
    <w:p>
      <w:pPr>
        <w:pStyle w:val="TOC2"/>
        <w:tabs>
          <w:tab w:pos="9524" w:val="right" w:leader="dot"/>
        </w:tabs>
      </w:pPr>
      <w:r>
        <w:t>4.1 Dokumenttypen (RM002)</w:t>
        <w:tab/>
        <w:t>10</w:t>
      </w:r>
    </w:p>
    <w:p>
      <w:pPr>
        <w:pStyle w:val="TOC2"/>
        <w:tabs>
          <w:tab w:pos="9524" w:val="right" w:leader="dot"/>
        </w:tabs>
      </w:pPr>
      <w:r>
        <w:t>4.2 Dokumentlayouts (RM003)</w:t>
        <w:tab/>
        <w:t>10</w:t>
      </w:r>
    </w:p>
    <w:p>
      <w:pPr>
        <w:pStyle w:val="TOC2"/>
        <w:tabs>
          <w:tab w:pos="9524" w:val="right" w:leader="dot"/>
        </w:tabs>
      </w:pPr>
      <w:r>
        <w:t>4.3 Standard-Dokumenttypkonfiguration (RM005)</w:t>
        <w:tab/>
        <w:t>10</w:t>
      </w:r>
    </w:p>
    <w:p>
      <w:pPr>
        <w:pStyle w:val="TOC2"/>
        <w:tabs>
          <w:tab w:pos="9524" w:val="right" w:leader="dot"/>
        </w:tabs>
      </w:pPr>
      <w:r>
        <w:t>4.4 E-Mail-Versand (RM030, RM040, RM008)</w:t>
        <w:tab/>
        <w:t>11</w:t>
      </w:r>
    </w:p>
    <w:p>
      <w:pPr>
        <w:pStyle w:val="TOC1"/>
        <w:tabs>
          <w:tab w:pos="9524" w:val="right" w:leader="dot"/>
        </w:tabs>
      </w:pPr>
      <w:r>
        <w:t>5 Zuordnung je Klient, Partner und Ort (RM010)</w:t>
        <w:tab/>
        <w:t>12</w:t>
      </w:r>
    </w:p>
    <w:p>
      <w:pPr>
        <w:pStyle w:val="TOC2"/>
        <w:tabs>
          <w:tab w:pos="9524" w:val="right" w:leader="dot"/>
        </w:tabs>
      </w:pPr>
      <w:r>
        <w:t>5.1 Prinzip</w:t>
        <w:tab/>
        <w:t>12</w:t>
      </w:r>
    </w:p>
    <w:p>
      <w:pPr>
        <w:pStyle w:val="TOC2"/>
        <w:tabs>
          <w:tab w:pos="9524" w:val="right" w:leader="dot"/>
        </w:tabs>
      </w:pPr>
      <w:r>
        <w:t>5.2 Zuordnung anlegen</w:t>
        <w:tab/>
        <w:t>12</w:t>
      </w:r>
    </w:p>
    <w:p>
      <w:pPr>
        <w:pStyle w:val="TOC2"/>
        <w:tabs>
          <w:tab w:pos="9524" w:val="right" w:leader="dot"/>
        </w:tabs>
      </w:pPr>
      <w:r>
        <w:t>5.3 Beispiel: Lieferschein je Klient und Partner</w:t>
        <w:tab/>
        <w:t>12</w:t>
      </w:r>
    </w:p>
    <w:p>
      <w:pPr>
        <w:pStyle w:val="TOC1"/>
        <w:tabs>
          <w:tab w:pos="9524" w:val="right" w:leader="dot"/>
        </w:tabs>
      </w:pPr>
      <w:r>
        <w:t>6 Automatisches Drucken</w:t>
        <w:tab/>
        <w:t>14</w:t>
      </w:r>
    </w:p>
    <w:p>
      <w:pPr>
        <w:pStyle w:val="TOC2"/>
        <w:tabs>
          <w:tab w:pos="9524" w:val="right" w:leader="dot"/>
        </w:tabs>
      </w:pPr>
      <w:r>
        <w:t>6.1 Übersicht der Auslöser</w:t>
        <w:tab/>
        <w:t>14</w:t>
      </w:r>
    </w:p>
    <w:p>
      <w:pPr>
        <w:pStyle w:val="TOC2"/>
        <w:tabs>
          <w:tab w:pos="9524" w:val="right" w:leader="dot"/>
        </w:tabs>
      </w:pPr>
      <w:r>
        <w:t>6.2 Kommissionieretiketten im Detail</w:t>
        <w:tab/>
        <w:t>14</w:t>
      </w:r>
    </w:p>
    <w:p>
      <w:pPr>
        <w:pStyle w:val="TOC2"/>
        <w:tabs>
          <w:tab w:pos="9524" w:val="right" w:leader="dot"/>
        </w:tabs>
      </w:pPr>
      <w:r>
        <w:t>6.3 Systemparameter mit Druckbezug</w:t>
        <w:tab/>
        <w:t>14</w:t>
      </w:r>
    </w:p>
    <w:p>
      <w:pPr>
        <w:pStyle w:val="TOC2"/>
        <w:tabs>
          <w:tab w:pos="9524" w:val="right" w:leader="dot"/>
        </w:tabs>
      </w:pPr>
      <w:r>
        <w:t>6.4 Weitere dokumentrelevante Stammdaten</w:t>
        <w:tab/>
        <w:t>15</w:t>
      </w:r>
    </w:p>
    <w:p>
      <w:pPr>
        <w:pStyle w:val="TOC1"/>
        <w:tabs>
          <w:tab w:pos="9524" w:val="right" w:leader="dot"/>
        </w:tabs>
      </w:pPr>
      <w:r>
        <w:t>7 Manuelles Drucken</w:t>
        <w:tab/>
        <w:t>16</w:t>
      </w:r>
    </w:p>
    <w:p>
      <w:pPr>
        <w:pStyle w:val="TOC2"/>
        <w:tabs>
          <w:tab w:pos="9524" w:val="right" w:leader="dot"/>
        </w:tabs>
      </w:pPr>
      <w:r>
        <w:t>7.1 Übersicht</w:t>
        <w:tab/>
        <w:t>16</w:t>
      </w:r>
    </w:p>
    <w:p>
      <w:pPr>
        <w:pStyle w:val="TOC2"/>
        <w:tabs>
          <w:tab w:pos="9524" w:val="right" w:leader="dot"/>
        </w:tabs>
      </w:pPr>
      <w:r>
        <w:t>7.2 Am Desktop drucken – Beispiel Lieferschein</w:t>
        <w:tab/>
        <w:t>16</w:t>
      </w:r>
    </w:p>
    <w:p>
      <w:pPr>
        <w:pStyle w:val="TOC2"/>
        <w:tabs>
          <w:tab w:pos="9524" w:val="right" w:leader="dot"/>
        </w:tabs>
      </w:pPr>
      <w:r>
        <w:t>7.3 Nachdruck aus dem Berichtsarchiv (RM018)</w:t>
        <w:tab/>
        <w:t>16</w:t>
      </w:r>
    </w:p>
    <w:p>
      <w:pPr>
        <w:pStyle w:val="TOC2"/>
        <w:tabs>
          <w:tab w:pos="9524" w:val="right" w:leader="dot"/>
        </w:tabs>
      </w:pPr>
      <w:r>
        <w:t>7.4 Am Touch-Client drucken</w:t>
        <w:tab/>
        <w:t>17</w:t>
      </w:r>
    </w:p>
    <w:p>
      <w:pPr>
        <w:pStyle w:val="TOC1"/>
        <w:tabs>
          <w:tab w:pos="9524" w:val="right" w:leader="dot"/>
        </w:tabs>
      </w:pPr>
      <w:r>
        <w:t>8 Etiketten und Barcodes</w:t>
        <w:tab/>
        <w:t>18</w:t>
      </w:r>
    </w:p>
    <w:p>
      <w:pPr>
        <w:pStyle w:val="TOC2"/>
        <w:tabs>
          <w:tab w:pos="9524" w:val="right" w:leader="dot"/>
        </w:tabs>
      </w:pPr>
      <w:r>
        <w:t>8.1 Etikettenarten</w:t>
        <w:tab/>
        <w:t>18</w:t>
      </w:r>
    </w:p>
    <w:p>
      <w:pPr>
        <w:pStyle w:val="TOC2"/>
        <w:tabs>
          <w:tab w:pos="9524" w:val="right" w:leader="dot"/>
        </w:tabs>
      </w:pPr>
      <w:r>
        <w:t>8.2 Seriennummern</w:t>
        <w:tab/>
        <w:t>18</w:t>
      </w:r>
    </w:p>
    <w:p>
      <w:pPr>
        <w:pStyle w:val="TOC2"/>
        <w:tabs>
          <w:tab w:pos="9524" w:val="right" w:leader="dot"/>
        </w:tabs>
      </w:pPr>
      <w:r>
        <w:t>8.3 Kommissionierbedarfsschein mit Barcodes</w:t>
        <w:tab/>
        <w:t>18</w:t>
      </w:r>
    </w:p>
    <w:p>
      <w:pPr>
        <w:pStyle w:val="TOC1"/>
        <w:tabs>
          <w:tab w:pos="9524" w:val="right" w:leader="dot"/>
        </w:tabs>
      </w:pPr>
      <w:r>
        <w:t>9 Fehlersuche</w:t>
        <w:tab/>
        <w:t>19</w:t>
      </w:r>
    </w:p>
    <w:p>
      <w:pPr>
        <w:pStyle w:val="TOC1"/>
        <w:tabs>
          <w:tab w:pos="9524" w:val="right" w:leader="dot"/>
        </w:tabs>
      </w:pPr>
      <w:r>
        <w:t>10 Stolperfallen</w:t>
        <w:tab/>
        <w:t>20</w:t>
      </w:r>
    </w:p>
    <w:p>
      <w:pPr>
        <w:pStyle w:val="TOC1"/>
        <w:tabs>
          <w:tab w:pos="9524" w:val="right" w:leader="dot"/>
        </w:tabs>
      </w:pPr>
      <w:r>
        <w:t>11 Praxisbeispiele</w:t>
        <w:tab/>
        <w:t>21</w:t>
      </w:r>
    </w:p>
    <w:p>
      <w:pPr>
        <w:pStyle w:val="TOC2"/>
        <w:tabs>
          <w:tab w:pos="9524" w:val="right" w:leader="dot"/>
        </w:tabs>
      </w:pPr>
      <w:r>
        <w:t>11.1 Neuen Etikettendrucker am Versand einrichten</w:t>
        <w:tab/>
        <w:t>21</w:t>
      </w:r>
    </w:p>
    <w:p>
      <w:pPr>
        <w:pStyle w:val="TOC2"/>
        <w:tabs>
          <w:tab w:pos="9524" w:val="right" w:leader="dot"/>
        </w:tabs>
      </w:pPr>
      <w:r>
        <w:t>11.2 Lieferschein automatisch drucken und archivieren</w:t>
        <w:tab/>
        <w:t>21</w:t>
      </w:r>
    </w:p>
    <w:p>
      <w:pPr>
        <w:pStyle w:val="TOC1"/>
        <w:tabs>
          <w:tab w:pos="9524" w:val="right" w:leader="dot"/>
        </w:tabs>
      </w:pPr>
      <w:r>
        <w:t>12 Dokumentationslücken und offene Fragen</w:t>
        <w:tab/>
        <w:t>22</w:t>
      </w:r>
    </w:p>
    <w:p>
      <w:pPr>
        <w:pStyle w:val="TOC1"/>
        <w:tabs>
          <w:tab w:pos="9524" w:val="right" w:leader="dot"/>
        </w:tabs>
      </w:pPr>
      <w:r>
        <w:t>13 Quellenverzeichnis</w:t>
        <w:tab/>
        <w:t>23</w:t>
      </w:r>
      <w:r>
        <w:fldChar w:fldCharType="end"/>
      </w:r>
    </w:p>
    <w:p>
      <w:pPr>
        <w:pStyle w:val="Heading1"/>
      </w:pPr>
      <w:r>
        <w:t>1 Über dieses Dokument</w:t>
      </w:r>
    </w:p>
    <w:p>
      <w:pPr>
        <w:pStyle w:val="Heading2"/>
      </w:pPr>
      <w:r>
        <w:t>1.1 Zweck</w:t>
      </w:r>
    </w:p>
    <w:p>
      <w:r>
        <w:t xml:space="preserve">Dieses How-to beschreibt, wie in </w:t>
      </w:r>
      <w:r>
        <w:rPr>
          <w:b/>
        </w:rPr>
        <w:t>WAMAS Lift &amp; Store 2.7</w:t>
      </w:r>
      <w:r>
        <w:t xml:space="preserve"> Belege, Listen und Etiketten erzeugt und gedruckt werden. Es führt durch die Einrichtung der Drucker, die Pflege von Dokumenttypen, Layouts und Standard-Dokumenttypkonfigurationen, die Zuordnung von Konfigurationen zu Klienten und Partnern, das automatische und manuelle Drucken sowie die Fehlersuche.</w:t>
      </w:r>
    </w:p>
    <w:p>
      <w:pPr>
        <w:pStyle w:val="Heading2"/>
      </w:pPr>
      <w:r>
        <w:t>1.2 Lesehinweise</w:t>
      </w:r>
    </w:p>
    <w:p>
      <w:pPr>
        <w:pStyle w:val="ListBullet"/>
      </w:pPr>
      <w:r>
        <w:t>Kapitel 2 erklärt das Zusammenspiel der Komponenten. Wer nur einen neuen Drucker einrichten will, springt direkt zu Kapitel 3.</w:t>
      </w:r>
    </w:p>
    <w:p>
      <w:pPr>
        <w:pStyle w:val="ListBullet"/>
      </w:pPr>
      <w:r>
        <w:t>Kapitel 4 und 5 richten sich an Administratoren, die Layouts und Zuordnungen pflegen.</w:t>
      </w:r>
    </w:p>
    <w:p>
      <w:pPr>
        <w:pStyle w:val="ListBullet"/>
      </w:pPr>
      <w:r>
        <w:t>Kapitel 6 und 7 zeigen, wann WAMAS automatisch druckt und wie Anwender manuell drucken.</w:t>
      </w:r>
    </w:p>
    <w:p>
      <w:pPr>
        <w:pStyle w:val="ListBullet"/>
      </w:pPr>
      <w:r>
        <w:t>Kapitel 9 (Fehlersuche) und 10 (Stolperfallen) sammeln typische Probleme.</w:t>
      </w:r>
    </w:p>
    <w:p>
      <w:pPr>
        <w:pStyle w:val="ListBullet"/>
      </w:pPr>
      <w:r>
        <w:t xml:space="preserve">Dialognamen und Buttons sind </w:t>
      </w:r>
      <w:r>
        <w:rPr>
          <w:b/>
        </w:rPr>
        <w:t>fett</w:t>
      </w:r>
      <w:r>
        <w:t xml:space="preserve">, Felder der Schnittstelle und Systemparameter in </w:t>
      </w:r>
      <w:r>
        <w:rPr>
          <w:rFonts w:ascii="Consolas" w:hAnsi="Consolas" w:cs="Consolas" w:eastAsia="Consolas"/>
          <w:sz w:val="18"/>
        </w:rPr>
        <w:t>Code</w:t>
      </w:r>
      <w:r>
        <w:t>-Schrift gesetzt.</w:t>
      </w:r>
    </w:p>
    <w:p>
      <w:pPr>
        <w:pStyle w:val="ListBullet"/>
      </w:pPr>
      <w:r>
        <w:t>Alle Aussagen sind mit einer Quellenzeile belegt. Lücken in der Herstellerdokumentation sind als graue Kästen „Dokumentationslücke“ markiert.</w:t>
      </w:r>
    </w:p>
    <w:p>
      <w:pPr>
        <w:pStyle w:val="Heading2"/>
      </w:pPr>
      <w:r>
        <w:t>1.3 Abgrenzung</w:t>
      </w:r>
    </w:p>
    <w:p>
      <w:r>
        <w:t>Nicht Bestandteil sind die Entwicklung neuer Layouts (HTML/CSS, ZPL II) im Kundenprojekt und die Dokument-Handlingsysteme des WAMAS MFS (z. B. Document Drop, Lidding and Inserting, Etikettiersystem). Diese werden laut Administratorhandbuch separat konfiguriert.</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Dokumente drucken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1.1</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Projektingenieure,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Administratorhandbuch 2.7 (deDE), Benutzerhandbuch 2.7 (deDE), Installationshandbuch 2.7, Schnittstellenhandbuch WLS–ERP 2.7, Abgleich mit Handbüchern 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14.10.2026</w:t>
            </w:r>
          </w:p>
        </w:tc>
        <w:tc>
          <w:tcPr>
            <w:tcW w:type="dxa" w:w="7422"/>
          </w:tcPr>
          <w:p>
            <w:pPr>
              <w:spacing w:after="0" w:line="252" w:lineRule="auto"/>
            </w:pPr>
            <w:r>
              <w:rPr>
                <w:sz w:val="17"/>
              </w:rPr>
              <w:t>Erstausgabe auf Basis der Handbücher 2.7, abgeglichen mit 2.8</w:t>
            </w:r>
          </w:p>
        </w:tc>
      </w:tr>
      <w:tr>
        <w:tc>
          <w:tcPr>
            <w:tcW w:type="dxa" w:w="866"/>
          </w:tcPr>
          <w:p>
            <w:pPr>
              <w:spacing w:after="0" w:line="252" w:lineRule="auto"/>
            </w:pPr>
            <w:r>
              <w:rPr>
                <w:sz w:val="17"/>
              </w:rPr>
              <w:t>1.1</w:t>
            </w:r>
          </w:p>
        </w:tc>
        <w:tc>
          <w:tcPr>
            <w:tcW w:type="dxa" w:w="1237"/>
          </w:tcPr>
          <w:p>
            <w:pPr>
              <w:spacing w:after="0" w:line="252" w:lineRule="auto"/>
            </w:pPr>
            <w:r>
              <w:rPr>
                <w:sz w:val="17"/>
              </w:rPr>
              <w:t>15.10.2026</w:t>
            </w:r>
          </w:p>
        </w:tc>
        <w:tc>
          <w:tcPr>
            <w:tcW w:type="dxa" w:w="7422"/>
          </w:tcPr>
          <w:p>
            <w:pPr>
              <w:spacing w:after="0" w:line="252" w:lineRule="auto"/>
            </w:pPr>
            <w:r>
              <w:rPr>
                <w:sz w:val="17"/>
              </w:rPr>
              <w:t>LM069 korrigiert (Etikettendruck nur WH004/LM044)</w:t>
            </w:r>
          </w:p>
        </w:tc>
      </w:tr>
    </w:tbl>
    <w:p>
      <w:pPr>
        <w:pStyle w:val="BeschriftungSSI"/>
      </w:pPr>
      <w:r>
        <w:t>Tab. 1: Änderungshistorie</w:t>
      </w:r>
    </w:p>
    <w:p>
      <w:pPr>
        <w:pStyle w:val="Heading1"/>
      </w:pPr>
      <w:r>
        <w:t>2 Überblick: So entstehen Dokumente in WAMAS</w:t>
      </w:r>
    </w:p>
    <w:p>
      <w:pPr>
        <w:pStyle w:val="Heading2"/>
      </w:pPr>
      <w:r>
        <w:t>2.1 Dokumentklassen</w:t>
      </w:r>
    </w:p>
    <w:p>
      <w:r>
        <w:t>WAMAS verfügt über ein zentrales Dokumentenerstellungssystem. Dokumente werden auf Basis einer HTML-Vorlage mit CSS erstellt und mit Daten aus WAMAS befüllt. Sie können gedruckt, per E-Mail versendet oder in Datenbank bzw. Dateisystem gespeichert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99"/>
        <w:gridCol w:w="5007"/>
        <w:gridCol w:w="3419"/>
      </w:tblGrid>
      <w:tr>
        <w:trPr>
          <w:tblHeader w:val="true"/>
        </w:trPr>
        <w:tc>
          <w:tcPr>
            <w:tcW w:type="dxa" w:w="1099"/>
            <w:shd w:val="clear" w:color="auto" w:fill="FEEE19"/>
          </w:tcPr>
          <w:p>
            <w:pPr>
              <w:spacing w:after="0"/>
            </w:pPr>
            <w:r>
              <w:rPr>
                <w:b/>
                <w:sz w:val="17"/>
              </w:rPr>
              <w:t>Klasse</w:t>
            </w:r>
          </w:p>
        </w:tc>
        <w:tc>
          <w:tcPr>
            <w:tcW w:type="dxa" w:w="5006"/>
            <w:shd w:val="clear" w:color="auto" w:fill="FEEE19"/>
          </w:tcPr>
          <w:p>
            <w:pPr>
              <w:spacing w:after="0"/>
            </w:pPr>
            <w:r>
              <w:rPr>
                <w:b/>
                <w:sz w:val="17"/>
              </w:rPr>
              <w:t>Zweck</w:t>
            </w:r>
          </w:p>
        </w:tc>
        <w:tc>
          <w:tcPr>
            <w:tcW w:type="dxa" w:w="3419"/>
            <w:shd w:val="clear" w:color="auto" w:fill="FEEE19"/>
          </w:tcPr>
          <w:p>
            <w:pPr>
              <w:spacing w:after="0"/>
            </w:pPr>
            <w:r>
              <w:rPr>
                <w:b/>
                <w:sz w:val="17"/>
              </w:rPr>
              <w:t>Beispiel</w:t>
            </w:r>
          </w:p>
        </w:tc>
      </w:tr>
      <w:tr>
        <w:tc>
          <w:tcPr>
            <w:tcW w:type="dxa" w:w="1099"/>
          </w:tcPr>
          <w:p>
            <w:pPr>
              <w:spacing w:after="0" w:line="252" w:lineRule="auto"/>
            </w:pPr>
            <w:r>
              <w:rPr>
                <w:sz w:val="17"/>
              </w:rPr>
              <w:t>Scheine</w:t>
            </w:r>
          </w:p>
        </w:tc>
        <w:tc>
          <w:tcPr>
            <w:tcW w:type="dxa" w:w="5006"/>
          </w:tcPr>
          <w:p>
            <w:pPr>
              <w:spacing w:after="0" w:line="252" w:lineRule="auto"/>
            </w:pPr>
            <w:r>
              <w:rPr>
                <w:sz w:val="17"/>
              </w:rPr>
              <w:t>Bestätigen die Ausführung einer Aktivität</w:t>
            </w:r>
          </w:p>
        </w:tc>
        <w:tc>
          <w:tcPr>
            <w:tcW w:type="dxa" w:w="3419"/>
          </w:tcPr>
          <w:p>
            <w:pPr>
              <w:spacing w:after="0" w:line="252" w:lineRule="auto"/>
            </w:pPr>
            <w:r>
              <w:rPr>
                <w:sz w:val="17"/>
              </w:rPr>
              <w:t>Anlieferschein, Lieferschein</w:t>
            </w:r>
          </w:p>
        </w:tc>
      </w:tr>
      <w:tr>
        <w:tc>
          <w:tcPr>
            <w:tcW w:type="dxa" w:w="1099"/>
          </w:tcPr>
          <w:p>
            <w:pPr>
              <w:spacing w:after="0" w:line="252" w:lineRule="auto"/>
            </w:pPr>
            <w:r>
              <w:rPr>
                <w:sz w:val="17"/>
              </w:rPr>
              <w:t>Etiketten</w:t>
            </w:r>
          </w:p>
        </w:tc>
        <w:tc>
          <w:tcPr>
            <w:tcW w:type="dxa" w:w="5006"/>
          </w:tcPr>
          <w:p>
            <w:pPr>
              <w:spacing w:after="0" w:line="252" w:lineRule="auto"/>
            </w:pPr>
            <w:r>
              <w:rPr>
                <w:sz w:val="17"/>
              </w:rPr>
              <w:t>Liefern Identifikationsinformationen</w:t>
            </w:r>
          </w:p>
        </w:tc>
        <w:tc>
          <w:tcPr>
            <w:tcW w:type="dxa" w:w="3419"/>
          </w:tcPr>
          <w:p>
            <w:pPr>
              <w:spacing w:after="0" w:line="252" w:lineRule="auto"/>
            </w:pPr>
            <w:r>
              <w:rPr>
                <w:sz w:val="17"/>
              </w:rPr>
              <w:t>LE-Etikett, Versandetikett</w:t>
            </w:r>
          </w:p>
        </w:tc>
      </w:tr>
      <w:tr>
        <w:tc>
          <w:tcPr>
            <w:tcW w:type="dxa" w:w="1099"/>
          </w:tcPr>
          <w:p>
            <w:pPr>
              <w:spacing w:after="0" w:line="252" w:lineRule="auto"/>
            </w:pPr>
            <w:r>
              <w:rPr>
                <w:sz w:val="17"/>
              </w:rPr>
              <w:t>Listen</w:t>
            </w:r>
          </w:p>
        </w:tc>
        <w:tc>
          <w:tcPr>
            <w:tcW w:type="dxa" w:w="5006"/>
          </w:tcPr>
          <w:p>
            <w:pPr>
              <w:spacing w:after="0" w:line="252" w:lineRule="auto"/>
            </w:pPr>
            <w:r>
              <w:rPr>
                <w:sz w:val="17"/>
              </w:rPr>
              <w:t>Enthalten das Ergebnis eines Prozesses</w:t>
            </w:r>
          </w:p>
        </w:tc>
        <w:tc>
          <w:tcPr>
            <w:tcW w:type="dxa" w:w="3419"/>
          </w:tcPr>
          <w:p>
            <w:pPr>
              <w:spacing w:after="0" w:line="252" w:lineRule="auto"/>
            </w:pPr>
            <w:r>
              <w:rPr>
                <w:sz w:val="17"/>
              </w:rPr>
              <w:t>Ladeliste, Packliste</w:t>
            </w:r>
          </w:p>
        </w:tc>
      </w:tr>
    </w:tbl>
    <w:p>
      <w:pPr>
        <w:pStyle w:val="BeschriftungSSI"/>
      </w:pPr>
      <w:r>
        <w:t>Tab. 2: Dokumentklassen in WAMAS</w:t>
      </w:r>
    </w:p>
    <w:p>
      <w:pPr>
        <w:pStyle w:val="Quelle"/>
      </w:pPr>
      <w:r>
        <w:rPr>
          <w:b/>
        </w:rPr>
        <w:t xml:space="preserve">Quelle: </w:t>
      </w:r>
      <w:r>
        <w:rPr>
          <w:sz w:val="17"/>
        </w:rPr>
        <w:t>Administratorhandbuch 2.7, Kap. 3.7 (S. 141)</w:t>
      </w:r>
    </w:p>
    <w:p>
      <w:pPr>
        <w:pStyle w:val="Heading2"/>
      </w:pPr>
      <w:r>
        <w:t>2.2 Komponenten und Dialoge</w:t>
      </w:r>
    </w:p>
    <w:p>
      <w:r>
        <w:t>Konfiguration, Layout und Inhalt sind getrennt. Dadurch kann dasselbe Dokument z. B. einmal als PDF gedruckt und einmal per E-Mail versendet werden, ohne ein neues Dokument anzulegen.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16"/>
        <w:gridCol w:w="1739"/>
        <w:gridCol w:w="4969"/>
      </w:tblGrid>
      <w:tr>
        <w:trPr>
          <w:tblHeader w:val="true"/>
        </w:trPr>
        <w:tc>
          <w:tcPr>
            <w:tcW w:type="dxa" w:w="2816"/>
            <w:shd w:val="clear" w:color="auto" w:fill="FEEE19"/>
          </w:tcPr>
          <w:p>
            <w:pPr>
              <w:spacing w:after="0"/>
            </w:pPr>
            <w:r>
              <w:rPr>
                <w:b/>
                <w:sz w:val="17"/>
              </w:rPr>
              <w:t>Komponente</w:t>
            </w:r>
          </w:p>
        </w:tc>
        <w:tc>
          <w:tcPr>
            <w:tcW w:type="dxa" w:w="1739"/>
            <w:shd w:val="clear" w:color="auto" w:fill="FEEE19"/>
          </w:tcPr>
          <w:p>
            <w:pPr>
              <w:spacing w:after="0"/>
            </w:pPr>
            <w:r>
              <w:rPr>
                <w:b/>
                <w:sz w:val="17"/>
              </w:rPr>
              <w:t>Dialog</w:t>
            </w:r>
          </w:p>
        </w:tc>
        <w:tc>
          <w:tcPr>
            <w:tcW w:type="dxa" w:w="4969"/>
            <w:shd w:val="clear" w:color="auto" w:fill="FEEE19"/>
          </w:tcPr>
          <w:p>
            <w:pPr>
              <w:spacing w:after="0"/>
            </w:pPr>
            <w:r>
              <w:rPr>
                <w:b/>
                <w:sz w:val="17"/>
              </w:rPr>
              <w:t>Aufgabe</w:t>
            </w:r>
          </w:p>
        </w:tc>
      </w:tr>
      <w:tr>
        <w:tc>
          <w:tcPr>
            <w:tcW w:type="dxa" w:w="2816"/>
          </w:tcPr>
          <w:p>
            <w:pPr>
              <w:spacing w:after="0" w:line="252" w:lineRule="auto"/>
            </w:pPr>
            <w:r>
              <w:rPr>
                <w:sz w:val="17"/>
              </w:rPr>
              <w:t>Dokumenttyp</w:t>
            </w:r>
          </w:p>
        </w:tc>
        <w:tc>
          <w:tcPr>
            <w:tcW w:type="dxa" w:w="1739"/>
          </w:tcPr>
          <w:p>
            <w:pPr>
              <w:spacing w:after="0" w:line="252" w:lineRule="auto"/>
            </w:pPr>
            <w:r>
              <w:rPr>
                <w:b/>
                <w:sz w:val="17"/>
              </w:rPr>
              <w:t>RM002</w:t>
            </w:r>
          </w:p>
        </w:tc>
        <w:tc>
          <w:tcPr>
            <w:tcW w:type="dxa" w:w="4969"/>
          </w:tcPr>
          <w:p>
            <w:pPr>
              <w:spacing w:after="0" w:line="252" w:lineRule="auto"/>
            </w:pPr>
            <w:r>
              <w:rPr>
                <w:sz w:val="17"/>
              </w:rPr>
              <w:t>Standard-Dokument eines Prozesses, Parameter für das Layout</w:t>
            </w:r>
          </w:p>
        </w:tc>
      </w:tr>
      <w:tr>
        <w:tc>
          <w:tcPr>
            <w:tcW w:type="dxa" w:w="2816"/>
          </w:tcPr>
          <w:p>
            <w:pPr>
              <w:spacing w:after="0" w:line="252" w:lineRule="auto"/>
            </w:pPr>
            <w:r>
              <w:rPr>
                <w:sz w:val="17"/>
              </w:rPr>
              <w:t>Dokumentlayout</w:t>
            </w:r>
          </w:p>
        </w:tc>
        <w:tc>
          <w:tcPr>
            <w:tcW w:type="dxa" w:w="1739"/>
          </w:tcPr>
          <w:p>
            <w:pPr>
              <w:spacing w:after="0" w:line="252" w:lineRule="auto"/>
            </w:pPr>
            <w:r>
              <w:rPr>
                <w:b/>
                <w:sz w:val="17"/>
              </w:rPr>
              <w:t>RM003</w:t>
            </w:r>
          </w:p>
        </w:tc>
        <w:tc>
          <w:tcPr>
            <w:tcW w:type="dxa" w:w="4969"/>
          </w:tcPr>
          <w:p>
            <w:pPr>
              <w:spacing w:after="0" w:line="252" w:lineRule="auto"/>
            </w:pPr>
            <w:r>
              <w:rPr>
                <w:sz w:val="17"/>
              </w:rPr>
              <w:t>HTML- oder ZPL-II-Vorlage mit Auflösung, Seitengröße, Version</w:t>
            </w:r>
          </w:p>
        </w:tc>
      </w:tr>
      <w:tr>
        <w:tc>
          <w:tcPr>
            <w:tcW w:type="dxa" w:w="2816"/>
          </w:tcPr>
          <w:p>
            <w:pPr>
              <w:spacing w:after="0" w:line="252" w:lineRule="auto"/>
            </w:pPr>
            <w:r>
              <w:rPr>
                <w:sz w:val="17"/>
              </w:rPr>
              <w:t>Standard-Dokumenttypkonfiguration</w:t>
            </w:r>
          </w:p>
        </w:tc>
        <w:tc>
          <w:tcPr>
            <w:tcW w:type="dxa" w:w="1739"/>
          </w:tcPr>
          <w:p>
            <w:pPr>
              <w:spacing w:after="0" w:line="252" w:lineRule="auto"/>
            </w:pPr>
            <w:r>
              <w:rPr>
                <w:b/>
                <w:sz w:val="17"/>
              </w:rPr>
              <w:t>RM005</w:t>
            </w:r>
          </w:p>
        </w:tc>
        <w:tc>
          <w:tcPr>
            <w:tcW w:type="dxa" w:w="4969"/>
          </w:tcPr>
          <w:p>
            <w:pPr>
              <w:spacing w:after="0" w:line="252" w:lineRule="auto"/>
            </w:pPr>
            <w:r>
              <w:rPr>
                <w:sz w:val="17"/>
              </w:rPr>
              <w:t>Verknüpft Dokumenttyp und Layout; Kanäle, Sprache, Renderer</w:t>
            </w:r>
          </w:p>
        </w:tc>
      </w:tr>
      <w:tr>
        <w:tc>
          <w:tcPr>
            <w:tcW w:type="dxa" w:w="2816"/>
          </w:tcPr>
          <w:p>
            <w:pPr>
              <w:spacing w:after="0" w:line="252" w:lineRule="auto"/>
            </w:pPr>
            <w:r>
              <w:rPr>
                <w:sz w:val="17"/>
              </w:rPr>
              <w:t>SMTP-Server</w:t>
            </w:r>
          </w:p>
        </w:tc>
        <w:tc>
          <w:tcPr>
            <w:tcW w:type="dxa" w:w="1739"/>
          </w:tcPr>
          <w:p>
            <w:pPr>
              <w:spacing w:after="0" w:line="252" w:lineRule="auto"/>
            </w:pPr>
            <w:r>
              <w:rPr>
                <w:b/>
                <w:sz w:val="17"/>
              </w:rPr>
              <w:t>RM030</w:t>
            </w:r>
          </w:p>
        </w:tc>
        <w:tc>
          <w:tcPr>
            <w:tcW w:type="dxa" w:w="4969"/>
          </w:tcPr>
          <w:p>
            <w:pPr>
              <w:spacing w:after="0" w:line="252" w:lineRule="auto"/>
            </w:pPr>
            <w:r>
              <w:rPr>
                <w:sz w:val="17"/>
              </w:rPr>
              <w:t>Mailserver für den E-Mail-Kanal</w:t>
            </w:r>
          </w:p>
        </w:tc>
      </w:tr>
      <w:tr>
        <w:tc>
          <w:tcPr>
            <w:tcW w:type="dxa" w:w="2816"/>
          </w:tcPr>
          <w:p>
            <w:pPr>
              <w:spacing w:after="0" w:line="252" w:lineRule="auto"/>
            </w:pPr>
            <w:r>
              <w:rPr>
                <w:sz w:val="17"/>
              </w:rPr>
              <w:t>E-Mail-Vorlage</w:t>
            </w:r>
          </w:p>
        </w:tc>
        <w:tc>
          <w:tcPr>
            <w:tcW w:type="dxa" w:w="1739"/>
          </w:tcPr>
          <w:p>
            <w:pPr>
              <w:spacing w:after="0" w:line="252" w:lineRule="auto"/>
            </w:pPr>
            <w:r>
              <w:rPr>
                <w:b/>
                <w:sz w:val="17"/>
              </w:rPr>
              <w:t>RM040</w:t>
            </w:r>
          </w:p>
        </w:tc>
        <w:tc>
          <w:tcPr>
            <w:tcW w:type="dxa" w:w="4969"/>
          </w:tcPr>
          <w:p>
            <w:pPr>
              <w:spacing w:after="0" w:line="252" w:lineRule="auto"/>
            </w:pPr>
            <w:r>
              <w:rPr>
                <w:sz w:val="17"/>
              </w:rPr>
              <w:t>Absender, Empfänger, Betreff, Text</w:t>
            </w:r>
          </w:p>
        </w:tc>
      </w:tr>
      <w:tr>
        <w:tc>
          <w:tcPr>
            <w:tcW w:type="dxa" w:w="2816"/>
          </w:tcPr>
          <w:p>
            <w:pPr>
              <w:spacing w:after="0" w:line="252" w:lineRule="auto"/>
            </w:pPr>
            <w:r>
              <w:rPr>
                <w:sz w:val="17"/>
              </w:rPr>
              <w:t>E-Mail-Adresse</w:t>
            </w:r>
          </w:p>
        </w:tc>
        <w:tc>
          <w:tcPr>
            <w:tcW w:type="dxa" w:w="1739"/>
          </w:tcPr>
          <w:p>
            <w:pPr>
              <w:spacing w:after="0" w:line="252" w:lineRule="auto"/>
            </w:pPr>
            <w:r>
              <w:rPr>
                <w:b/>
                <w:sz w:val="17"/>
              </w:rPr>
              <w:t>RM008</w:t>
            </w:r>
          </w:p>
        </w:tc>
        <w:tc>
          <w:tcPr>
            <w:tcW w:type="dxa" w:w="4969"/>
          </w:tcPr>
          <w:p>
            <w:pPr>
              <w:spacing w:after="0" w:line="252" w:lineRule="auto"/>
            </w:pPr>
            <w:r>
              <w:rPr>
                <w:sz w:val="17"/>
              </w:rPr>
              <w:t>Statische und dynamische E-Mail-Einträge</w:t>
            </w:r>
          </w:p>
        </w:tc>
      </w:tr>
      <w:tr>
        <w:tc>
          <w:tcPr>
            <w:tcW w:type="dxa" w:w="2816"/>
          </w:tcPr>
          <w:p>
            <w:pPr>
              <w:spacing w:after="0" w:line="252" w:lineRule="auto"/>
            </w:pPr>
            <w:r>
              <w:rPr>
                <w:sz w:val="17"/>
              </w:rPr>
              <w:t>Dokumenttypkonfiguration-Zuordnung</w:t>
            </w:r>
          </w:p>
        </w:tc>
        <w:tc>
          <w:tcPr>
            <w:tcW w:type="dxa" w:w="1739"/>
          </w:tcPr>
          <w:p>
            <w:pPr>
              <w:spacing w:after="0" w:line="252" w:lineRule="auto"/>
            </w:pPr>
            <w:r>
              <w:rPr>
                <w:b/>
                <w:sz w:val="17"/>
              </w:rPr>
              <w:t>RM010</w:t>
            </w:r>
          </w:p>
        </w:tc>
        <w:tc>
          <w:tcPr>
            <w:tcW w:type="dxa" w:w="4969"/>
          </w:tcPr>
          <w:p>
            <w:pPr>
              <w:spacing w:after="0" w:line="252" w:lineRule="auto"/>
            </w:pPr>
            <w:r>
              <w:rPr>
                <w:sz w:val="17"/>
              </w:rPr>
              <w:t>Wann welche Konfiguration gilt (Klient, Partner …)</w:t>
            </w:r>
          </w:p>
        </w:tc>
      </w:tr>
      <w:tr>
        <w:tc>
          <w:tcPr>
            <w:tcW w:type="dxa" w:w="2816"/>
          </w:tcPr>
          <w:p>
            <w:pPr>
              <w:spacing w:after="0" w:line="252" w:lineRule="auto"/>
            </w:pPr>
            <w:r>
              <w:rPr>
                <w:sz w:val="17"/>
              </w:rPr>
              <w:t>Druckertyp</w:t>
            </w:r>
          </w:p>
        </w:tc>
        <w:tc>
          <w:tcPr>
            <w:tcW w:type="dxa" w:w="1739"/>
          </w:tcPr>
          <w:p>
            <w:pPr>
              <w:spacing w:after="0" w:line="252" w:lineRule="auto"/>
            </w:pPr>
            <w:r>
              <w:rPr>
                <w:b/>
                <w:sz w:val="17"/>
              </w:rPr>
              <w:t>RM015</w:t>
            </w:r>
          </w:p>
        </w:tc>
        <w:tc>
          <w:tcPr>
            <w:tcW w:type="dxa" w:w="4969"/>
          </w:tcPr>
          <w:p>
            <w:pPr>
              <w:spacing w:after="0" w:line="252" w:lineRule="auto"/>
            </w:pPr>
            <w:r>
              <w:rPr>
                <w:sz w:val="17"/>
              </w:rPr>
              <w:t>Unterstützte Seitengrößen, Auflösungen, Formate; Druckbefehl</w:t>
            </w:r>
          </w:p>
        </w:tc>
      </w:tr>
      <w:tr>
        <w:tc>
          <w:tcPr>
            <w:tcW w:type="dxa" w:w="2816"/>
          </w:tcPr>
          <w:p>
            <w:pPr>
              <w:spacing w:after="0" w:line="252" w:lineRule="auto"/>
            </w:pPr>
            <w:r>
              <w:rPr>
                <w:sz w:val="17"/>
              </w:rPr>
              <w:t>Seitengröße / Druckauflösung</w:t>
            </w:r>
          </w:p>
        </w:tc>
        <w:tc>
          <w:tcPr>
            <w:tcW w:type="dxa" w:w="1739"/>
          </w:tcPr>
          <w:p>
            <w:pPr>
              <w:spacing w:after="0" w:line="252" w:lineRule="auto"/>
            </w:pPr>
            <w:r>
              <w:rPr>
                <w:b/>
                <w:sz w:val="17"/>
              </w:rPr>
              <w:t>RM020</w:t>
            </w:r>
            <w:r>
              <w:rPr>
                <w:sz w:val="17"/>
              </w:rPr>
              <w:t xml:space="preserve"> / </w:t>
            </w:r>
            <w:r>
              <w:rPr>
                <w:b/>
                <w:sz w:val="17"/>
              </w:rPr>
              <w:t>RM021</w:t>
            </w:r>
          </w:p>
        </w:tc>
        <w:tc>
          <w:tcPr>
            <w:tcW w:type="dxa" w:w="4969"/>
          </w:tcPr>
          <w:p>
            <w:pPr>
              <w:spacing w:after="0" w:line="252" w:lineRule="auto"/>
            </w:pPr>
            <w:r>
              <w:rPr>
                <w:sz w:val="17"/>
              </w:rPr>
              <w:t>Stammdaten für Layout und Druckertyp</w:t>
            </w:r>
          </w:p>
        </w:tc>
      </w:tr>
      <w:tr>
        <w:tc>
          <w:tcPr>
            <w:tcW w:type="dxa" w:w="2816"/>
          </w:tcPr>
          <w:p>
            <w:pPr>
              <w:spacing w:after="0" w:line="252" w:lineRule="auto"/>
            </w:pPr>
            <w:r>
              <w:rPr>
                <w:sz w:val="17"/>
              </w:rPr>
              <w:t>Drucker</w:t>
            </w:r>
          </w:p>
        </w:tc>
        <w:tc>
          <w:tcPr>
            <w:tcW w:type="dxa" w:w="1739"/>
          </w:tcPr>
          <w:p>
            <w:pPr>
              <w:spacing w:after="0" w:line="252" w:lineRule="auto"/>
            </w:pPr>
            <w:r>
              <w:rPr>
                <w:b/>
                <w:sz w:val="17"/>
              </w:rPr>
              <w:t>RM011</w:t>
            </w:r>
          </w:p>
        </w:tc>
        <w:tc>
          <w:tcPr>
            <w:tcW w:type="dxa" w:w="4969"/>
          </w:tcPr>
          <w:p>
            <w:pPr>
              <w:spacing w:after="0" w:line="252" w:lineRule="auto"/>
            </w:pPr>
            <w:r>
              <w:rPr>
                <w:sz w:val="17"/>
              </w:rPr>
              <w:t>Konkreter Drucker mit Reihenfolge und Drucksystem-ID</w:t>
            </w:r>
          </w:p>
        </w:tc>
      </w:tr>
      <w:tr>
        <w:tc>
          <w:tcPr>
            <w:tcW w:type="dxa" w:w="2816"/>
          </w:tcPr>
          <w:p>
            <w:pPr>
              <w:spacing w:after="0" w:line="252" w:lineRule="auto"/>
            </w:pPr>
            <w:r>
              <w:rPr>
                <w:sz w:val="17"/>
              </w:rPr>
              <w:t>Druckerortzuordnung</w:t>
            </w:r>
          </w:p>
        </w:tc>
        <w:tc>
          <w:tcPr>
            <w:tcW w:type="dxa" w:w="1739"/>
          </w:tcPr>
          <w:p>
            <w:pPr>
              <w:spacing w:after="0" w:line="252" w:lineRule="auto"/>
            </w:pPr>
            <w:r>
              <w:rPr>
                <w:b/>
                <w:sz w:val="17"/>
              </w:rPr>
              <w:t>RM017</w:t>
            </w:r>
          </w:p>
        </w:tc>
        <w:tc>
          <w:tcPr>
            <w:tcW w:type="dxa" w:w="4969"/>
          </w:tcPr>
          <w:p>
            <w:pPr>
              <w:spacing w:after="0" w:line="252" w:lineRule="auto"/>
            </w:pPr>
            <w:r>
              <w:rPr>
                <w:sz w:val="17"/>
              </w:rPr>
              <w:t>Welcher Drucker an welchem Ort/Terminal</w:t>
            </w:r>
          </w:p>
        </w:tc>
      </w:tr>
      <w:tr>
        <w:tc>
          <w:tcPr>
            <w:tcW w:type="dxa" w:w="2816"/>
          </w:tcPr>
          <w:p>
            <w:pPr>
              <w:spacing w:after="0" w:line="252" w:lineRule="auto"/>
            </w:pPr>
            <w:r>
              <w:rPr>
                <w:sz w:val="17"/>
              </w:rPr>
              <w:t>Dokument erzeugen</w:t>
            </w:r>
          </w:p>
        </w:tc>
        <w:tc>
          <w:tcPr>
            <w:tcW w:type="dxa" w:w="1739"/>
          </w:tcPr>
          <w:p>
            <w:pPr>
              <w:spacing w:after="0" w:line="252" w:lineRule="auto"/>
            </w:pPr>
            <w:r>
              <w:rPr>
                <w:b/>
                <w:sz w:val="17"/>
              </w:rPr>
              <w:t>RM100</w:t>
            </w:r>
            <w:r>
              <w:rPr>
                <w:sz w:val="17"/>
              </w:rPr>
              <w:t xml:space="preserve"> / </w:t>
            </w:r>
            <w:r>
              <w:rPr>
                <w:b/>
                <w:sz w:val="17"/>
              </w:rPr>
              <w:t>RM001</w:t>
            </w:r>
          </w:p>
        </w:tc>
        <w:tc>
          <w:tcPr>
            <w:tcW w:type="dxa" w:w="4969"/>
          </w:tcPr>
          <w:p>
            <w:pPr>
              <w:spacing w:after="0" w:line="252" w:lineRule="auto"/>
            </w:pPr>
            <w:r>
              <w:rPr>
                <w:sz w:val="17"/>
              </w:rPr>
              <w:t>Manuelles Erzeugen mit Ausgabeoptionen</w:t>
            </w:r>
          </w:p>
        </w:tc>
      </w:tr>
      <w:tr>
        <w:tc>
          <w:tcPr>
            <w:tcW w:type="dxa" w:w="2816"/>
          </w:tcPr>
          <w:p>
            <w:pPr>
              <w:spacing w:after="0" w:line="252" w:lineRule="auto"/>
            </w:pPr>
            <w:r>
              <w:rPr>
                <w:sz w:val="17"/>
              </w:rPr>
              <w:t>Berichtsarchiv</w:t>
            </w:r>
          </w:p>
        </w:tc>
        <w:tc>
          <w:tcPr>
            <w:tcW w:type="dxa" w:w="1739"/>
          </w:tcPr>
          <w:p>
            <w:pPr>
              <w:spacing w:after="0" w:line="252" w:lineRule="auto"/>
            </w:pPr>
            <w:r>
              <w:rPr>
                <w:b/>
                <w:sz w:val="17"/>
              </w:rPr>
              <w:t>RM018</w:t>
            </w:r>
          </w:p>
        </w:tc>
        <w:tc>
          <w:tcPr>
            <w:tcW w:type="dxa" w:w="4969"/>
          </w:tcPr>
          <w:p>
            <w:pPr>
              <w:spacing w:after="0" w:line="252" w:lineRule="auto"/>
            </w:pPr>
            <w:r>
              <w:rPr>
                <w:sz w:val="17"/>
              </w:rPr>
              <w:t>Vorschau und Nachdruck archivierter Dokumente</w:t>
            </w:r>
          </w:p>
        </w:tc>
      </w:tr>
    </w:tbl>
    <w:p>
      <w:pPr>
        <w:pStyle w:val="BeschriftungSSI"/>
      </w:pPr>
      <w:r>
        <w:t>Tab. 3: Komponenten der Dokumenterstellung und Druckerverwaltung</w:t>
      </w:r>
    </w:p>
    <w:p>
      <w:r>
        <w:t xml:space="preserve">Das </w:t>
      </w:r>
      <w:r>
        <w:rPr>
          <w:b/>
        </w:rPr>
        <w:t>Layoutformat</w:t>
      </w:r>
      <w:r>
        <w:t xml:space="preserve"> (HTML, ZPL II) bestimmt das Format der Vorlage. Beim Generieren wird es in ein </w:t>
      </w:r>
      <w:r>
        <w:rPr>
          <w:b/>
        </w:rPr>
        <w:t>Dokumentformat</w:t>
      </w:r>
      <w:r>
        <w:t xml:space="preserve"> (PDF, ZPL II) gerendert. Die </w:t>
      </w:r>
      <w:r>
        <w:rPr>
          <w:b/>
        </w:rPr>
        <w:t>Dokumentsprache</w:t>
      </w:r>
      <w:r>
        <w:t xml:space="preserve"> bestimmt die Sprache von Beschriftungen und Daten, der </w:t>
      </w:r>
      <w:r>
        <w:rPr>
          <w:b/>
        </w:rPr>
        <w:t>Ausgabekanal</w:t>
      </w:r>
      <w:r>
        <w:t xml:space="preserve"> die Verteilung (Druck, E-Mail, Datei, Archiv).</w:t>
      </w:r>
    </w:p>
    <w:p>
      <w:pPr>
        <w:pStyle w:val="Quelle"/>
      </w:pPr>
      <w:r>
        <w:rPr>
          <w:b/>
        </w:rPr>
        <w:t xml:space="preserve">Quelle: </w:t>
      </w:r>
      <w:r>
        <w:rPr>
          <w:sz w:val="17"/>
        </w:rPr>
        <w:t>Administratorhandbuch 2.7, Kap. 3.7.2 (S. 143) und 3.8.1 (S. 152); Benutzerhandbuch 2.7, Kap. 6.8.1</w:t>
      </w:r>
    </w:p>
    <w:p>
      <w:pPr>
        <w:pStyle w:val="Heading2"/>
      </w:pPr>
      <w:r>
        <w:t>2.3 Ablauf einer Dokumentgenerierung</w:t>
      </w:r>
    </w:p>
    <w:p>
      <w:pPr>
        <w:tabs>
          <w:tab w:pos="425" w:val="left"/>
        </w:tabs>
        <w:spacing w:after="60"/>
        <w:ind w:left="425" w:hanging="425"/>
      </w:pPr>
      <w:r>
        <w:rPr>
          <w:b/>
        </w:rPr>
        <w:t>1.</w:t>
        <w:tab/>
      </w:r>
      <w:r>
        <w:t xml:space="preserve">Ein </w:t>
      </w:r>
      <w:r>
        <w:rPr>
          <w:b/>
        </w:rPr>
        <w:t>Dokument-Triggerpunkt</w:t>
      </w:r>
      <w:r>
        <w:t xml:space="preserve"> wird aktiviert und übergibt Dokumenttyp und Parameter. Beispiel aus dem Handbuch: der Kommissionierlisten-Trigger übergibt </w:t>
      </w:r>
      <w:r>
        <w:rPr>
          <w:rFonts w:ascii="Consolas" w:hAnsi="Consolas" w:cs="Consolas" w:eastAsia="Consolas"/>
          <w:sz w:val="18"/>
        </w:rPr>
        <w:t>PICKING_LIST</w:t>
      </w:r>
      <w:r>
        <w:t xml:space="preserve"> und die Kommissionierauftrags-ID sowie Ort und Terminal der Generierung.</w:t>
      </w:r>
    </w:p>
    <w:p>
      <w:pPr>
        <w:tabs>
          <w:tab w:pos="425" w:val="left"/>
        </w:tabs>
        <w:spacing w:after="60"/>
        <w:ind w:left="425" w:hanging="425"/>
      </w:pPr>
      <w:r>
        <w:rPr>
          <w:b/>
        </w:rPr>
        <w:t>2.</w:t>
        <w:tab/>
      </w:r>
      <w:r>
        <w:t xml:space="preserve">WAMAS durchsucht die </w:t>
      </w:r>
      <w:r>
        <w:rPr>
          <w:b/>
        </w:rPr>
        <w:t>Dokumenttypkonfiguration-Zuordnungen</w:t>
      </w:r>
      <w:r>
        <w:t xml:space="preserve"> (RM010) nach der passenden Standard-Dokumenttypkonfiguration.</w:t>
      </w:r>
    </w:p>
    <w:p>
      <w:pPr>
        <w:tabs>
          <w:tab w:pos="425" w:val="left"/>
        </w:tabs>
        <w:spacing w:after="60"/>
        <w:ind w:left="425" w:hanging="425"/>
      </w:pPr>
      <w:r>
        <w:rPr>
          <w:b/>
        </w:rPr>
        <w:t>3.</w:t>
        <w:tab/>
      </w:r>
      <w:r>
        <w:t xml:space="preserve">Das Dokumenterstellungssystem ruft das </w:t>
      </w:r>
      <w:r>
        <w:rPr>
          <w:b/>
        </w:rPr>
        <w:t>Dokumentlayout</w:t>
      </w:r>
      <w:r>
        <w:t xml:space="preserve"> ab und rendert das Dokument mit den übergebenen Parametern und den Parametern der Konfiguration.</w:t>
      </w:r>
    </w:p>
    <w:p>
      <w:pPr>
        <w:tabs>
          <w:tab w:pos="425" w:val="left"/>
        </w:tabs>
        <w:spacing w:after="60"/>
        <w:ind w:left="425" w:hanging="425"/>
      </w:pPr>
      <w:r>
        <w:rPr>
          <w:b/>
        </w:rPr>
        <w:t>4.</w:t>
        <w:tab/>
      </w:r>
      <w:r>
        <w:t xml:space="preserve">WAMAS speichert das Dokument im angegebenen Format und sendet es über den gewünschten </w:t>
      </w:r>
      <w:r>
        <w:rPr>
          <w:b/>
        </w:rPr>
        <w:t>Ausgabekanal</w:t>
      </w:r>
      <w:r>
        <w:t>. Beim Druckkanal wählt die Druckerverwaltung den Drucker aus (siehe Kapitel 3.6).</w:t>
      </w:r>
    </w:p>
    <w:p>
      <w:r>
        <w:t>Je nach Konfiguration werden Dokumente automatisch (z. B. am Ende einer Kommissionierung) oder manuell durch einen Leitstandsmitarbeiter ausgelöst. Etiketten können jederzeit manuell erzeugt werden.</w:t>
      </w:r>
    </w:p>
    <w:p>
      <w:pPr>
        <w:pStyle w:val="Quelle"/>
      </w:pPr>
      <w:r>
        <w:rPr>
          <w:b/>
        </w:rPr>
        <w:t xml:space="preserve">Quelle: </w:t>
      </w:r>
      <w:r>
        <w:rPr>
          <w:sz w:val="17"/>
        </w:rPr>
        <w:t>Administratorhandbuch 2.7, Kap. 3.7.1 (S. 142)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Standardkonfigurationen</w:t>
            </w:r>
          </w:p>
          <w:p>
            <w:pPr>
              <w:spacing w:after="40"/>
            </w:pPr>
            <w:r>
              <w:rPr>
                <w:sz w:val="19"/>
              </w:rPr>
              <w:t>Für alle in Logistikprozessen ausgelösten Standarddokumente liefert WAMAS Standardkonfigurationen mit. Neue Dokumenttypen, Layouts und Layoutformate werden bei Bedarf von Entwicklern im Kundenprojekt ergänzt.</w:t>
            </w:r>
          </w:p>
        </w:tc>
      </w:tr>
    </w:tbl>
    <w:p>
      <w:pPr>
        <w:spacing w:after="40"/>
      </w:pPr>
    </w:p>
    <w:p>
      <w:pPr>
        <w:pStyle w:val="Heading2"/>
      </w:pPr>
      <w:r>
        <w:t>2.4 Abgleich mit Version 2.8</w:t>
      </w:r>
    </w:p>
    <w:p>
      <w:r>
        <w:t xml:space="preserve">Die Kapitel 3.7 (Management of WAMAS Documents) und 3.8 (Printer Management) des Administratorhandbuchs 2.8 sind inhaltlich und strukturell identisch mit 2.7: gleiche Dialoge RM002–RM040, gleiche Kriterien in </w:t>
      </w:r>
      <w:r>
        <w:rPr>
          <w:b/>
        </w:rPr>
        <w:t>RM010</w:t>
      </w:r>
      <w:r>
        <w:t xml:space="preserve"> (einschließlich der doppelten Aufzählung von Ladehilfsmittel und Versandart) und gleiche Druckerauswahl. Auch im Benutzerhandbuch 2.8 heißt der manuelle Dialog </w:t>
      </w:r>
      <w:r>
        <w:rPr>
          <w:b/>
        </w:rPr>
        <w:t>RM001 Generate Document</w:t>
      </w:r>
      <w:r>
        <w:t>. Für dieses Thema wurden keine fachlichen Änderungen von 2.7 nach 2.8 gefunden.</w:t>
      </w:r>
    </w:p>
    <w:p>
      <w:pPr>
        <w:pStyle w:val="Quelle"/>
      </w:pPr>
      <w:r>
        <w:rPr>
          <w:b/>
        </w:rPr>
        <w:t xml:space="preserve">Quelle: </w:t>
      </w:r>
      <w:r>
        <w:rPr>
          <w:sz w:val="17"/>
        </w:rPr>
        <w:t>Administrator Manual 2.8, Kap. 3.7–3.8 (S. 135–148); User Manual 2.8, Kap. 6.8</w:t>
      </w:r>
    </w:p>
    <w:p>
      <w:pPr>
        <w:pStyle w:val="Heading1"/>
      </w:pPr>
      <w:r>
        <w:t>3 Drucker einrichten</w:t>
      </w:r>
    </w:p>
    <w:p>
      <w:pPr>
        <w:pStyle w:val="Heading2"/>
      </w:pPr>
      <w:r>
        <w:t>3.1 Reihenfolge der Einrichtung</w:t>
      </w:r>
    </w:p>
    <w:p>
      <w:r>
        <w:t>Für einen neuen Drucker sieht das Administratorhandbuch folgende Schritte vor:</w:t>
      </w:r>
    </w:p>
    <w:p>
      <w:pPr>
        <w:tabs>
          <w:tab w:pos="425" w:val="left"/>
        </w:tabs>
        <w:spacing w:after="60"/>
        <w:ind w:left="425" w:hanging="425"/>
      </w:pPr>
      <w:r>
        <w:rPr>
          <w:b/>
        </w:rPr>
        <w:t>1.</w:t>
        <w:tab/>
      </w:r>
      <w:r>
        <w:t>Drucker am Druckerort im Lager nach Herstelleranweisung installieren.</w:t>
      </w:r>
    </w:p>
    <w:p>
      <w:pPr>
        <w:tabs>
          <w:tab w:pos="425" w:val="left"/>
        </w:tabs>
        <w:spacing w:after="60"/>
        <w:ind w:left="425" w:hanging="425"/>
      </w:pPr>
      <w:r>
        <w:rPr>
          <w:b/>
        </w:rPr>
        <w:t>2.</w:t>
        <w:tab/>
      </w:r>
      <w:r>
        <w:t xml:space="preserve">Im Dialog </w:t>
      </w:r>
      <w:r>
        <w:rPr>
          <w:b/>
        </w:rPr>
        <w:t>RM011 Drucker pflegen</w:t>
      </w:r>
      <w:r>
        <w:t xml:space="preserve"> eine neue Druckerkomponente anlegen.</w:t>
      </w:r>
    </w:p>
    <w:p>
      <w:pPr>
        <w:tabs>
          <w:tab w:pos="425" w:val="left"/>
        </w:tabs>
        <w:spacing w:after="60"/>
        <w:ind w:left="425" w:hanging="425"/>
      </w:pPr>
      <w:r>
        <w:rPr>
          <w:b/>
        </w:rPr>
        <w:t>3.</w:t>
        <w:tab/>
      </w:r>
      <w:r>
        <w:t xml:space="preserve">Im Dialog </w:t>
      </w:r>
      <w:r>
        <w:rPr>
          <w:b/>
        </w:rPr>
        <w:t>RM017 Druckerortzuordnung pflegen</w:t>
      </w:r>
      <w:r>
        <w:t xml:space="preserve"> den Drucker dem Lagerstandort und Terminal zuordnen.</w:t>
      </w:r>
    </w:p>
    <w:p>
      <w:pPr>
        <w:tabs>
          <w:tab w:pos="425" w:val="left"/>
        </w:tabs>
        <w:spacing w:after="60"/>
        <w:ind w:left="425" w:hanging="425"/>
      </w:pPr>
      <w:r>
        <w:rPr>
          <w:b/>
        </w:rPr>
        <w:t>4.</w:t>
        <w:tab/>
      </w:r>
      <w:r>
        <w:t xml:space="preserve">Wenn der Drucker eine noch nicht gepflegte Seitengröße oder Druckauflösung verarbeitet: Drucker einer bestehenden Druckertypkonfiguration zuordnen oder in </w:t>
      </w:r>
      <w:r>
        <w:rPr>
          <w:b/>
        </w:rPr>
        <w:t>RM015</w:t>
      </w:r>
      <w:r>
        <w:t xml:space="preserve"> eine neue anlegen.</w:t>
      </w:r>
    </w:p>
    <w:p>
      <w:r>
        <w:t>In der Praxis empfiehlt es sich, die Stammdaten in der Reihenfolge der Abhängigkeiten zu prüfen: Seitengröße und Auflösung (RM020, RM021) → Druckertyp (RM015) → Drucker (RM011) → Druckerortzuordnung (RM017).</w:t>
      </w:r>
    </w:p>
    <w:p>
      <w:pPr>
        <w:pStyle w:val="Quelle"/>
      </w:pPr>
      <w:r>
        <w:rPr>
          <w:b/>
        </w:rPr>
        <w:t xml:space="preserve">Quelle: </w:t>
      </w:r>
      <w:r>
        <w:rPr>
          <w:sz w:val="17"/>
        </w:rPr>
        <w:t>Administratorhandbuch 2.7, Kap. 3.8.2 (S. 155)</w:t>
      </w:r>
    </w:p>
    <w:p>
      <w:pPr>
        <w:pStyle w:val="Heading2"/>
      </w:pPr>
      <w:r>
        <w:t>3.2 Seitengrößen und Druckauflösungen (RM020, RM021)</w:t>
      </w:r>
    </w:p>
    <w:p>
      <w:pPr>
        <w:tabs>
          <w:tab w:pos="425" w:val="left"/>
        </w:tabs>
        <w:spacing w:after="60"/>
        <w:ind w:left="425" w:hanging="425"/>
      </w:pPr>
      <w:r>
        <w:rPr>
          <w:b/>
        </w:rPr>
        <w:t>1.</w:t>
        <w:tab/>
      </w:r>
      <w:r>
        <w:rPr>
          <w:b/>
        </w:rPr>
        <w:t>RM020 Seitengröße pflegen</w:t>
      </w:r>
      <w:r>
        <w:t xml:space="preserve"> öffnen, </w:t>
      </w:r>
      <w:r>
        <w:rPr>
          <w:b/>
        </w:rPr>
        <w:t>Datensatz anlegen</w:t>
      </w:r>
      <w:r>
        <w:t xml:space="preserve">, </w:t>
      </w:r>
      <w:r>
        <w:rPr>
          <w:rFonts w:ascii="Consolas" w:hAnsi="Consolas" w:cs="Consolas" w:eastAsia="Consolas"/>
          <w:sz w:val="18"/>
        </w:rPr>
        <w:t>Seitengrößenname</w:t>
      </w:r>
      <w:r>
        <w:t xml:space="preserve"> eingeben, Bezeichnung über </w:t>
      </w:r>
      <w:r>
        <w:rPr>
          <w:b/>
        </w:rPr>
        <w:t>FW015</w:t>
      </w:r>
      <w:r>
        <w:t xml:space="preserve"> mehrsprachig pflegen, </w:t>
      </w:r>
      <w:r>
        <w:rPr>
          <w:rFonts w:ascii="Consolas" w:hAnsi="Consolas" w:cs="Consolas" w:eastAsia="Consolas"/>
          <w:sz w:val="18"/>
        </w:rPr>
        <w:t>Stammdatenstatus</w:t>
      </w:r>
      <w:r>
        <w:t xml:space="preserve"> wählen, </w:t>
      </w:r>
      <w:r>
        <w:rPr>
          <w:b/>
        </w:rPr>
        <w:t>Speichern</w:t>
      </w:r>
      <w:r>
        <w:t>.</w:t>
      </w:r>
    </w:p>
    <w:p>
      <w:pPr>
        <w:tabs>
          <w:tab w:pos="425" w:val="left"/>
        </w:tabs>
        <w:spacing w:after="60"/>
        <w:ind w:left="425" w:hanging="425"/>
      </w:pPr>
      <w:r>
        <w:rPr>
          <w:b/>
        </w:rPr>
        <w:t>2.</w:t>
        <w:tab/>
      </w:r>
      <w:r>
        <w:rPr>
          <w:b/>
        </w:rPr>
        <w:t>RM021 Druckauflösung pflegen</w:t>
      </w:r>
      <w:r>
        <w:t xml:space="preserve"> öffnen, </w:t>
      </w:r>
      <w:r>
        <w:rPr>
          <w:b/>
        </w:rPr>
        <w:t>Datensatz anlegen</w:t>
      </w:r>
      <w:r>
        <w:t xml:space="preserve">, im Feld </w:t>
      </w:r>
      <w:r>
        <w:rPr>
          <w:rFonts w:ascii="Consolas" w:hAnsi="Consolas" w:cs="Consolas" w:eastAsia="Consolas"/>
          <w:sz w:val="18"/>
        </w:rPr>
        <w:t>Auflösung</w:t>
      </w:r>
      <w:r>
        <w:t xml:space="preserve"> den Wert in dpi eingeben, Bezeichnung und </w:t>
      </w:r>
      <w:r>
        <w:rPr>
          <w:rFonts w:ascii="Consolas" w:hAnsi="Consolas" w:cs="Consolas" w:eastAsia="Consolas"/>
          <w:sz w:val="18"/>
        </w:rPr>
        <w:t>Stammdatenstatus</w:t>
      </w:r>
      <w:r>
        <w:t xml:space="preserve"> pflegen, </w:t>
      </w:r>
      <w:r>
        <w:rPr>
          <w:b/>
        </w:rPr>
        <w:t>Speichern</w:t>
      </w:r>
      <w:r>
        <w:t>.</w:t>
      </w:r>
    </w:p>
    <w:p>
      <w:r>
        <w:t>Seitengrößen und Auflösungen werden sowohl im Dokumentlayout (RM003) als auch im Druckertyp (RM015) verwendet. Nur wenn beide zusammenpassen, kommt ein Drucker für ein Dokument in Frage.</w:t>
      </w:r>
    </w:p>
    <w:p>
      <w:pPr>
        <w:pStyle w:val="Quelle"/>
      </w:pPr>
      <w:r>
        <w:rPr>
          <w:b/>
        </w:rPr>
        <w:t xml:space="preserve">Quelle: </w:t>
      </w:r>
      <w:r>
        <w:rPr>
          <w:sz w:val="17"/>
        </w:rPr>
        <w:t>Administratorhandbuch 2.7, Kap. 3.8.1.2–3.8.1.3 (S. 153–154)</w:t>
      </w:r>
    </w:p>
    <w:p>
      <w:pPr>
        <w:pStyle w:val="Heading2"/>
      </w:pPr>
      <w:r>
        <w:t>3.3 Druckertypen (RM015)</w:t>
      </w:r>
    </w:p>
    <w:p>
      <w:pPr>
        <w:tabs>
          <w:tab w:pos="425" w:val="left"/>
        </w:tabs>
        <w:spacing w:after="60"/>
        <w:ind w:left="425" w:hanging="425"/>
      </w:pPr>
      <w:r>
        <w:rPr>
          <w:b/>
        </w:rPr>
        <w:t>1.</w:t>
        <w:tab/>
      </w:r>
      <w:r>
        <w:rPr>
          <w:b/>
        </w:rPr>
        <w:t>RM015 Druckertypkonfiguration pflegen</w:t>
      </w:r>
      <w:r>
        <w:t xml:space="preserve"> öffnen und </w:t>
      </w:r>
      <w:r>
        <w:rPr>
          <w:b/>
        </w:rPr>
        <w:t>Datensatz anlegen</w:t>
      </w:r>
      <w:r>
        <w:t>.</w:t>
      </w:r>
    </w:p>
    <w:p>
      <w:pPr>
        <w:tabs>
          <w:tab w:pos="425" w:val="left"/>
        </w:tabs>
        <w:spacing w:after="60"/>
        <w:ind w:left="425" w:hanging="425"/>
      </w:pPr>
      <w:r>
        <w:rPr>
          <w:b/>
        </w:rPr>
        <w:t>2.</w:t>
        <w:tab/>
      </w:r>
      <w:r>
        <w:t xml:space="preserve">Auf den Registerkarten </w:t>
      </w:r>
      <w:r>
        <w:rPr>
          <w:b/>
        </w:rPr>
        <w:t>Zuordnung Druckertyp zu Seitengröße</w:t>
      </w:r>
      <w:r>
        <w:t xml:space="preserve">, </w:t>
      </w:r>
      <w:r>
        <w:rPr>
          <w:b/>
        </w:rPr>
        <w:t>… zu Druckauflösung</w:t>
      </w:r>
      <w:r>
        <w:t xml:space="preserve"> und </w:t>
      </w:r>
      <w:r>
        <w:rPr>
          <w:b/>
        </w:rPr>
        <w:t>… zu Dokumentenformat</w:t>
      </w:r>
      <w:r>
        <w:t xml:space="preserve"> die Checkboxen </w:t>
      </w:r>
      <w:r>
        <w:rPr>
          <w:rFonts w:ascii="Consolas" w:hAnsi="Consolas" w:cs="Consolas" w:eastAsia="Consolas"/>
          <w:sz w:val="18"/>
        </w:rPr>
        <w:t>Seitengröße unterstützt</w:t>
      </w:r>
      <w:r>
        <w:t xml:space="preserve">, </w:t>
      </w:r>
      <w:r>
        <w:rPr>
          <w:rFonts w:ascii="Consolas" w:hAnsi="Consolas" w:cs="Consolas" w:eastAsia="Consolas"/>
          <w:sz w:val="18"/>
        </w:rPr>
        <w:t>Druckauflösung unterstützt</w:t>
      </w:r>
      <w:r>
        <w:t xml:space="preserve"> und </w:t>
      </w:r>
      <w:r>
        <w:rPr>
          <w:rFonts w:ascii="Consolas" w:hAnsi="Consolas" w:cs="Consolas" w:eastAsia="Consolas"/>
          <w:sz w:val="18"/>
        </w:rPr>
        <w:t>Format unterstützt</w:t>
      </w:r>
      <w:r>
        <w:t xml:space="preserve"> setzen.</w:t>
      </w:r>
    </w:p>
    <w:p>
      <w:pPr>
        <w:tabs>
          <w:tab w:pos="425" w:val="left"/>
        </w:tabs>
        <w:spacing w:after="60"/>
        <w:ind w:left="425" w:hanging="425"/>
      </w:pPr>
      <w:r>
        <w:rPr>
          <w:b/>
        </w:rPr>
        <w:t>3.</w:t>
        <w:tab/>
      </w:r>
      <w:r>
        <w:t xml:space="preserve">Im Feld </w:t>
      </w:r>
      <w:r>
        <w:rPr>
          <w:rFonts w:ascii="Consolas" w:hAnsi="Consolas" w:cs="Consolas" w:eastAsia="Consolas"/>
          <w:sz w:val="18"/>
        </w:rPr>
        <w:t>Druckertyp</w:t>
      </w:r>
      <w:r>
        <w:t xml:space="preserve"> den Namen eingeben.</w:t>
      </w:r>
    </w:p>
    <w:p>
      <w:pPr>
        <w:tabs>
          <w:tab w:pos="425" w:val="left"/>
        </w:tabs>
        <w:spacing w:after="60"/>
        <w:ind w:left="425" w:hanging="425"/>
      </w:pPr>
      <w:r>
        <w:rPr>
          <w:b/>
        </w:rPr>
        <w:t>4.</w:t>
        <w:tab/>
      </w:r>
      <w:r>
        <w:t xml:space="preserve">Im Feld </w:t>
      </w:r>
      <w:r>
        <w:rPr>
          <w:rFonts w:ascii="Consolas" w:hAnsi="Consolas" w:cs="Consolas" w:eastAsia="Consolas"/>
          <w:sz w:val="18"/>
        </w:rPr>
        <w:t>Druckbefehl</w:t>
      </w:r>
      <w:r>
        <w:t xml:space="preserve"> den Druckbefehl wählen (laut Handbuch z. B. Java Print Service).</w:t>
      </w:r>
    </w:p>
    <w:p>
      <w:pPr>
        <w:tabs>
          <w:tab w:pos="425" w:val="left"/>
        </w:tabs>
        <w:spacing w:after="60"/>
        <w:ind w:left="425" w:hanging="425"/>
      </w:pPr>
      <w:r>
        <w:rPr>
          <w:b/>
        </w:rPr>
        <w:t>5.</w:t>
        <w:tab/>
      </w:r>
      <w:r>
        <w:rPr>
          <w:rFonts w:ascii="Consolas" w:hAnsi="Consolas" w:cs="Consolas" w:eastAsia="Consolas"/>
          <w:sz w:val="18"/>
        </w:rPr>
        <w:t>Stammdatenstatus</w:t>
      </w:r>
      <w:r>
        <w:t xml:space="preserve"> wählen und </w:t>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59"/>
        <w:gridCol w:w="7466"/>
      </w:tblGrid>
      <w:tr>
        <w:trPr>
          <w:tblHeader w:val="true"/>
        </w:trPr>
        <w:tc>
          <w:tcPr>
            <w:tcW w:type="dxa" w:w="2059"/>
            <w:shd w:val="clear" w:color="auto" w:fill="FEEE19"/>
          </w:tcPr>
          <w:p>
            <w:pPr>
              <w:spacing w:after="0"/>
            </w:pPr>
            <w:r>
              <w:rPr>
                <w:b/>
                <w:sz w:val="17"/>
              </w:rPr>
              <w:t>Stammdatenstatus</w:t>
            </w:r>
          </w:p>
        </w:tc>
        <w:tc>
          <w:tcPr>
            <w:tcW w:type="dxa" w:w="7465"/>
            <w:shd w:val="clear" w:color="auto" w:fill="FEEE19"/>
          </w:tcPr>
          <w:p>
            <w:pPr>
              <w:spacing w:after="0"/>
            </w:pPr>
            <w:r>
              <w:rPr>
                <w:b/>
                <w:sz w:val="17"/>
              </w:rPr>
              <w:t>Wirkung</w:t>
            </w:r>
          </w:p>
        </w:tc>
      </w:tr>
      <w:tr>
        <w:tc>
          <w:tcPr>
            <w:tcW w:type="dxa" w:w="2059"/>
          </w:tcPr>
          <w:p>
            <w:pPr>
              <w:spacing w:after="0" w:line="252" w:lineRule="auto"/>
            </w:pPr>
            <w:r>
              <w:rPr>
                <w:sz w:val="17"/>
              </w:rPr>
              <w:t>Normal</w:t>
            </w:r>
          </w:p>
        </w:tc>
        <w:tc>
          <w:tcPr>
            <w:tcW w:type="dxa" w:w="7465"/>
          </w:tcPr>
          <w:p>
            <w:pPr>
              <w:spacing w:after="0" w:line="252" w:lineRule="auto"/>
            </w:pPr>
            <w:r>
              <w:rPr>
                <w:sz w:val="17"/>
              </w:rPr>
              <w:t>Datensatz in allen Prozessen verwendbar</w:t>
            </w:r>
          </w:p>
        </w:tc>
      </w:tr>
      <w:tr>
        <w:tc>
          <w:tcPr>
            <w:tcW w:type="dxa" w:w="2059"/>
          </w:tcPr>
          <w:p>
            <w:pPr>
              <w:spacing w:after="0" w:line="252" w:lineRule="auto"/>
            </w:pPr>
            <w:r>
              <w:rPr>
                <w:sz w:val="17"/>
              </w:rPr>
              <w:t>Auslaufend</w:t>
            </w:r>
          </w:p>
        </w:tc>
        <w:tc>
          <w:tcPr>
            <w:tcW w:type="dxa" w:w="7465"/>
          </w:tcPr>
          <w:p>
            <w:pPr>
              <w:spacing w:after="0" w:line="252" w:lineRule="auto"/>
            </w:pPr>
            <w:r>
              <w:rPr>
                <w:sz w:val="17"/>
              </w:rPr>
              <w:t>Als ausgelaufen markiert, darf nicht mehr verwendet werden</w:t>
            </w:r>
          </w:p>
        </w:tc>
      </w:tr>
      <w:tr>
        <w:tc>
          <w:tcPr>
            <w:tcW w:type="dxa" w:w="2059"/>
          </w:tcPr>
          <w:p>
            <w:pPr>
              <w:spacing w:after="0" w:line="252" w:lineRule="auto"/>
            </w:pPr>
            <w:r>
              <w:rPr>
                <w:sz w:val="17"/>
              </w:rPr>
              <w:t>Gesperrt</w:t>
            </w:r>
          </w:p>
        </w:tc>
        <w:tc>
          <w:tcPr>
            <w:tcW w:type="dxa" w:w="7465"/>
          </w:tcPr>
          <w:p>
            <w:pPr>
              <w:spacing w:after="0" w:line="252" w:lineRule="auto"/>
            </w:pPr>
            <w:r>
              <w:rPr>
                <w:sz w:val="17"/>
              </w:rPr>
              <w:t>In keinem Prozess verwendbar</w:t>
            </w:r>
          </w:p>
        </w:tc>
      </w:tr>
      <w:tr>
        <w:tc>
          <w:tcPr>
            <w:tcW w:type="dxa" w:w="2059"/>
          </w:tcPr>
          <w:p>
            <w:pPr>
              <w:spacing w:after="0" w:line="252" w:lineRule="auto"/>
            </w:pPr>
            <w:r>
              <w:rPr>
                <w:sz w:val="17"/>
              </w:rPr>
              <w:t>Unvollständig</w:t>
            </w:r>
          </w:p>
        </w:tc>
        <w:tc>
          <w:tcPr>
            <w:tcW w:type="dxa" w:w="7465"/>
          </w:tcPr>
          <w:p>
            <w:pPr>
              <w:spacing w:after="0" w:line="252" w:lineRule="auto"/>
            </w:pPr>
            <w:r>
              <w:rPr>
                <w:sz w:val="17"/>
              </w:rPr>
              <w:t>In keinem Prozess verwendbar</w:t>
            </w:r>
          </w:p>
        </w:tc>
      </w:tr>
    </w:tbl>
    <w:p>
      <w:pPr>
        <w:pStyle w:val="BeschriftungSSI"/>
      </w:pPr>
      <w:r>
        <w:t>Tab. 4: Stammdatenstatus bei RM015, RM020 und RM021</w:t>
      </w:r>
    </w:p>
    <w:p>
      <w:pPr>
        <w:pStyle w:val="Quelle"/>
      </w:pPr>
      <w:r>
        <w:rPr>
          <w:b/>
        </w:rPr>
        <w:t xml:space="preserve">Quelle: </w:t>
      </w:r>
      <w:r>
        <w:rPr>
          <w:sz w:val="17"/>
        </w:rPr>
        <w:t>Administratorhandbuch 2.7, Kap. 3.8.1.1 (S. 152–153)</w:t>
      </w:r>
    </w:p>
    <w:p>
      <w:pPr>
        <w:pStyle w:val="Heading2"/>
      </w:pPr>
      <w:r>
        <w:t>3.4 Drucker (RM011)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7144"/>
      </w:tblGrid>
      <w:tr>
        <w:trPr>
          <w:tblHeader w:val="true"/>
        </w:trPr>
        <w:tc>
          <w:tcPr>
            <w:tcW w:type="dxa" w:w="2381"/>
            <w:shd w:val="clear" w:color="auto" w:fill="FEEE19"/>
          </w:tcPr>
          <w:p>
            <w:pPr>
              <w:spacing w:after="0"/>
            </w:pPr>
            <w:r>
              <w:rPr>
                <w:b/>
                <w:sz w:val="17"/>
              </w:rPr>
              <w:t>Feld</w:t>
            </w:r>
          </w:p>
        </w:tc>
        <w:tc>
          <w:tcPr>
            <w:tcW w:type="dxa" w:w="7143"/>
            <w:shd w:val="clear" w:color="auto" w:fill="FEEE19"/>
          </w:tcPr>
          <w:p>
            <w:pPr>
              <w:spacing w:after="0"/>
            </w:pPr>
            <w:r>
              <w:rPr>
                <w:b/>
                <w:sz w:val="17"/>
              </w:rPr>
              <w:t>Bedeutung</w:t>
            </w:r>
          </w:p>
        </w:tc>
      </w:tr>
      <w:tr>
        <w:tc>
          <w:tcPr>
            <w:tcW w:type="dxa" w:w="2381"/>
          </w:tcPr>
          <w:p>
            <w:pPr>
              <w:spacing w:after="0" w:line="252" w:lineRule="auto"/>
            </w:pPr>
            <w:r>
              <w:rPr>
                <w:rFonts w:ascii="Consolas" w:hAnsi="Consolas" w:cs="Consolas" w:eastAsia="Consolas"/>
                <w:sz w:val="15"/>
              </w:rPr>
              <w:t>Drucker</w:t>
            </w:r>
          </w:p>
        </w:tc>
        <w:tc>
          <w:tcPr>
            <w:tcW w:type="dxa" w:w="7143"/>
          </w:tcPr>
          <w:p>
            <w:pPr>
              <w:spacing w:after="0" w:line="252" w:lineRule="auto"/>
            </w:pPr>
            <w:r>
              <w:rPr>
                <w:sz w:val="17"/>
              </w:rPr>
              <w:t>Eindeutiger Name</w:t>
            </w:r>
          </w:p>
        </w:tc>
      </w:tr>
      <w:tr>
        <w:tc>
          <w:tcPr>
            <w:tcW w:type="dxa" w:w="2381"/>
          </w:tcPr>
          <w:p>
            <w:pPr>
              <w:spacing w:after="0" w:line="252" w:lineRule="auto"/>
            </w:pPr>
            <w:r>
              <w:rPr>
                <w:rFonts w:ascii="Consolas" w:hAnsi="Consolas" w:cs="Consolas" w:eastAsia="Consolas"/>
                <w:sz w:val="15"/>
              </w:rPr>
              <w:t>Lagerstandort</w:t>
            </w:r>
          </w:p>
        </w:tc>
        <w:tc>
          <w:tcPr>
            <w:tcW w:type="dxa" w:w="7143"/>
          </w:tcPr>
          <w:p>
            <w:pPr>
              <w:spacing w:after="0" w:line="252" w:lineRule="auto"/>
            </w:pPr>
            <w:r>
              <w:rPr>
                <w:sz w:val="17"/>
              </w:rPr>
              <w:t>Standort, an dem der Drucker steht</w:t>
            </w:r>
          </w:p>
        </w:tc>
      </w:tr>
      <w:tr>
        <w:tc>
          <w:tcPr>
            <w:tcW w:type="dxa" w:w="2381"/>
          </w:tcPr>
          <w:p>
            <w:pPr>
              <w:spacing w:after="0" w:line="252" w:lineRule="auto"/>
            </w:pPr>
            <w:r>
              <w:rPr>
                <w:rFonts w:ascii="Consolas" w:hAnsi="Consolas" w:cs="Consolas" w:eastAsia="Consolas"/>
                <w:sz w:val="15"/>
              </w:rPr>
              <w:t>Druckertyp</w:t>
            </w:r>
          </w:p>
        </w:tc>
        <w:tc>
          <w:tcPr>
            <w:tcW w:type="dxa" w:w="7143"/>
          </w:tcPr>
          <w:p>
            <w:pPr>
              <w:spacing w:after="0" w:line="252" w:lineRule="auto"/>
            </w:pPr>
            <w:r>
              <w:rPr>
                <w:sz w:val="17"/>
              </w:rPr>
              <w:t>Typ aus RM015, z. B. Laserdrucker</w:t>
            </w:r>
          </w:p>
        </w:tc>
      </w:tr>
      <w:tr>
        <w:tc>
          <w:tcPr>
            <w:tcW w:type="dxa" w:w="2381"/>
          </w:tcPr>
          <w:p>
            <w:pPr>
              <w:spacing w:after="0" w:line="252" w:lineRule="auto"/>
            </w:pPr>
            <w:r>
              <w:rPr>
                <w:rFonts w:ascii="Consolas" w:hAnsi="Consolas" w:cs="Consolas" w:eastAsia="Consolas"/>
                <w:sz w:val="15"/>
              </w:rPr>
              <w:t>Druckerreihenfolge</w:t>
            </w:r>
          </w:p>
        </w:tc>
        <w:tc>
          <w:tcPr>
            <w:tcW w:type="dxa" w:w="7143"/>
          </w:tcPr>
          <w:p>
            <w:pPr>
              <w:spacing w:after="0" w:line="252" w:lineRule="auto"/>
            </w:pPr>
            <w:r>
              <w:rPr>
                <w:sz w:val="17"/>
              </w:rPr>
              <w:t>Je niedriger, desto eher wird der Drucker gewählt</w:t>
            </w:r>
          </w:p>
        </w:tc>
      </w:tr>
      <w:tr>
        <w:tc>
          <w:tcPr>
            <w:tcW w:type="dxa" w:w="2381"/>
          </w:tcPr>
          <w:p>
            <w:pPr>
              <w:spacing w:after="0" w:line="252" w:lineRule="auto"/>
            </w:pPr>
            <w:r>
              <w:rPr>
                <w:rFonts w:ascii="Consolas" w:hAnsi="Consolas" w:cs="Consolas" w:eastAsia="Consolas"/>
                <w:sz w:val="15"/>
              </w:rPr>
              <w:t>Kurzkennung</w:t>
            </w:r>
          </w:p>
        </w:tc>
        <w:tc>
          <w:tcPr>
            <w:tcW w:type="dxa" w:w="7143"/>
          </w:tcPr>
          <w:p>
            <w:pPr>
              <w:spacing w:after="0" w:line="252" w:lineRule="auto"/>
            </w:pPr>
            <w:r>
              <w:rPr>
                <w:sz w:val="17"/>
              </w:rPr>
              <w:t>Zusätzliche ID, die in einem Barcode zur Druckerauswahl codiert sein kann</w:t>
            </w:r>
          </w:p>
        </w:tc>
      </w:tr>
      <w:tr>
        <w:tc>
          <w:tcPr>
            <w:tcW w:type="dxa" w:w="2381"/>
          </w:tcPr>
          <w:p>
            <w:pPr>
              <w:spacing w:after="0" w:line="252" w:lineRule="auto"/>
            </w:pPr>
            <w:r>
              <w:rPr>
                <w:rFonts w:ascii="Consolas" w:hAnsi="Consolas" w:cs="Consolas" w:eastAsia="Consolas"/>
                <w:sz w:val="15"/>
              </w:rPr>
              <w:t>Drucksystem ID</w:t>
            </w:r>
          </w:p>
        </w:tc>
        <w:tc>
          <w:tcPr>
            <w:tcW w:type="dxa" w:w="7143"/>
          </w:tcPr>
          <w:p>
            <w:pPr>
              <w:spacing w:after="0" w:line="252" w:lineRule="auto"/>
            </w:pPr>
            <w:r>
              <w:rPr>
                <w:sz w:val="17"/>
              </w:rPr>
              <w:t>Adressiert den Drucker, z. B. über die IP-Adresse</w:t>
            </w:r>
          </w:p>
        </w:tc>
      </w:tr>
      <w:tr>
        <w:tc>
          <w:tcPr>
            <w:tcW w:type="dxa" w:w="2381"/>
          </w:tcPr>
          <w:p>
            <w:pPr>
              <w:spacing w:after="0" w:line="252" w:lineRule="auto"/>
            </w:pPr>
            <w:r>
              <w:rPr>
                <w:rFonts w:ascii="Consolas" w:hAnsi="Consolas" w:cs="Consolas" w:eastAsia="Consolas"/>
                <w:sz w:val="15"/>
              </w:rPr>
              <w:t>Standard</w:t>
            </w:r>
          </w:p>
        </w:tc>
        <w:tc>
          <w:tcPr>
            <w:tcW w:type="dxa" w:w="7143"/>
          </w:tcPr>
          <w:p>
            <w:pPr>
              <w:spacing w:after="0" w:line="252" w:lineRule="auto"/>
            </w:pPr>
            <w:r>
              <w:rPr>
                <w:sz w:val="17"/>
              </w:rPr>
              <w:t>Fallback: wird gedruckt, wenn im Prozess kein Drucker gefunden wird</w:t>
            </w:r>
          </w:p>
        </w:tc>
      </w:tr>
      <w:tr>
        <w:tc>
          <w:tcPr>
            <w:tcW w:type="dxa" w:w="2381"/>
          </w:tcPr>
          <w:p>
            <w:pPr>
              <w:spacing w:after="0" w:line="252" w:lineRule="auto"/>
            </w:pPr>
            <w:r>
              <w:rPr>
                <w:rFonts w:ascii="Consolas" w:hAnsi="Consolas" w:cs="Consolas" w:eastAsia="Consolas"/>
                <w:sz w:val="15"/>
              </w:rPr>
              <w:t>Druckerbezeichnung</w:t>
            </w:r>
          </w:p>
        </w:tc>
        <w:tc>
          <w:tcPr>
            <w:tcW w:type="dxa" w:w="7143"/>
          </w:tcPr>
          <w:p>
            <w:pPr>
              <w:spacing w:after="0" w:line="252" w:lineRule="auto"/>
            </w:pPr>
            <w:r>
              <w:rPr>
                <w:sz w:val="17"/>
              </w:rPr>
              <w:t>Mehrsprachige Bezeichnung (FW015)</w:t>
            </w:r>
          </w:p>
        </w:tc>
      </w:tr>
    </w:tbl>
    <w:p>
      <w:pPr>
        <w:pStyle w:val="BeschriftungSSI"/>
      </w:pPr>
      <w:r>
        <w:t>Tab. 5: Felder im Dialog RM011 Drucker pflegen</w:t>
      </w:r>
    </w:p>
    <w:p>
      <w:pPr>
        <w:pStyle w:val="Quelle"/>
      </w:pPr>
      <w:r>
        <w:rPr>
          <w:b/>
        </w:rPr>
        <w:t xml:space="preserve">Quelle: </w:t>
      </w:r>
      <w:r>
        <w:rPr>
          <w:sz w:val="17"/>
        </w:rPr>
        <w:t>Administratorhandbuch 2.7, Kap. 3.8.1.4 (S. 154–155)</w:t>
      </w:r>
    </w:p>
    <w:p>
      <w:pPr>
        <w:pStyle w:val="Heading2"/>
      </w:pPr>
      <w:r>
        <w:t>3.5 Druckerortzuordnung (RM017)</w:t>
      </w:r>
    </w:p>
    <w:p>
      <w:pPr>
        <w:tabs>
          <w:tab w:pos="425" w:val="left"/>
        </w:tabs>
        <w:spacing w:after="60"/>
        <w:ind w:left="425" w:hanging="425"/>
      </w:pPr>
      <w:r>
        <w:rPr>
          <w:b/>
        </w:rPr>
        <w:t>1.</w:t>
        <w:tab/>
      </w:r>
      <w:r>
        <w:rPr>
          <w:b/>
        </w:rPr>
        <w:t>RM017 Druckerortzuordnung pflegen</w:t>
      </w:r>
      <w:r>
        <w:t xml:space="preserve"> öffnen und </w:t>
      </w:r>
      <w:r>
        <w:rPr>
          <w:b/>
        </w:rPr>
        <w:t>Datensatz anlegen</w:t>
      </w:r>
      <w:r>
        <w:t>.</w:t>
      </w:r>
    </w:p>
    <w:p>
      <w:pPr>
        <w:tabs>
          <w:tab w:pos="425" w:val="left"/>
        </w:tabs>
        <w:spacing w:after="60"/>
        <w:ind w:left="425" w:hanging="425"/>
      </w:pPr>
      <w:r>
        <w:rPr>
          <w:b/>
        </w:rPr>
        <w:t>2.</w:t>
        <w:tab/>
      </w:r>
      <w:r>
        <w:rPr>
          <w:rFonts w:ascii="Consolas" w:hAnsi="Consolas" w:cs="Consolas" w:eastAsia="Consolas"/>
          <w:sz w:val="18"/>
        </w:rPr>
        <w:t>Lagerstandort</w:t>
      </w:r>
      <w:r>
        <w:t xml:space="preserve"> und </w:t>
      </w:r>
      <w:r>
        <w:rPr>
          <w:rFonts w:ascii="Consolas" w:hAnsi="Consolas" w:cs="Consolas" w:eastAsia="Consolas"/>
          <w:sz w:val="18"/>
        </w:rPr>
        <w:t>Drucker</w:t>
      </w:r>
      <w:r>
        <w:t xml:space="preserve"> wählen.</w:t>
      </w:r>
    </w:p>
    <w:p>
      <w:pPr>
        <w:tabs>
          <w:tab w:pos="425" w:val="left"/>
        </w:tabs>
        <w:spacing w:after="60"/>
        <w:ind w:left="425" w:hanging="425"/>
      </w:pPr>
      <w:r>
        <w:rPr>
          <w:b/>
        </w:rPr>
        <w:t>3.</w:t>
        <w:tab/>
      </w:r>
      <w:r>
        <w:t xml:space="preserve">Optional </w:t>
      </w:r>
      <w:r>
        <w:rPr>
          <w:rFonts w:ascii="Consolas" w:hAnsi="Consolas" w:cs="Consolas" w:eastAsia="Consolas"/>
          <w:sz w:val="18"/>
        </w:rPr>
        <w:t>Terminal</w:t>
      </w:r>
      <w:r>
        <w:t xml:space="preserve"> wählen, z. B. damit Mitarbeiter an einem bestimmten Terminal immer einen bestimmten Drucker verwenden.</w:t>
      </w:r>
    </w:p>
    <w:p>
      <w:pPr>
        <w:tabs>
          <w:tab w:pos="425" w:val="left"/>
        </w:tabs>
        <w:spacing w:after="60"/>
        <w:ind w:left="425" w:hanging="425"/>
      </w:pPr>
      <w:r>
        <w:rPr>
          <w:b/>
        </w:rPr>
        <w:t>4.</w:t>
        <w:tab/>
      </w:r>
      <w:r>
        <w:t xml:space="preserve">Optional weitere Ortskriterien wie </w:t>
      </w:r>
      <w:r>
        <w:rPr>
          <w:rFonts w:ascii="Consolas" w:hAnsi="Consolas" w:cs="Consolas" w:eastAsia="Consolas"/>
          <w:sz w:val="18"/>
        </w:rPr>
        <w:t>Physischer Lagerbereich</w:t>
      </w:r>
      <w:r>
        <w:t xml:space="preserve"> oder </w:t>
      </w:r>
      <w:r>
        <w:rPr>
          <w:rFonts w:ascii="Consolas" w:hAnsi="Consolas" w:cs="Consolas" w:eastAsia="Consolas"/>
          <w:sz w:val="18"/>
        </w:rPr>
        <w:t>Lagerplatz</w:t>
      </w:r>
      <w:r>
        <w:t xml:space="preserve"> setzen.</w:t>
      </w:r>
    </w:p>
    <w:p>
      <w:pPr>
        <w:tabs>
          <w:tab w:pos="425" w:val="left"/>
        </w:tabs>
        <w:spacing w:after="60"/>
        <w:ind w:left="425" w:hanging="425"/>
      </w:pPr>
      <w:r>
        <w:rPr>
          <w:b/>
        </w:rPr>
        <w:t>5.</w:t>
        <w:tab/>
      </w:r>
      <w:r>
        <w:rPr>
          <w:b/>
        </w:rPr>
        <w:t>Speichern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Automatisches Drucken braucht einen aktiven Standarddrucker</w:t>
            </w:r>
          </w:p>
          <w:p>
            <w:pPr>
              <w:spacing w:after="40"/>
            </w:pPr>
            <w:r>
              <w:rPr>
                <w:sz w:val="19"/>
              </w:rPr>
              <w:t>Laut Administratorhandbuch ist automatisiertes Drucken nur möglich, wenn ein Standarddrucker aktiv ist. Passen mehrere Zuordnungen, wird auf dem Drucker mit der niedrigsten Reihenfolgenummer gedruckt.</w:t>
            </w:r>
          </w:p>
        </w:tc>
      </w:tr>
    </w:tbl>
    <w:p>
      <w:pPr>
        <w:spacing w:after="40"/>
      </w:pPr>
    </w:p>
    <w:p>
      <w:pPr>
        <w:pStyle w:val="Quelle"/>
      </w:pPr>
      <w:r>
        <w:rPr>
          <w:b/>
        </w:rPr>
        <w:t xml:space="preserve">Quelle: </w:t>
      </w:r>
      <w:r>
        <w:rPr>
          <w:sz w:val="17"/>
        </w:rPr>
        <w:t>Administratorhandbuch 2.7, Kap. 3.8.1.5 (S. 155)</w:t>
      </w:r>
    </w:p>
    <w:p>
      <w:pPr>
        <w:pStyle w:val="Heading2"/>
      </w:pPr>
      <w:r>
        <w:t>3.6 So wählt WAMAS den Drucker aus</w:t>
      </w:r>
    </w:p>
    <w:p>
      <w:pPr>
        <w:tabs>
          <w:tab w:pos="425" w:val="left"/>
        </w:tabs>
        <w:spacing w:after="60"/>
        <w:ind w:left="425" w:hanging="425"/>
      </w:pPr>
      <w:r>
        <w:rPr>
          <w:b/>
        </w:rPr>
        <w:t>1.</w:t>
        <w:tab/>
      </w:r>
      <w:r>
        <w:t>WAMAS sucht Drucker, die Dokumentenformat, Seitengröße und Druckauflösung der Konfiguration ausgeben können (Druckertyp).</w:t>
      </w:r>
    </w:p>
    <w:p>
      <w:pPr>
        <w:tabs>
          <w:tab w:pos="425" w:val="left"/>
        </w:tabs>
        <w:spacing w:after="60"/>
        <w:ind w:left="425" w:hanging="425"/>
      </w:pPr>
      <w:r>
        <w:rPr>
          <w:b/>
        </w:rPr>
        <w:t>2.</w:t>
        <w:tab/>
      </w:r>
      <w:r>
        <w:t>WAMAS übernimmt die Auswahlattribute des Dokument-Triggers: Ort der Generierung (Lagerstandort, physischer Lagerbereich, Kommissionierbereich, Transportbereich, Lagerplatz) und ggf. das Terminal des angemeldeten Benutzers.</w:t>
      </w:r>
    </w:p>
    <w:p>
      <w:pPr>
        <w:tabs>
          <w:tab w:pos="425" w:val="left"/>
        </w:tabs>
        <w:spacing w:after="60"/>
        <w:ind w:left="425" w:hanging="425"/>
      </w:pPr>
      <w:r>
        <w:rPr>
          <w:b/>
        </w:rPr>
        <w:t>3.</w:t>
        <w:tab/>
      </w:r>
      <w:r>
        <w:t xml:space="preserve">Findet sich für keinen Drucker eine Druckerortzuordnung, kann kein Standarddrucker bestimmt werden. Das Dokument wird </w:t>
      </w:r>
      <w:r>
        <w:rPr>
          <w:b/>
        </w:rPr>
        <w:t>nicht</w:t>
      </w:r>
      <w:r>
        <w:t xml:space="preserve"> gedruckt.</w:t>
      </w:r>
    </w:p>
    <w:p>
      <w:pPr>
        <w:tabs>
          <w:tab w:pos="425" w:val="left"/>
        </w:tabs>
        <w:spacing w:after="60"/>
        <w:ind w:left="425" w:hanging="425"/>
      </w:pPr>
      <w:r>
        <w:rPr>
          <w:b/>
        </w:rPr>
        <w:t>4.</w:t>
        <w:tab/>
      </w:r>
      <w:r>
        <w:t>Bei mehreren Treffern prüft WAMAS, wie genau die Attribute zu den Kriterien der Druckerortzuordnung passen.</w:t>
      </w:r>
    </w:p>
    <w:p>
      <w:pPr>
        <w:tabs>
          <w:tab w:pos="425" w:val="left"/>
        </w:tabs>
        <w:spacing w:after="60"/>
        <w:ind w:left="425" w:hanging="425"/>
      </w:pPr>
      <w:r>
        <w:rPr>
          <w:b/>
        </w:rPr>
        <w:t>5.</w:t>
        <w:tab/>
      </w:r>
      <w:r>
        <w:t>Unter den passenden Druckern gewinnt der mit der niedrigsten Reihenfolgenummer.</w:t>
      </w:r>
    </w:p>
    <w:p>
      <w:r>
        <w:t>Im automatisierten Prozess wird direkt auf diesem Standarddrucker gedruckt. Im manuellen Prozess ist er im Druckdialog vorausgewählt, der Benutzer kann aber einen anderen Drucker wählen.</w:t>
      </w:r>
    </w:p>
    <w:p>
      <w:pPr>
        <w:pStyle w:val="Quelle"/>
      </w:pPr>
      <w:r>
        <w:rPr>
          <w:b/>
        </w:rPr>
        <w:t xml:space="preserve">Quelle: </w:t>
      </w:r>
      <w:r>
        <w:rPr>
          <w:sz w:val="17"/>
        </w:rPr>
        <w:t>Administratorhandbuch 2.7, Kap. 3.8 „Druckerauswahl in WAMAS“ (S. 150–151)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Das Handbuch beschreibt nicht, wie die Checkbox </w:t>
            </w:r>
            <w:r>
              <w:rPr>
                <w:rFonts w:ascii="Consolas" w:hAnsi="Consolas" w:cs="Consolas" w:eastAsia="Consolas"/>
                <w:sz w:val="17"/>
              </w:rPr>
              <w:t>Standard</w:t>
            </w:r>
            <w:r>
              <w:rPr>
                <w:sz w:val="19"/>
              </w:rPr>
              <w:t xml:space="preserve"> in RM011 (Fallback, „wenn kein Drucker gefunden wird“) mit Schritt 3 der Druckerauswahl („kein Drucker ohne Zuordnung“) zusammenspielt. Ebenso fehlt eine Gewichtung, welches Ortskriterium bei „wie genau die Attribute übereinstimmen“ Vorrang hat. Bitte im System oder beim Produktmanagement verifizieren.</w:t>
            </w:r>
          </w:p>
        </w:tc>
      </w:tr>
    </w:tbl>
    <w:p>
      <w:pPr>
        <w:spacing w:after="40"/>
      </w:pPr>
    </w:p>
    <w:p>
      <w:pPr>
        <w:pStyle w:val="Heading1"/>
      </w:pPr>
      <w:r>
        <w:t>4 Dokumenttypen, Layouts und Konfigurationen</w:t>
      </w:r>
    </w:p>
    <w:p>
      <w:pPr>
        <w:pStyle w:val="Heading2"/>
      </w:pPr>
      <w:r>
        <w:t>4.1 Dokumenttypen (RM002)</w:t>
      </w:r>
    </w:p>
    <w:p>
      <w:pPr>
        <w:tabs>
          <w:tab w:pos="425" w:val="left"/>
        </w:tabs>
        <w:spacing w:after="60"/>
        <w:ind w:left="425" w:hanging="425"/>
      </w:pPr>
      <w:r>
        <w:rPr>
          <w:b/>
        </w:rPr>
        <w:t>1.</w:t>
        <w:tab/>
      </w:r>
      <w:r>
        <w:rPr>
          <w:b/>
        </w:rPr>
        <w:t>RM002 Dokumenttyp pflegen</w:t>
      </w:r>
      <w:r>
        <w:t xml:space="preserve"> öffnen und den Dokumenttyp auswählen.</w:t>
      </w:r>
    </w:p>
    <w:p>
      <w:pPr>
        <w:tabs>
          <w:tab w:pos="425" w:val="left"/>
        </w:tabs>
        <w:spacing w:after="60"/>
        <w:ind w:left="425" w:hanging="425"/>
      </w:pPr>
      <w:r>
        <w:rPr>
          <w:b/>
        </w:rPr>
        <w:t>2.</w:t>
        <w:tab/>
      </w:r>
      <w:r>
        <w:t xml:space="preserve">Bei Bedarf im Bereich </w:t>
      </w:r>
      <w:r>
        <w:rPr>
          <w:b/>
        </w:rPr>
        <w:t>Details</w:t>
      </w:r>
      <w:r>
        <w:t xml:space="preserve">, Registerkarte </w:t>
      </w:r>
      <w:r>
        <w:rPr>
          <w:b/>
        </w:rPr>
        <w:t>Dokumenttyp-Parameter</w:t>
      </w:r>
      <w:r>
        <w:t xml:space="preserve">, per Kontextmenü </w:t>
      </w:r>
      <w:r>
        <w:rPr>
          <w:b/>
        </w:rPr>
        <w:t>Datensatz anlegen</w:t>
      </w:r>
      <w:r>
        <w:t xml:space="preserve"> einen Parameter hinzufügen und im Feld </w:t>
      </w:r>
      <w:r>
        <w:rPr>
          <w:rFonts w:ascii="Consolas" w:hAnsi="Consolas" w:cs="Consolas" w:eastAsia="Consolas"/>
          <w:sz w:val="18"/>
        </w:rPr>
        <w:t>Parametername</w:t>
      </w:r>
      <w:r>
        <w:t xml:space="preserve"> wählen.</w:t>
      </w:r>
    </w:p>
    <w:p>
      <w:pPr>
        <w:tabs>
          <w:tab w:pos="425" w:val="left"/>
        </w:tabs>
        <w:spacing w:after="60"/>
        <w:ind w:left="425" w:hanging="425"/>
      </w:pPr>
      <w:r>
        <w:rPr>
          <w:b/>
        </w:rPr>
        <w:t>3.</w:t>
        <w:tab/>
      </w:r>
      <w:r>
        <w:rPr>
          <w:b/>
        </w:rPr>
        <w:t>Speichern</w:t>
      </w:r>
      <w:r>
        <w:t>.</w:t>
      </w:r>
    </w:p>
    <w:p>
      <w:r>
        <w:t>Die Parameter werden anschließend vom Dokumentlayout verwendet.</w:t>
      </w:r>
    </w:p>
    <w:p>
      <w:pPr>
        <w:pStyle w:val="Quelle"/>
      </w:pPr>
      <w:r>
        <w:rPr>
          <w:b/>
        </w:rPr>
        <w:t xml:space="preserve">Quelle: </w:t>
      </w:r>
      <w:r>
        <w:rPr>
          <w:sz w:val="17"/>
        </w:rPr>
        <w:t>Administratorhandbuch 2.7, Kap. 3.7.2.1 (S. 144)</w:t>
      </w:r>
    </w:p>
    <w:p>
      <w:pPr>
        <w:pStyle w:val="Heading2"/>
      </w:pPr>
      <w:r>
        <w:t>4.2 Dokumentlayouts (RM003)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97"/>
        <w:gridCol w:w="6927"/>
      </w:tblGrid>
      <w:tr>
        <w:trPr>
          <w:tblHeader w:val="true"/>
        </w:trPr>
        <w:tc>
          <w:tcPr>
            <w:tcW w:type="dxa" w:w="2598"/>
            <w:shd w:val="clear" w:color="auto" w:fill="FEEE19"/>
          </w:tcPr>
          <w:p>
            <w:pPr>
              <w:spacing w:after="0"/>
            </w:pPr>
            <w:r>
              <w:rPr>
                <w:b/>
                <w:sz w:val="17"/>
              </w:rPr>
              <w:t>Feld</w:t>
            </w:r>
          </w:p>
        </w:tc>
        <w:tc>
          <w:tcPr>
            <w:tcW w:type="dxa" w:w="6927"/>
            <w:shd w:val="clear" w:color="auto" w:fill="FEEE19"/>
          </w:tcPr>
          <w:p>
            <w:pPr>
              <w:spacing w:after="0"/>
            </w:pPr>
            <w:r>
              <w:rPr>
                <w:b/>
                <w:sz w:val="17"/>
              </w:rPr>
              <w:t>Bedeutung</w:t>
            </w:r>
          </w:p>
        </w:tc>
      </w:tr>
      <w:tr>
        <w:tc>
          <w:tcPr>
            <w:tcW w:type="dxa" w:w="2598"/>
          </w:tcPr>
          <w:p>
            <w:pPr>
              <w:spacing w:after="0" w:line="252" w:lineRule="auto"/>
            </w:pPr>
            <w:r>
              <w:rPr>
                <w:rFonts w:ascii="Consolas" w:hAnsi="Consolas" w:cs="Consolas" w:eastAsia="Consolas"/>
                <w:sz w:val="15"/>
              </w:rPr>
              <w:t>Dokumentlayout-Name</w:t>
            </w:r>
          </w:p>
        </w:tc>
        <w:tc>
          <w:tcPr>
            <w:tcW w:type="dxa" w:w="6927"/>
          </w:tcPr>
          <w:p>
            <w:pPr>
              <w:spacing w:after="0" w:line="252" w:lineRule="auto"/>
            </w:pPr>
            <w:r>
              <w:rPr>
                <w:sz w:val="17"/>
              </w:rPr>
              <w:t>Eindeutiger Name</w:t>
            </w:r>
          </w:p>
        </w:tc>
      </w:tr>
      <w:tr>
        <w:tc>
          <w:tcPr>
            <w:tcW w:type="dxa" w:w="2598"/>
          </w:tcPr>
          <w:p>
            <w:pPr>
              <w:spacing w:after="0" w:line="252" w:lineRule="auto"/>
            </w:pPr>
            <w:r>
              <w:rPr>
                <w:rFonts w:ascii="Consolas" w:hAnsi="Consolas" w:cs="Consolas" w:eastAsia="Consolas"/>
                <w:sz w:val="15"/>
              </w:rPr>
              <w:t>Dokumenttyp</w:t>
            </w:r>
          </w:p>
        </w:tc>
        <w:tc>
          <w:tcPr>
            <w:tcW w:type="dxa" w:w="6927"/>
          </w:tcPr>
          <w:p>
            <w:pPr>
              <w:spacing w:after="0" w:line="252" w:lineRule="auto"/>
            </w:pPr>
            <w:r>
              <w:rPr>
                <w:sz w:val="17"/>
              </w:rPr>
              <w:t>Dokumenttyp, zu dem das Layout gehört</w:t>
            </w:r>
          </w:p>
        </w:tc>
      </w:tr>
      <w:tr>
        <w:tc>
          <w:tcPr>
            <w:tcW w:type="dxa" w:w="2598"/>
          </w:tcPr>
          <w:p>
            <w:pPr>
              <w:spacing w:after="0" w:line="252" w:lineRule="auto"/>
            </w:pPr>
            <w:r>
              <w:rPr>
                <w:rFonts w:ascii="Consolas" w:hAnsi="Consolas" w:cs="Consolas" w:eastAsia="Consolas"/>
                <w:sz w:val="15"/>
              </w:rPr>
              <w:t>Auflösung</w:t>
            </w:r>
          </w:p>
        </w:tc>
        <w:tc>
          <w:tcPr>
            <w:tcW w:type="dxa" w:w="6927"/>
          </w:tcPr>
          <w:p>
            <w:pPr>
              <w:spacing w:after="0" w:line="252" w:lineRule="auto"/>
            </w:pPr>
            <w:r>
              <w:rPr>
                <w:sz w:val="17"/>
              </w:rPr>
              <w:t>Druckauflösung aus RM021</w:t>
            </w:r>
          </w:p>
        </w:tc>
      </w:tr>
      <w:tr>
        <w:tc>
          <w:tcPr>
            <w:tcW w:type="dxa" w:w="2598"/>
          </w:tcPr>
          <w:p>
            <w:pPr>
              <w:spacing w:after="0" w:line="252" w:lineRule="auto"/>
            </w:pPr>
            <w:r>
              <w:rPr>
                <w:rFonts w:ascii="Consolas" w:hAnsi="Consolas" w:cs="Consolas" w:eastAsia="Consolas"/>
                <w:sz w:val="15"/>
              </w:rPr>
              <w:t>Seitengröße</w:t>
            </w:r>
          </w:p>
        </w:tc>
        <w:tc>
          <w:tcPr>
            <w:tcW w:type="dxa" w:w="6927"/>
          </w:tcPr>
          <w:p>
            <w:pPr>
              <w:spacing w:after="0" w:line="252" w:lineRule="auto"/>
            </w:pPr>
            <w:r>
              <w:rPr>
                <w:sz w:val="17"/>
              </w:rPr>
              <w:t>Seitengröße aus RM020</w:t>
            </w:r>
          </w:p>
        </w:tc>
      </w:tr>
      <w:tr>
        <w:tc>
          <w:tcPr>
            <w:tcW w:type="dxa" w:w="2598"/>
          </w:tcPr>
          <w:p>
            <w:pPr>
              <w:spacing w:after="0" w:line="252" w:lineRule="auto"/>
            </w:pPr>
            <w:r>
              <w:rPr>
                <w:rFonts w:ascii="Consolas" w:hAnsi="Consolas" w:cs="Consolas" w:eastAsia="Consolas"/>
                <w:sz w:val="15"/>
              </w:rPr>
              <w:t>Hauptdatei</w:t>
            </w:r>
          </w:p>
        </w:tc>
        <w:tc>
          <w:tcPr>
            <w:tcW w:type="dxa" w:w="6927"/>
          </w:tcPr>
          <w:p>
            <w:pPr>
              <w:spacing w:after="0" w:line="252" w:lineRule="auto"/>
            </w:pPr>
            <w:r>
              <w:rPr>
                <w:sz w:val="17"/>
              </w:rPr>
              <w:t>Layoutdatei aus dem Dateisystem</w:t>
            </w:r>
          </w:p>
        </w:tc>
      </w:tr>
      <w:tr>
        <w:tc>
          <w:tcPr>
            <w:tcW w:type="dxa" w:w="2598"/>
          </w:tcPr>
          <w:p>
            <w:pPr>
              <w:spacing w:after="0" w:line="252" w:lineRule="auto"/>
            </w:pPr>
            <w:r>
              <w:rPr>
                <w:rFonts w:ascii="Consolas" w:hAnsi="Consolas" w:cs="Consolas" w:eastAsia="Consolas"/>
                <w:sz w:val="15"/>
              </w:rPr>
              <w:t>Version</w:t>
            </w:r>
          </w:p>
        </w:tc>
        <w:tc>
          <w:tcPr>
            <w:tcW w:type="dxa" w:w="6927"/>
          </w:tcPr>
          <w:p>
            <w:pPr>
              <w:spacing w:after="0" w:line="252" w:lineRule="auto"/>
            </w:pPr>
            <w:r>
              <w:rPr>
                <w:sz w:val="17"/>
              </w:rPr>
              <w:t>Aktuelle Version des Layouts (Anzeige)</w:t>
            </w:r>
          </w:p>
        </w:tc>
      </w:tr>
      <w:tr>
        <w:tc>
          <w:tcPr>
            <w:tcW w:type="dxa" w:w="2598"/>
          </w:tcPr>
          <w:p>
            <w:pPr>
              <w:spacing w:after="0" w:line="252" w:lineRule="auto"/>
            </w:pPr>
            <w:r>
              <w:rPr>
                <w:rFonts w:ascii="Consolas" w:hAnsi="Consolas" w:cs="Consolas" w:eastAsia="Consolas"/>
                <w:sz w:val="15"/>
              </w:rPr>
              <w:t>Layoutformat</w:t>
            </w:r>
          </w:p>
        </w:tc>
        <w:tc>
          <w:tcPr>
            <w:tcW w:type="dxa" w:w="6927"/>
          </w:tcPr>
          <w:p>
            <w:pPr>
              <w:spacing w:after="0" w:line="252" w:lineRule="auto"/>
            </w:pPr>
            <w:r>
              <w:rPr>
                <w:sz w:val="17"/>
              </w:rPr>
              <w:t>Format der Vorlage, z. B. HTML</w:t>
            </w:r>
          </w:p>
        </w:tc>
      </w:tr>
      <w:tr>
        <w:tc>
          <w:tcPr>
            <w:tcW w:type="dxa" w:w="2598"/>
          </w:tcPr>
          <w:p>
            <w:pPr>
              <w:spacing w:after="0" w:line="252" w:lineRule="auto"/>
            </w:pPr>
            <w:r>
              <w:rPr>
                <w:rFonts w:ascii="Consolas" w:hAnsi="Consolas" w:cs="Consolas" w:eastAsia="Consolas"/>
                <w:sz w:val="15"/>
              </w:rPr>
              <w:t>Verwendet</w:t>
            </w:r>
          </w:p>
        </w:tc>
        <w:tc>
          <w:tcPr>
            <w:tcW w:type="dxa" w:w="6927"/>
          </w:tcPr>
          <w:p>
            <w:pPr>
              <w:spacing w:after="0" w:line="252" w:lineRule="auto"/>
            </w:pPr>
            <w:r>
              <w:rPr>
                <w:sz w:val="17"/>
              </w:rPr>
              <w:t>Aktiv, wenn das Layout von einem Dokument verwendet wird</w:t>
            </w:r>
          </w:p>
        </w:tc>
      </w:tr>
      <w:tr>
        <w:tc>
          <w:tcPr>
            <w:tcW w:type="dxa" w:w="2598"/>
          </w:tcPr>
          <w:p>
            <w:pPr>
              <w:spacing w:after="0" w:line="252" w:lineRule="auto"/>
            </w:pPr>
            <w:r>
              <w:rPr>
                <w:rFonts w:ascii="Consolas" w:hAnsi="Consolas" w:cs="Consolas" w:eastAsia="Consolas"/>
                <w:sz w:val="15"/>
              </w:rPr>
              <w:t>Bezeichnung</w:t>
            </w:r>
          </w:p>
        </w:tc>
        <w:tc>
          <w:tcPr>
            <w:tcW w:type="dxa" w:w="6927"/>
          </w:tcPr>
          <w:p>
            <w:pPr>
              <w:spacing w:after="0" w:line="252" w:lineRule="auto"/>
            </w:pPr>
            <w:r>
              <w:rPr>
                <w:sz w:val="17"/>
              </w:rPr>
              <w:t>Mehrsprachig über FW015</w:t>
            </w:r>
          </w:p>
        </w:tc>
      </w:tr>
    </w:tbl>
    <w:p>
      <w:pPr>
        <w:pStyle w:val="BeschriftungSSI"/>
      </w:pPr>
      <w:r>
        <w:t>Tab. 6: Felder im Dialog RM003 Dokumentlayout pflegen</w:t>
      </w:r>
    </w:p>
    <w:p>
      <w:r>
        <w:rPr>
          <w:b/>
        </w:rPr>
        <w:t>Layout exportieren:</w:t>
      </w:r>
      <w:r>
        <w:t xml:space="preserve"> In RM003 Dokumenttyp wählen, auf der Registerkarte </w:t>
      </w:r>
      <w:r>
        <w:rPr>
          <w:b/>
        </w:rPr>
        <w:t>Versionen und Parameter</w:t>
      </w:r>
      <w:r>
        <w:t xml:space="preserve"> die Version wählen, Kontextmenü </w:t>
      </w:r>
      <w:r>
        <w:rPr>
          <w:b/>
        </w:rPr>
        <w:t>Layout in Datei exportieren</w:t>
      </w:r>
      <w:r>
        <w:t xml:space="preserve">, im Dialog </w:t>
      </w:r>
      <w:r>
        <w:rPr>
          <w:b/>
        </w:rPr>
        <w:t>FW010 Dateipfad auswählen</w:t>
      </w:r>
      <w:r>
        <w:t xml:space="preserve"> den Pfad angeben, </w:t>
      </w:r>
      <w:r>
        <w:rPr>
          <w:b/>
        </w:rPr>
        <w:t>Speichern</w:t>
      </w:r>
      <w:r>
        <w:t xml:space="preserve">. Die Datei kann dann in einem Layouteditor bearbeitet werden. </w:t>
      </w:r>
      <w:r>
        <w:rPr>
          <w:b/>
        </w:rPr>
        <w:t>Layout importieren (neue Version):</w:t>
      </w:r>
      <w:r>
        <w:t xml:space="preserve"> In RM003 Dokumenttyp wählen, auf das Feld </w:t>
      </w:r>
      <w:r>
        <w:rPr>
          <w:rFonts w:ascii="Consolas" w:hAnsi="Consolas" w:cs="Consolas" w:eastAsia="Consolas"/>
          <w:sz w:val="18"/>
        </w:rPr>
        <w:t>Hauptdatei</w:t>
      </w:r>
      <w:r>
        <w:t xml:space="preserve"> doppelklicken, Icon </w:t>
      </w:r>
      <w:r>
        <w:rPr>
          <w:b/>
        </w:rPr>
        <w:t>Bearbeiten</w:t>
      </w:r>
      <w:r>
        <w:t xml:space="preserve"> klicken, die neue Datei wählen, </w:t>
      </w:r>
      <w:r>
        <w:rPr>
          <w:b/>
        </w:rPr>
        <w:t>Öffnen</w:t>
      </w:r>
      <w:r>
        <w:t xml:space="preserve">, </w:t>
      </w:r>
      <w:r>
        <w:rPr>
          <w:b/>
        </w:rPr>
        <w:t>Speichern</w:t>
      </w:r>
      <w:r>
        <w:t>. Die neue Version wird unter demselben Namen angelegt.</w:t>
      </w:r>
    </w:p>
    <w:p>
      <w:pPr>
        <w:pStyle w:val="Quelle"/>
      </w:pPr>
      <w:r>
        <w:rPr>
          <w:b/>
        </w:rPr>
        <w:t xml:space="preserve">Quelle: </w:t>
      </w:r>
      <w:r>
        <w:rPr>
          <w:sz w:val="17"/>
        </w:rPr>
        <w:t>Administratorhandbuch 2.7, Kap. 3.7.2.2 (S. 144–145)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Neue Layoutversion wirkt nicht automatisch</w:t>
            </w:r>
          </w:p>
          <w:p>
            <w:pPr>
              <w:spacing w:after="40"/>
            </w:pPr>
            <w:r>
              <w:rPr>
                <w:sz w:val="19"/>
              </w:rPr>
              <w:t xml:space="preserve">Die Standard-Dokumenttypkonfiguration verweist im Feld </w:t>
            </w:r>
            <w:r>
              <w:rPr>
                <w:rFonts w:ascii="Consolas" w:hAnsi="Consolas" w:cs="Consolas" w:eastAsia="Consolas"/>
                <w:sz w:val="17"/>
              </w:rPr>
              <w:t>Dokumentlayout; Version</w:t>
            </w:r>
            <w:r>
              <w:rPr>
                <w:sz w:val="19"/>
              </w:rPr>
              <w:t xml:space="preserve"> auf eine bestimmte Version. Ist eine neuere Version vorhanden, ist die Checkbox </w:t>
            </w:r>
            <w:r>
              <w:rPr>
                <w:rFonts w:ascii="Consolas" w:hAnsi="Consolas" w:cs="Consolas" w:eastAsia="Consolas"/>
                <w:sz w:val="17"/>
              </w:rPr>
              <w:t>Dokumentlayout aktuell</w:t>
            </w:r>
            <w:r>
              <w:rPr>
                <w:sz w:val="19"/>
              </w:rPr>
              <w:t xml:space="preserve"> nicht gesetzt. Nach einem Import deshalb in RM005 prüfen, welche Version verwendet wird.</w:t>
            </w:r>
          </w:p>
        </w:tc>
      </w:tr>
    </w:tbl>
    <w:p>
      <w:pPr>
        <w:spacing w:after="40"/>
      </w:pPr>
    </w:p>
    <w:p>
      <w:pPr>
        <w:pStyle w:val="Heading2"/>
      </w:pPr>
      <w:r>
        <w:t>4.3 Standard-Dokumenttypkonfiguration (RM005)</w:t>
      </w:r>
    </w:p>
    <w:p>
      <w:pPr>
        <w:tabs>
          <w:tab w:pos="425" w:val="left"/>
        </w:tabs>
        <w:spacing w:after="60"/>
        <w:ind w:left="425" w:hanging="425"/>
      </w:pPr>
      <w:r>
        <w:rPr>
          <w:b/>
        </w:rPr>
        <w:t>1.</w:t>
        <w:tab/>
      </w:r>
      <w:r>
        <w:rPr>
          <w:b/>
        </w:rPr>
        <w:t>RM005 Standard-Dokumenttypkonfiguration pflegen</w:t>
      </w:r>
      <w:r>
        <w:t xml:space="preserve"> öffnen, Dokumenttyp wählen und eine eindeutige </w:t>
      </w:r>
      <w:r>
        <w:rPr>
          <w:rFonts w:ascii="Consolas" w:hAnsi="Consolas" w:cs="Consolas" w:eastAsia="Consolas"/>
          <w:sz w:val="18"/>
        </w:rPr>
        <w:t>Konfigurationsbezeichnung</w:t>
      </w:r>
      <w:r>
        <w:t xml:space="preserve"> eingeben.</w:t>
      </w:r>
    </w:p>
    <w:p>
      <w:pPr>
        <w:tabs>
          <w:tab w:pos="425" w:val="left"/>
        </w:tabs>
        <w:spacing w:after="60"/>
        <w:ind w:left="425" w:hanging="425"/>
      </w:pPr>
      <w:r>
        <w:rPr>
          <w:b/>
        </w:rPr>
        <w:t>2.</w:t>
        <w:tab/>
      </w:r>
      <w:r>
        <w:rPr>
          <w:rFonts w:ascii="Consolas" w:hAnsi="Consolas" w:cs="Consolas" w:eastAsia="Consolas"/>
          <w:sz w:val="18"/>
        </w:rPr>
        <w:t>Dokumenttyp</w:t>
      </w:r>
      <w:r>
        <w:t xml:space="preserve">, </w:t>
      </w:r>
      <w:r>
        <w:rPr>
          <w:rFonts w:ascii="Consolas" w:hAnsi="Consolas" w:cs="Consolas" w:eastAsia="Consolas"/>
          <w:sz w:val="18"/>
        </w:rPr>
        <w:t>Dokument-Renderer</w:t>
      </w:r>
      <w:r>
        <w:t xml:space="preserve"> und </w:t>
      </w:r>
      <w:r>
        <w:rPr>
          <w:rFonts w:ascii="Consolas" w:hAnsi="Consolas" w:cs="Consolas" w:eastAsia="Consolas"/>
          <w:sz w:val="18"/>
        </w:rPr>
        <w:t>Dokumentlayout; Version</w:t>
      </w:r>
      <w:r>
        <w:t xml:space="preserve"> wählen. </w:t>
      </w:r>
      <w:r>
        <w:rPr>
          <w:rFonts w:ascii="Consolas" w:hAnsi="Consolas" w:cs="Consolas" w:eastAsia="Consolas"/>
          <w:sz w:val="18"/>
        </w:rPr>
        <w:t>Dokumentlayout aktuell</w:t>
      </w:r>
      <w:r>
        <w:t xml:space="preserve"> und </w:t>
      </w:r>
      <w:r>
        <w:rPr>
          <w:rFonts w:ascii="Consolas" w:hAnsi="Consolas" w:cs="Consolas" w:eastAsia="Consolas"/>
          <w:sz w:val="18"/>
        </w:rPr>
        <w:t>Dokumentlayout-Bezeichnung</w:t>
      </w:r>
      <w:r>
        <w:t xml:space="preserve"> sind Anzeigefelder.</w:t>
      </w:r>
    </w:p>
    <w:p>
      <w:pPr>
        <w:tabs>
          <w:tab w:pos="425" w:val="left"/>
        </w:tabs>
        <w:spacing w:after="60"/>
        <w:ind w:left="425" w:hanging="425"/>
      </w:pPr>
      <w:r>
        <w:rPr>
          <w:b/>
        </w:rPr>
        <w:t>3.</w:t>
        <w:tab/>
      </w:r>
      <w:r>
        <w:t xml:space="preserve">Registerkarte </w:t>
      </w:r>
      <w:r>
        <w:rPr>
          <w:b/>
        </w:rPr>
        <w:t>Kanäle und Parameter</w:t>
      </w:r>
      <w:r>
        <w:t xml:space="preserve">: im Bereich </w:t>
      </w:r>
      <w:r>
        <w:rPr>
          <w:b/>
        </w:rPr>
        <w:t>Kanal</w:t>
      </w:r>
      <w:r>
        <w:t xml:space="preserve"> per Kontextmenü </w:t>
      </w:r>
      <w:r>
        <w:rPr>
          <w:b/>
        </w:rPr>
        <w:t>Datensatz anlegen</w:t>
      </w:r>
      <w:r>
        <w:t xml:space="preserve">, </w:t>
      </w:r>
      <w:r>
        <w:rPr>
          <w:rFonts w:ascii="Consolas" w:hAnsi="Consolas" w:cs="Consolas" w:eastAsia="Consolas"/>
          <w:sz w:val="18"/>
        </w:rPr>
        <w:t>Kanaltyp</w:t>
      </w:r>
      <w:r>
        <w:t xml:space="preserve"> wählen und im Bereich </w:t>
      </w:r>
      <w:r>
        <w:rPr>
          <w:b/>
        </w:rPr>
        <w:t>Kanalparameter</w:t>
      </w:r>
      <w:r>
        <w:t xml:space="preserve"> die Werte setzen.</w:t>
      </w:r>
    </w:p>
    <w:p>
      <w:pPr>
        <w:tabs>
          <w:tab w:pos="425" w:val="left"/>
        </w:tabs>
        <w:spacing w:after="60"/>
        <w:ind w:left="425" w:hanging="425"/>
      </w:pPr>
      <w:r>
        <w:rPr>
          <w:b/>
        </w:rPr>
        <w:t>4.</w:t>
        <w:tab/>
      </w:r>
      <w:r>
        <w:t xml:space="preserve">Registerkarte </w:t>
      </w:r>
      <w:r>
        <w:rPr>
          <w:b/>
        </w:rPr>
        <w:t>Sprache</w:t>
      </w:r>
      <w:r>
        <w:t xml:space="preserve">: </w:t>
      </w:r>
      <w:r>
        <w:rPr>
          <w:rFonts w:ascii="Consolas" w:hAnsi="Consolas" w:cs="Consolas" w:eastAsia="Consolas"/>
          <w:sz w:val="18"/>
        </w:rPr>
        <w:t>Dateninhaltssprache</w:t>
      </w:r>
      <w:r>
        <w:t xml:space="preserve"> und </w:t>
      </w:r>
      <w:r>
        <w:rPr>
          <w:rFonts w:ascii="Consolas" w:hAnsi="Consolas" w:cs="Consolas" w:eastAsia="Consolas"/>
          <w:sz w:val="18"/>
        </w:rPr>
        <w:t>Label-Sprache</w:t>
      </w:r>
      <w:r>
        <w:t xml:space="preserve"> wählen, optional übersteuern.</w:t>
      </w:r>
    </w:p>
    <w:p>
      <w:pPr>
        <w:tabs>
          <w:tab w:pos="425" w:val="left"/>
        </w:tabs>
        <w:spacing w:after="60"/>
        <w:ind w:left="425" w:hanging="425"/>
      </w:pPr>
      <w:r>
        <w:rPr>
          <w:b/>
        </w:rPr>
        <w:t>5.</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Kanal</w:t>
            </w:r>
          </w:p>
        </w:tc>
        <w:tc>
          <w:tcPr>
            <w:tcW w:type="dxa" w:w="7937"/>
            <w:shd w:val="clear" w:color="auto" w:fill="FEEE19"/>
          </w:tcPr>
          <w:p>
            <w:pPr>
              <w:spacing w:after="0"/>
            </w:pPr>
            <w:r>
              <w:rPr>
                <w:b/>
                <w:sz w:val="17"/>
              </w:rPr>
              <w:t>Parameter laut Handbuch</w:t>
            </w:r>
          </w:p>
        </w:tc>
      </w:tr>
      <w:tr>
        <w:tc>
          <w:tcPr>
            <w:tcW w:type="dxa" w:w="1587"/>
          </w:tcPr>
          <w:p>
            <w:pPr>
              <w:spacing w:after="0" w:line="252" w:lineRule="auto"/>
            </w:pPr>
            <w:r>
              <w:rPr>
                <w:sz w:val="17"/>
              </w:rPr>
              <w:t>Dateikanal</w:t>
            </w:r>
          </w:p>
        </w:tc>
        <w:tc>
          <w:tcPr>
            <w:tcW w:type="dxa" w:w="7937"/>
          </w:tcPr>
          <w:p>
            <w:pPr>
              <w:spacing w:after="0" w:line="252" w:lineRule="auto"/>
            </w:pPr>
            <w:r>
              <w:rPr>
                <w:sz w:val="17"/>
              </w:rPr>
              <w:t>Pfad für die Ablage, Nummernkreis für den Dateinamen</w:t>
            </w:r>
          </w:p>
        </w:tc>
      </w:tr>
      <w:tr>
        <w:tc>
          <w:tcPr>
            <w:tcW w:type="dxa" w:w="1587"/>
          </w:tcPr>
          <w:p>
            <w:pPr>
              <w:spacing w:after="0" w:line="252" w:lineRule="auto"/>
            </w:pPr>
            <w:r>
              <w:rPr>
                <w:sz w:val="17"/>
              </w:rPr>
              <w:t>Druckkanal</w:t>
            </w:r>
          </w:p>
        </w:tc>
        <w:tc>
          <w:tcPr>
            <w:tcW w:type="dxa" w:w="7937"/>
          </w:tcPr>
          <w:p>
            <w:pPr>
              <w:spacing w:after="0" w:line="252" w:lineRule="auto"/>
            </w:pPr>
            <w:r>
              <w:rPr>
                <w:sz w:val="17"/>
              </w:rPr>
              <w:t>Anzahl der standardmäßig gedruckten Exemplare</w:t>
            </w:r>
          </w:p>
        </w:tc>
      </w:tr>
      <w:tr>
        <w:tc>
          <w:tcPr>
            <w:tcW w:type="dxa" w:w="1587"/>
          </w:tcPr>
          <w:p>
            <w:pPr>
              <w:spacing w:after="0" w:line="252" w:lineRule="auto"/>
            </w:pPr>
            <w:r>
              <w:rPr>
                <w:sz w:val="17"/>
              </w:rPr>
              <w:t>E-Mail-Kanal</w:t>
            </w:r>
          </w:p>
        </w:tc>
        <w:tc>
          <w:tcPr>
            <w:tcW w:type="dxa" w:w="7937"/>
          </w:tcPr>
          <w:p>
            <w:pPr>
              <w:spacing w:after="0" w:line="252" w:lineRule="auto"/>
            </w:pPr>
            <w:r>
              <w:rPr>
                <w:sz w:val="17"/>
              </w:rPr>
              <w:t>SMTP-Server (RM030), E-Mail-Vorlage (RM040), Nummernkreis für den Anhangsnamen</w:t>
            </w:r>
          </w:p>
        </w:tc>
      </w:tr>
      <w:tr>
        <w:tc>
          <w:tcPr>
            <w:tcW w:type="dxa" w:w="1587"/>
          </w:tcPr>
          <w:p>
            <w:pPr>
              <w:spacing w:after="0" w:line="252" w:lineRule="auto"/>
            </w:pPr>
            <w:r>
              <w:rPr>
                <w:sz w:val="17"/>
              </w:rPr>
              <w:t>Archiv</w:t>
            </w:r>
          </w:p>
        </w:tc>
        <w:tc>
          <w:tcPr>
            <w:tcW w:type="dxa" w:w="7937"/>
          </w:tcPr>
          <w:p>
            <w:pPr>
              <w:spacing w:after="0" w:line="252" w:lineRule="auto"/>
            </w:pPr>
            <w:r>
              <w:rPr>
                <w:sz w:val="17"/>
              </w:rPr>
              <w:t>Im Benutzerhandbuch als Kanal genannt, Parameter nicht beschrieben</w:t>
            </w:r>
          </w:p>
        </w:tc>
      </w:tr>
    </w:tbl>
    <w:p>
      <w:pPr>
        <w:pStyle w:val="BeschriftungSSI"/>
      </w:pPr>
      <w:r>
        <w:t>Tab. 7: Ausgabekanäle und ihre Parameter</w:t>
      </w:r>
    </w:p>
    <w:p>
      <w:r>
        <w:t>Kanäle können kombiniert werden, wenn ein Dokument auf mehreren Wegen ausgegeben werden soll (z. B. Druck und Archiv).</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29"/>
        <w:gridCol w:w="5596"/>
      </w:tblGrid>
      <w:tr>
        <w:trPr>
          <w:tblHeader w:val="true"/>
        </w:trPr>
        <w:tc>
          <w:tcPr>
            <w:tcW w:type="dxa" w:w="3929"/>
            <w:shd w:val="clear" w:color="auto" w:fill="FEEE19"/>
          </w:tcPr>
          <w:p>
            <w:pPr>
              <w:spacing w:after="0"/>
            </w:pPr>
            <w:r>
              <w:rPr>
                <w:b/>
                <w:sz w:val="17"/>
              </w:rPr>
              <w:t>Einstellung</w:t>
            </w:r>
          </w:p>
        </w:tc>
        <w:tc>
          <w:tcPr>
            <w:tcW w:type="dxa" w:w="5596"/>
            <w:shd w:val="clear" w:color="auto" w:fill="FEEE19"/>
          </w:tcPr>
          <w:p>
            <w:pPr>
              <w:spacing w:after="0"/>
            </w:pPr>
            <w:r>
              <w:rPr>
                <w:b/>
                <w:sz w:val="17"/>
              </w:rPr>
              <w:t>Wirkung</w:t>
            </w:r>
          </w:p>
        </w:tc>
      </w:tr>
      <w:tr>
        <w:tc>
          <w:tcPr>
            <w:tcW w:type="dxa" w:w="3929"/>
          </w:tcPr>
          <w:p>
            <w:pPr>
              <w:spacing w:after="0" w:line="252" w:lineRule="auto"/>
            </w:pPr>
            <w:r>
              <w:rPr>
                <w:rFonts w:ascii="Consolas" w:hAnsi="Consolas" w:cs="Consolas" w:eastAsia="Consolas"/>
                <w:sz w:val="15"/>
              </w:rPr>
              <w:t>Dateninhaltssprache</w:t>
            </w:r>
          </w:p>
        </w:tc>
        <w:tc>
          <w:tcPr>
            <w:tcW w:type="dxa" w:w="5596"/>
          </w:tcPr>
          <w:p>
            <w:pPr>
              <w:spacing w:after="0" w:line="252" w:lineRule="auto"/>
            </w:pPr>
            <w:r>
              <w:rPr>
                <w:sz w:val="17"/>
              </w:rPr>
              <w:t>Sprache der Daten, z. B. Artikelbezeichnungen</w:t>
            </w:r>
          </w:p>
        </w:tc>
      </w:tr>
      <w:tr>
        <w:tc>
          <w:tcPr>
            <w:tcW w:type="dxa" w:w="3929"/>
          </w:tcPr>
          <w:p>
            <w:pPr>
              <w:spacing w:after="0" w:line="252" w:lineRule="auto"/>
            </w:pPr>
            <w:r>
              <w:rPr>
                <w:rFonts w:ascii="Consolas" w:hAnsi="Consolas" w:cs="Consolas" w:eastAsia="Consolas"/>
                <w:sz w:val="15"/>
              </w:rPr>
              <w:t>Label-Sprache</w:t>
            </w:r>
          </w:p>
        </w:tc>
        <w:tc>
          <w:tcPr>
            <w:tcW w:type="dxa" w:w="5596"/>
          </w:tcPr>
          <w:p>
            <w:pPr>
              <w:spacing w:after="0" w:line="252" w:lineRule="auto"/>
            </w:pPr>
            <w:r>
              <w:rPr>
                <w:sz w:val="17"/>
              </w:rPr>
              <w:t>Sprache der festen Beschriftungen des Dokuments</w:t>
            </w:r>
          </w:p>
        </w:tc>
      </w:tr>
      <w:tr>
        <w:tc>
          <w:tcPr>
            <w:tcW w:type="dxa" w:w="3929"/>
          </w:tcPr>
          <w:p>
            <w:pPr>
              <w:spacing w:after="0" w:line="252" w:lineRule="auto"/>
            </w:pPr>
            <w:r>
              <w:rPr>
                <w:rFonts w:ascii="Consolas" w:hAnsi="Consolas" w:cs="Consolas" w:eastAsia="Consolas"/>
                <w:sz w:val="15"/>
              </w:rPr>
              <w:t>Dateninhaltssprache übersteuern</w:t>
            </w:r>
          </w:p>
        </w:tc>
        <w:tc>
          <w:tcPr>
            <w:tcW w:type="dxa" w:w="5596"/>
          </w:tcPr>
          <w:p>
            <w:pPr>
              <w:spacing w:after="0" w:line="252" w:lineRule="auto"/>
            </w:pPr>
            <w:r>
              <w:rPr>
                <w:sz w:val="17"/>
              </w:rPr>
              <w:t>Statt der Konfiguration gilt die Partnersprache</w:t>
            </w:r>
          </w:p>
        </w:tc>
      </w:tr>
      <w:tr>
        <w:tc>
          <w:tcPr>
            <w:tcW w:type="dxa" w:w="3929"/>
          </w:tcPr>
          <w:p>
            <w:pPr>
              <w:spacing w:after="0" w:line="252" w:lineRule="auto"/>
            </w:pPr>
            <w:r>
              <w:rPr>
                <w:rFonts w:ascii="Consolas" w:hAnsi="Consolas" w:cs="Consolas" w:eastAsia="Consolas"/>
                <w:sz w:val="15"/>
              </w:rPr>
              <w:t>Label-Sprache übersteuern</w:t>
            </w:r>
          </w:p>
        </w:tc>
        <w:tc>
          <w:tcPr>
            <w:tcW w:type="dxa" w:w="5596"/>
          </w:tcPr>
          <w:p>
            <w:pPr>
              <w:spacing w:after="0" w:line="252" w:lineRule="auto"/>
            </w:pPr>
            <w:r>
              <w:rPr>
                <w:sz w:val="17"/>
              </w:rPr>
              <w:t>Statt der Konfiguration gilt die Partnersprache</w:t>
            </w:r>
          </w:p>
        </w:tc>
      </w:tr>
    </w:tbl>
    <w:p>
      <w:pPr>
        <w:pStyle w:val="BeschriftungSSI"/>
      </w:pPr>
      <w:r>
        <w:t>Tab. 8: Spracheinstellungen in RM005</w:t>
      </w:r>
    </w:p>
    <w:p>
      <w:r>
        <w:t>Beispiel aus dem Handbuch: Eine Kommissionierliste zeigt die Daten in Englisch, die Beschriftungen für deutschsprachiges Personal in Deutsch.</w:t>
      </w:r>
    </w:p>
    <w:p>
      <w:pPr>
        <w:pStyle w:val="Quelle"/>
      </w:pPr>
      <w:r>
        <w:rPr>
          <w:b/>
        </w:rPr>
        <w:t xml:space="preserve">Quelle: </w:t>
      </w:r>
      <w:r>
        <w:rPr>
          <w:sz w:val="17"/>
        </w:rPr>
        <w:t>Administratorhandbuch 2.7, Kap. 3.7.2.3 (S. 145–147)</w:t>
      </w:r>
    </w:p>
    <w:p>
      <w:pPr>
        <w:pStyle w:val="Heading2"/>
      </w:pPr>
      <w:r>
        <w:t>4.4 E-Mail-Versand (RM030, RM040, RM008)</w:t>
      </w:r>
    </w:p>
    <w:p>
      <w:pPr>
        <w:pStyle w:val="ListBullet"/>
      </w:pPr>
      <w:r>
        <w:rPr>
          <w:b/>
        </w:rPr>
        <w:t>SMTP-Server (RM030):</w:t>
      </w:r>
      <w:r>
        <w:t xml:space="preserve"> In RM005 auf der Registerkarte </w:t>
      </w:r>
      <w:r>
        <w:rPr>
          <w:b/>
        </w:rPr>
        <w:t>Kanäle und Parameter</w:t>
      </w:r>
      <w:r>
        <w:t xml:space="preserve"> beim E-Mail-Kanal auf den Wert für den SMTP-Server doppelklicken, </w:t>
      </w:r>
      <w:r>
        <w:rPr>
          <w:b/>
        </w:rPr>
        <w:t>SMTP-Server pflegen</w:t>
      </w:r>
      <w:r>
        <w:t xml:space="preserve"> klicken, Server, ggf. abweichende Portnummer und ggf. Benutzername/Passwort pflegen.</w:t>
      </w:r>
    </w:p>
    <w:p>
      <w:pPr>
        <w:pStyle w:val="ListBullet"/>
      </w:pPr>
      <w:r>
        <w:rPr>
          <w:b/>
        </w:rPr>
        <w:t>E-Mail-Vorlage (RM040):</w:t>
      </w:r>
      <w:r>
        <w:t xml:space="preserve"> Über </w:t>
      </w:r>
      <w:r>
        <w:rPr>
          <w:b/>
        </w:rPr>
        <w:t>Datensatz bearbeiten</w:t>
      </w:r>
      <w:r>
        <w:t xml:space="preserve"> im Kanalparameter öffnen. Felder </w:t>
      </w:r>
      <w:r>
        <w:rPr>
          <w:rFonts w:ascii="Consolas" w:hAnsi="Consolas" w:cs="Consolas" w:eastAsia="Consolas"/>
          <w:sz w:val="18"/>
        </w:rPr>
        <w:t>Von</w:t>
      </w:r>
      <w:r>
        <w:t xml:space="preserve">, </w:t>
      </w:r>
      <w:r>
        <w:rPr>
          <w:rFonts w:ascii="Consolas" w:hAnsi="Consolas" w:cs="Consolas" w:eastAsia="Consolas"/>
          <w:sz w:val="18"/>
        </w:rPr>
        <w:t>Antworten an</w:t>
      </w:r>
      <w:r>
        <w:t xml:space="preserve">, </w:t>
      </w:r>
      <w:r>
        <w:rPr>
          <w:rFonts w:ascii="Consolas" w:hAnsi="Consolas" w:cs="Consolas" w:eastAsia="Consolas"/>
          <w:sz w:val="18"/>
        </w:rPr>
        <w:t>Sprache</w:t>
      </w:r>
      <w:r>
        <w:t xml:space="preserve">, Empfänger mit </w:t>
      </w:r>
      <w:r>
        <w:rPr>
          <w:rFonts w:ascii="Consolas" w:hAnsi="Consolas" w:cs="Consolas" w:eastAsia="Consolas"/>
          <w:sz w:val="18"/>
        </w:rPr>
        <w:t>E-Mail-Empfängertyp</w:t>
      </w:r>
      <w:r>
        <w:t xml:space="preserve"> AN/CC/BCC, </w:t>
      </w:r>
      <w:r>
        <w:rPr>
          <w:rFonts w:ascii="Consolas" w:hAnsi="Consolas" w:cs="Consolas" w:eastAsia="Consolas"/>
          <w:sz w:val="18"/>
        </w:rPr>
        <w:t>Betreff</w:t>
      </w:r>
      <w:r>
        <w:t xml:space="preserve">, </w:t>
      </w:r>
      <w:r>
        <w:rPr>
          <w:rFonts w:ascii="Consolas" w:hAnsi="Consolas" w:cs="Consolas" w:eastAsia="Consolas"/>
          <w:sz w:val="18"/>
        </w:rPr>
        <w:t>Meldung</w:t>
      </w:r>
      <w:r>
        <w:t>. Der Text wird als reiner Text versendet; HTML-Tags werden nicht interpretiert.</w:t>
      </w:r>
    </w:p>
    <w:p>
      <w:pPr>
        <w:pStyle w:val="ListBullet"/>
      </w:pPr>
      <w:r>
        <w:rPr>
          <w:b/>
        </w:rPr>
        <w:t>E-Mail-Adresse (RM008):</w:t>
      </w:r>
      <w:r>
        <w:t xml:space="preserve"> </w:t>
      </w:r>
      <w:r>
        <w:rPr>
          <w:rFonts w:ascii="Consolas" w:hAnsi="Consolas" w:cs="Consolas" w:eastAsia="Consolas"/>
          <w:sz w:val="18"/>
        </w:rPr>
        <w:t>E-Mail-Eintrag</w:t>
      </w:r>
      <w:r>
        <w:t xml:space="preserve">, </w:t>
      </w:r>
      <w:r>
        <w:rPr>
          <w:rFonts w:ascii="Consolas" w:hAnsi="Consolas" w:cs="Consolas" w:eastAsia="Consolas"/>
          <w:sz w:val="18"/>
        </w:rPr>
        <w:t>Email-Eintragsart</w:t>
      </w:r>
      <w:r>
        <w:t xml:space="preserve">, </w:t>
      </w:r>
      <w:r>
        <w:rPr>
          <w:rFonts w:ascii="Consolas" w:hAnsi="Consolas" w:cs="Consolas" w:eastAsia="Consolas"/>
          <w:sz w:val="18"/>
        </w:rPr>
        <w:t>Name</w:t>
      </w:r>
      <w:r>
        <w:t xml:space="preserve"> (erscheint als Absender/Empfänger) und </w:t>
      </w:r>
      <w:r>
        <w:rPr>
          <w:rFonts w:ascii="Consolas" w:hAnsi="Consolas" w:cs="Consolas" w:eastAsia="Consolas"/>
          <w:sz w:val="18"/>
        </w:rPr>
        <w:t>E-Mail</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32"/>
        <w:gridCol w:w="7592"/>
      </w:tblGrid>
      <w:tr>
        <w:trPr>
          <w:tblHeader w:val="true"/>
        </w:trPr>
        <w:tc>
          <w:tcPr>
            <w:tcW w:type="dxa" w:w="1932"/>
            <w:shd w:val="clear" w:color="auto" w:fill="FEEE19"/>
          </w:tcPr>
          <w:p>
            <w:pPr>
              <w:spacing w:after="0"/>
            </w:pPr>
            <w:r>
              <w:rPr>
                <w:b/>
                <w:sz w:val="17"/>
              </w:rPr>
              <w:t>Eintragsart</w:t>
            </w:r>
          </w:p>
        </w:tc>
        <w:tc>
          <w:tcPr>
            <w:tcW w:type="dxa" w:w="7592"/>
            <w:shd w:val="clear" w:color="auto" w:fill="FEEE19"/>
          </w:tcPr>
          <w:p>
            <w:pPr>
              <w:spacing w:after="0"/>
            </w:pPr>
            <w:r>
              <w:rPr>
                <w:b/>
                <w:sz w:val="17"/>
              </w:rPr>
              <w:t>Verwendete Adresse</w:t>
            </w:r>
          </w:p>
        </w:tc>
      </w:tr>
      <w:tr>
        <w:tc>
          <w:tcPr>
            <w:tcW w:type="dxa" w:w="1932"/>
          </w:tcPr>
          <w:p>
            <w:pPr>
              <w:spacing w:after="0" w:line="252" w:lineRule="auto"/>
            </w:pPr>
            <w:r>
              <w:rPr>
                <w:sz w:val="17"/>
              </w:rPr>
              <w:t>Adresse</w:t>
            </w:r>
          </w:p>
        </w:tc>
        <w:tc>
          <w:tcPr>
            <w:tcW w:type="dxa" w:w="7592"/>
          </w:tcPr>
          <w:p>
            <w:pPr>
              <w:spacing w:after="0" w:line="252" w:lineRule="auto"/>
            </w:pPr>
            <w:r>
              <w:rPr>
                <w:sz w:val="17"/>
              </w:rPr>
              <w:t xml:space="preserve">Immer die Adresse im Feld </w:t>
            </w:r>
            <w:r>
              <w:rPr>
                <w:rFonts w:ascii="Consolas" w:hAnsi="Consolas" w:cs="Consolas" w:eastAsia="Consolas"/>
                <w:sz w:val="15"/>
              </w:rPr>
              <w:t>E-Mail</w:t>
            </w:r>
            <w:r>
              <w:rPr>
                <w:sz w:val="17"/>
              </w:rPr>
              <w:t xml:space="preserve"> (statisch)</w:t>
            </w:r>
          </w:p>
        </w:tc>
      </w:tr>
      <w:tr>
        <w:tc>
          <w:tcPr>
            <w:tcW w:type="dxa" w:w="1932"/>
          </w:tcPr>
          <w:p>
            <w:pPr>
              <w:spacing w:after="0" w:line="252" w:lineRule="auto"/>
            </w:pPr>
            <w:r>
              <w:rPr>
                <w:sz w:val="17"/>
              </w:rPr>
              <w:t>Klient</w:t>
            </w:r>
          </w:p>
        </w:tc>
        <w:tc>
          <w:tcPr>
            <w:tcW w:type="dxa" w:w="7592"/>
          </w:tcPr>
          <w:p>
            <w:pPr>
              <w:spacing w:after="0" w:line="252" w:lineRule="auto"/>
            </w:pPr>
            <w:r>
              <w:rPr>
                <w:sz w:val="17"/>
              </w:rPr>
              <w:t xml:space="preserve">Adresse aus den Klientenstammdaten, sonst Feld </w:t>
            </w:r>
            <w:r>
              <w:rPr>
                <w:rFonts w:ascii="Consolas" w:hAnsi="Consolas" w:cs="Consolas" w:eastAsia="Consolas"/>
                <w:sz w:val="15"/>
              </w:rPr>
              <w:t>E-Mail</w:t>
            </w:r>
          </w:p>
        </w:tc>
      </w:tr>
      <w:tr>
        <w:tc>
          <w:tcPr>
            <w:tcW w:type="dxa" w:w="1932"/>
          </w:tcPr>
          <w:p>
            <w:pPr>
              <w:spacing w:after="0" w:line="252" w:lineRule="auto"/>
            </w:pPr>
            <w:r>
              <w:rPr>
                <w:sz w:val="17"/>
              </w:rPr>
              <w:t>Partner</w:t>
            </w:r>
          </w:p>
        </w:tc>
        <w:tc>
          <w:tcPr>
            <w:tcW w:type="dxa" w:w="7592"/>
          </w:tcPr>
          <w:p>
            <w:pPr>
              <w:spacing w:after="0" w:line="252" w:lineRule="auto"/>
            </w:pPr>
            <w:r>
              <w:rPr>
                <w:sz w:val="17"/>
              </w:rPr>
              <w:t xml:space="preserve">Adresse aus den Partnerstammdaten, sonst Feld </w:t>
            </w:r>
            <w:r>
              <w:rPr>
                <w:rFonts w:ascii="Consolas" w:hAnsi="Consolas" w:cs="Consolas" w:eastAsia="Consolas"/>
                <w:sz w:val="15"/>
              </w:rPr>
              <w:t>E-Mail</w:t>
            </w:r>
          </w:p>
        </w:tc>
      </w:tr>
      <w:tr>
        <w:tc>
          <w:tcPr>
            <w:tcW w:type="dxa" w:w="1932"/>
          </w:tcPr>
          <w:p>
            <w:pPr>
              <w:spacing w:after="0" w:line="252" w:lineRule="auto"/>
            </w:pPr>
            <w:r>
              <w:rPr>
                <w:sz w:val="17"/>
              </w:rPr>
              <w:t>Systembenutzer</w:t>
            </w:r>
          </w:p>
        </w:tc>
        <w:tc>
          <w:tcPr>
            <w:tcW w:type="dxa" w:w="7592"/>
          </w:tcPr>
          <w:p>
            <w:pPr>
              <w:spacing w:after="0" w:line="252" w:lineRule="auto"/>
            </w:pPr>
            <w:r>
              <w:rPr>
                <w:sz w:val="17"/>
              </w:rPr>
              <w:t xml:space="preserve">Adresse des anfordernden Benutzers, sonst Feld </w:t>
            </w:r>
            <w:r>
              <w:rPr>
                <w:rFonts w:ascii="Consolas" w:hAnsi="Consolas" w:cs="Consolas" w:eastAsia="Consolas"/>
                <w:sz w:val="15"/>
              </w:rPr>
              <w:t>E-Mail</w:t>
            </w:r>
          </w:p>
        </w:tc>
      </w:tr>
      <w:tr>
        <w:tc>
          <w:tcPr>
            <w:tcW w:type="dxa" w:w="1932"/>
          </w:tcPr>
          <w:p>
            <w:pPr>
              <w:spacing w:after="0" w:line="252" w:lineRule="auto"/>
            </w:pPr>
            <w:r>
              <w:rPr>
                <w:sz w:val="17"/>
              </w:rPr>
              <w:t>Lagerstandort</w:t>
            </w:r>
          </w:p>
        </w:tc>
        <w:tc>
          <w:tcPr>
            <w:tcW w:type="dxa" w:w="7592"/>
          </w:tcPr>
          <w:p>
            <w:pPr>
              <w:spacing w:after="0" w:line="252" w:lineRule="auto"/>
            </w:pPr>
            <w:r>
              <w:rPr>
                <w:sz w:val="17"/>
              </w:rPr>
              <w:t xml:space="preserve">Adresse des Lagerstandorts, sonst Feld </w:t>
            </w:r>
            <w:r>
              <w:rPr>
                <w:rFonts w:ascii="Consolas" w:hAnsi="Consolas" w:cs="Consolas" w:eastAsia="Consolas"/>
                <w:sz w:val="15"/>
              </w:rPr>
              <w:t>E-Mail</w:t>
            </w:r>
          </w:p>
        </w:tc>
      </w:tr>
    </w:tbl>
    <w:p>
      <w:pPr>
        <w:pStyle w:val="BeschriftungSSI"/>
      </w:pPr>
      <w:r>
        <w:t>Tab. 9: E-Mail-Eintragsarten in RM008</w:t>
      </w:r>
    </w:p>
    <w:p>
      <w:r>
        <w:t xml:space="preserve">Ist gar keine Adresse gepflegt, gibt WAMAS eine Systemmeldung aus. Die Informationen der E-Mail-Vorlage werden auch beim manuellen Erzeugen in </w:t>
      </w:r>
      <w:r>
        <w:rPr>
          <w:b/>
        </w:rPr>
        <w:t>RM100</w:t>
      </w:r>
      <w:r>
        <w:t xml:space="preserve"> berücksichtigt.</w:t>
      </w:r>
    </w:p>
    <w:p>
      <w:pPr>
        <w:pStyle w:val="Quelle"/>
      </w:pPr>
      <w:r>
        <w:rPr>
          <w:b/>
        </w:rPr>
        <w:t xml:space="preserve">Quelle: </w:t>
      </w:r>
      <w:r>
        <w:rPr>
          <w:sz w:val="17"/>
        </w:rPr>
        <w:t>Administratorhandbuch 2.7, Kap. 3.7.2.3.1–3.7.2.4 (S. 147–149)</w:t>
      </w:r>
    </w:p>
    <w:p>
      <w:pPr>
        <w:pStyle w:val="Heading1"/>
      </w:pPr>
      <w:r>
        <w:t>5 Zuordnung je Klient, Partner und Ort (RM010)</w:t>
      </w:r>
    </w:p>
    <w:p>
      <w:pPr>
        <w:pStyle w:val="Heading2"/>
      </w:pPr>
      <w:r>
        <w:t>5.1 Prinzip</w:t>
      </w:r>
    </w:p>
    <w:p>
      <w:r>
        <w:t xml:space="preserve">Über </w:t>
      </w:r>
      <w:r>
        <w:rPr>
          <w:b/>
        </w:rPr>
        <w:t>Dokumenttypkonfiguration-Zuordnungen</w:t>
      </w:r>
      <w:r>
        <w:t xml:space="preserve"> wird mit Filterkriterien festgelegt, welche Standard-Dokumenttypkonfiguration für einen bestimmten Lagerstandort, Klienten, Partner, eine Partnergruppe, ein Ladehilfsmittel oder eine Versandart verwendet wird. Wird im Prozess ein Dokument ausgelöst, prüft WAMAS, welche Zuordnung passt, und ruft das dort hinterlegte Layout ab. Typischer Anwendungsfall laut Handbuch: unterschiedliche Versandetiketten je Klient.</w:t>
      </w:r>
    </w:p>
    <w:p>
      <w:pPr>
        <w:pStyle w:val="Quelle"/>
      </w:pPr>
      <w:r>
        <w:rPr>
          <w:b/>
        </w:rPr>
        <w:t xml:space="preserve">Quelle: </w:t>
      </w:r>
      <w:r>
        <w:rPr>
          <w:sz w:val="17"/>
        </w:rPr>
        <w:t>Administratorhandbuch 2.7, Kap. 3.7.2.5 (S. 149–150)</w:t>
      </w:r>
    </w:p>
    <w:p>
      <w:pPr>
        <w:pStyle w:val="Heading2"/>
      </w:pPr>
      <w:r>
        <w:t>5.2 Zuordnung anlegen</w:t>
      </w:r>
    </w:p>
    <w:p>
      <w:pPr>
        <w:tabs>
          <w:tab w:pos="425" w:val="left"/>
        </w:tabs>
        <w:spacing w:after="60"/>
        <w:ind w:left="425" w:hanging="425"/>
      </w:pPr>
      <w:r>
        <w:rPr>
          <w:b/>
        </w:rPr>
        <w:t>1.</w:t>
        <w:tab/>
      </w:r>
      <w:r>
        <w:rPr>
          <w:b/>
        </w:rPr>
        <w:t>RM010 Dokumenttypkonfiguration-Zuordnung pflegen</w:t>
      </w:r>
      <w:r>
        <w:t xml:space="preserve"> öffnen.</w:t>
      </w:r>
    </w:p>
    <w:p>
      <w:pPr>
        <w:tabs>
          <w:tab w:pos="425" w:val="left"/>
        </w:tabs>
        <w:spacing w:after="60"/>
        <w:ind w:left="425" w:hanging="425"/>
      </w:pPr>
      <w:r>
        <w:rPr>
          <w:b/>
        </w:rPr>
        <w:t>2.</w:t>
        <w:tab/>
      </w:r>
      <w:r>
        <w:rPr>
          <w:b/>
        </w:rPr>
        <w:t>Datensatz anlegen</w:t>
      </w:r>
      <w:r>
        <w:t>.</w:t>
      </w:r>
    </w:p>
    <w:p>
      <w:pPr>
        <w:tabs>
          <w:tab w:pos="425" w:val="left"/>
        </w:tabs>
        <w:spacing w:after="60"/>
        <w:ind w:left="425" w:hanging="425"/>
      </w:pPr>
      <w:r>
        <w:rPr>
          <w:b/>
        </w:rPr>
        <w:t>3.</w:t>
        <w:tab/>
      </w:r>
      <w:r>
        <w:t xml:space="preserve">Im Feld </w:t>
      </w:r>
      <w:r>
        <w:rPr>
          <w:rFonts w:ascii="Consolas" w:hAnsi="Consolas" w:cs="Consolas" w:eastAsia="Consolas"/>
          <w:sz w:val="18"/>
        </w:rPr>
        <w:t>Dokumenttypkonfiguration</w:t>
      </w:r>
      <w:r>
        <w:t xml:space="preserve"> die Standard-Dokumenttypkonfiguration aus RM005 wählen.</w:t>
      </w:r>
    </w:p>
    <w:p>
      <w:pPr>
        <w:tabs>
          <w:tab w:pos="425" w:val="left"/>
        </w:tabs>
        <w:spacing w:after="60"/>
        <w:ind w:left="425" w:hanging="425"/>
      </w:pPr>
      <w:r>
        <w:rPr>
          <w:b/>
        </w:rPr>
        <w:t>4.</w:t>
        <w:tab/>
      </w:r>
      <w:r>
        <w:t>Optional Kriterien setzen (siehe Tabelle 10).</w:t>
      </w:r>
    </w:p>
    <w:p>
      <w:pPr>
        <w:tabs>
          <w:tab w:pos="425" w:val="left"/>
        </w:tabs>
        <w:spacing w:after="60"/>
        <w:ind w:left="425" w:hanging="425"/>
      </w:pPr>
      <w:r>
        <w:rPr>
          <w:b/>
        </w:rPr>
        <w:t>5.</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03"/>
        <w:gridCol w:w="7422"/>
      </w:tblGrid>
      <w:tr>
        <w:trPr>
          <w:tblHeader w:val="true"/>
        </w:trPr>
        <w:tc>
          <w:tcPr>
            <w:tcW w:type="dxa" w:w="2103"/>
            <w:shd w:val="clear" w:color="auto" w:fill="FEEE19"/>
          </w:tcPr>
          <w:p>
            <w:pPr>
              <w:spacing w:after="0"/>
            </w:pPr>
            <w:r>
              <w:rPr>
                <w:b/>
                <w:sz w:val="17"/>
              </w:rPr>
              <w:t>Kriterium</w:t>
            </w:r>
          </w:p>
        </w:tc>
        <w:tc>
          <w:tcPr>
            <w:tcW w:type="dxa" w:w="7422"/>
            <w:shd w:val="clear" w:color="auto" w:fill="FEEE19"/>
          </w:tcPr>
          <w:p>
            <w:pPr>
              <w:spacing w:after="0"/>
            </w:pPr>
            <w:r>
              <w:rPr>
                <w:b/>
                <w:sz w:val="17"/>
              </w:rPr>
              <w:t>Einschränkung laut Handbuch</w:t>
            </w:r>
          </w:p>
        </w:tc>
      </w:tr>
      <w:tr>
        <w:tc>
          <w:tcPr>
            <w:tcW w:type="dxa" w:w="2103"/>
          </w:tcPr>
          <w:p>
            <w:pPr>
              <w:spacing w:after="0" w:line="252" w:lineRule="auto"/>
            </w:pPr>
            <w:r>
              <w:rPr>
                <w:rFonts w:ascii="Consolas" w:hAnsi="Consolas" w:cs="Consolas" w:eastAsia="Consolas"/>
                <w:sz w:val="15"/>
              </w:rPr>
              <w:t>Klient</w:t>
            </w:r>
          </w:p>
        </w:tc>
        <w:tc>
          <w:tcPr>
            <w:tcW w:type="dxa" w:w="7422"/>
          </w:tcPr>
          <w:p>
            <w:pPr>
              <w:spacing w:after="0" w:line="252" w:lineRule="auto"/>
            </w:pPr>
            <w:r>
              <w:rPr>
                <w:sz w:val="17"/>
              </w:rPr>
              <w:t>–</w:t>
            </w:r>
          </w:p>
        </w:tc>
      </w:tr>
      <w:tr>
        <w:tc>
          <w:tcPr>
            <w:tcW w:type="dxa" w:w="2103"/>
          </w:tcPr>
          <w:p>
            <w:pPr>
              <w:spacing w:after="0" w:line="252" w:lineRule="auto"/>
            </w:pPr>
            <w:r>
              <w:rPr>
                <w:rFonts w:ascii="Consolas" w:hAnsi="Consolas" w:cs="Consolas" w:eastAsia="Consolas"/>
                <w:sz w:val="15"/>
              </w:rPr>
              <w:t>Lagerstandort</w:t>
            </w:r>
          </w:p>
        </w:tc>
        <w:tc>
          <w:tcPr>
            <w:tcW w:type="dxa" w:w="7422"/>
          </w:tcPr>
          <w:p>
            <w:pPr>
              <w:spacing w:after="0" w:line="252" w:lineRule="auto"/>
            </w:pPr>
            <w:r>
              <w:rPr>
                <w:sz w:val="17"/>
              </w:rPr>
              <w:t>–</w:t>
            </w:r>
          </w:p>
        </w:tc>
      </w:tr>
      <w:tr>
        <w:tc>
          <w:tcPr>
            <w:tcW w:type="dxa" w:w="2103"/>
          </w:tcPr>
          <w:p>
            <w:pPr>
              <w:spacing w:after="0" w:line="252" w:lineRule="auto"/>
            </w:pPr>
            <w:r>
              <w:rPr>
                <w:rFonts w:ascii="Consolas" w:hAnsi="Consolas" w:cs="Consolas" w:eastAsia="Consolas"/>
                <w:sz w:val="15"/>
              </w:rPr>
              <w:t>Partnergruppe</w:t>
            </w:r>
          </w:p>
        </w:tc>
        <w:tc>
          <w:tcPr>
            <w:tcW w:type="dxa" w:w="7422"/>
          </w:tcPr>
          <w:p>
            <w:pPr>
              <w:spacing w:after="0" w:line="252" w:lineRule="auto"/>
            </w:pPr>
            <w:r>
              <w:rPr>
                <w:sz w:val="17"/>
              </w:rPr>
              <w:t>–</w:t>
            </w:r>
          </w:p>
        </w:tc>
      </w:tr>
      <w:tr>
        <w:tc>
          <w:tcPr>
            <w:tcW w:type="dxa" w:w="2103"/>
          </w:tcPr>
          <w:p>
            <w:pPr>
              <w:spacing w:after="0" w:line="252" w:lineRule="auto"/>
            </w:pPr>
            <w:r>
              <w:rPr>
                <w:rFonts w:ascii="Consolas" w:hAnsi="Consolas" w:cs="Consolas" w:eastAsia="Consolas"/>
                <w:sz w:val="15"/>
              </w:rPr>
              <w:t>Partner</w:t>
            </w:r>
          </w:p>
        </w:tc>
        <w:tc>
          <w:tcPr>
            <w:tcW w:type="dxa" w:w="7422"/>
          </w:tcPr>
          <w:p>
            <w:pPr>
              <w:spacing w:after="0" w:line="252" w:lineRule="auto"/>
            </w:pPr>
            <w:r>
              <w:rPr>
                <w:sz w:val="17"/>
              </w:rPr>
              <w:t>Nur in Verbindung mit dem jeweiligen Klienten</w:t>
            </w:r>
          </w:p>
        </w:tc>
      </w:tr>
      <w:tr>
        <w:tc>
          <w:tcPr>
            <w:tcW w:type="dxa" w:w="2103"/>
          </w:tcPr>
          <w:p>
            <w:pPr>
              <w:spacing w:after="0" w:line="252" w:lineRule="auto"/>
            </w:pPr>
            <w:r>
              <w:rPr>
                <w:rFonts w:ascii="Consolas" w:hAnsi="Consolas" w:cs="Consolas" w:eastAsia="Consolas"/>
                <w:sz w:val="15"/>
              </w:rPr>
              <w:t>Ladehilfsmittel</w:t>
            </w:r>
          </w:p>
        </w:tc>
        <w:tc>
          <w:tcPr>
            <w:tcW w:type="dxa" w:w="7422"/>
          </w:tcPr>
          <w:p>
            <w:pPr>
              <w:spacing w:after="0" w:line="252" w:lineRule="auto"/>
            </w:pPr>
            <w:r>
              <w:rPr>
                <w:sz w:val="17"/>
              </w:rPr>
              <w:t>Nur für Versandetikett, LE-Etikett und Packliste</w:t>
            </w:r>
          </w:p>
        </w:tc>
      </w:tr>
      <w:tr>
        <w:tc>
          <w:tcPr>
            <w:tcW w:type="dxa" w:w="2103"/>
          </w:tcPr>
          <w:p>
            <w:pPr>
              <w:spacing w:after="0" w:line="252" w:lineRule="auto"/>
            </w:pPr>
            <w:r>
              <w:rPr>
                <w:rFonts w:ascii="Consolas" w:hAnsi="Consolas" w:cs="Consolas" w:eastAsia="Consolas"/>
                <w:sz w:val="15"/>
              </w:rPr>
              <w:t>Versandart</w:t>
            </w:r>
          </w:p>
        </w:tc>
        <w:tc>
          <w:tcPr>
            <w:tcW w:type="dxa" w:w="7422"/>
          </w:tcPr>
          <w:p>
            <w:pPr>
              <w:spacing w:after="0" w:line="252" w:lineRule="auto"/>
            </w:pPr>
            <w:r>
              <w:rPr>
                <w:sz w:val="17"/>
              </w:rPr>
              <w:t>Versandetikett, Packliste, Auslieferschein, Auslieferungsdifferenzliste, Kommissionierliste, Ladeliste – an anderer Stelle: „nur bei Versandetiketten“</w:t>
            </w:r>
          </w:p>
        </w:tc>
      </w:tr>
    </w:tbl>
    <w:p>
      <w:pPr>
        <w:pStyle w:val="BeschriftungSSI"/>
      </w:pPr>
      <w:r>
        <w:t>Tab. 10: Kriterien der Dokumenttypkonfiguration-Zuordnung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Data-Stage-Zuordnungen nicht ändern</w:t>
            </w:r>
          </w:p>
          <w:p>
            <w:pPr>
              <w:spacing w:after="40"/>
            </w:pPr>
            <w:r>
              <w:rPr>
                <w:sz w:val="19"/>
              </w:rPr>
              <w:t xml:space="preserve">Die mit dem Data Stage ausgelieferten Zuordnungen dienen als Ausweichlösung. Sie dürfen weder bearbeitet noch gelöscht werden. Für abweichende Parameter immer eine </w:t>
            </w:r>
            <w:r>
              <w:rPr>
                <w:b/>
                <w:sz w:val="19"/>
              </w:rPr>
              <w:t>neue</w:t>
            </w:r>
            <w:r>
              <w:rPr>
                <w:sz w:val="19"/>
              </w:rPr>
              <w:t xml:space="preserve"> Zuordnung anlegen.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Zuordnung auch ohne Kriterien nötig</w:t>
            </w:r>
          </w:p>
          <w:p>
            <w:pPr>
              <w:spacing w:after="40"/>
            </w:pPr>
            <w:r>
              <w:rPr>
                <w:sz w:val="19"/>
              </w:rPr>
              <w:t xml:space="preserve">Auch wenn keine Filterkriterien gebraucht werden, muss für eine Konfiguration eine Zuordnung existieren. Nur dann zeigt der Dialog </w:t>
            </w:r>
            <w:r>
              <w:rPr>
                <w:b/>
                <w:sz w:val="19"/>
              </w:rPr>
              <w:t>RM100 Dokument erzeugen</w:t>
            </w:r>
            <w:r>
              <w:rPr>
                <w:sz w:val="19"/>
              </w:rPr>
              <w:t xml:space="preserve"> die in RM005 festgelegten Einstellungen an.</w:t>
            </w:r>
          </w:p>
        </w:tc>
      </w:tr>
    </w:tbl>
    <w:p>
      <w:pPr>
        <w:spacing w:after="40"/>
      </w:pPr>
    </w:p>
    <w:p>
      <w:pPr>
        <w:pStyle w:val="Heading2"/>
      </w:pPr>
      <w:r>
        <w:t>5.3 Beispiel: Lieferschein je Klient und Partner</w:t>
      </w:r>
    </w:p>
    <w:p>
      <w:r>
        <w:t xml:space="preserve">Beispiel (konstruiert, bitte prüfen): Klient </w:t>
      </w:r>
      <w:r>
        <w:rPr>
          <w:rFonts w:ascii="Consolas" w:hAnsi="Consolas" w:cs="Consolas" w:eastAsia="Consolas"/>
          <w:sz w:val="18"/>
        </w:rPr>
        <w:t>KL1</w:t>
      </w:r>
      <w:r>
        <w:t xml:space="preserve"> soll für Partner </w:t>
      </w:r>
      <w:r>
        <w:rPr>
          <w:rFonts w:ascii="Consolas" w:hAnsi="Consolas" w:cs="Consolas" w:eastAsia="Consolas"/>
          <w:sz w:val="18"/>
        </w:rPr>
        <w:t>P100</w:t>
      </w:r>
      <w:r>
        <w:t xml:space="preserve"> einen eigenen Lieferschein mit Kundenlogo erhalten, alle anderen Partner von </w:t>
      </w:r>
      <w:r>
        <w:rPr>
          <w:rFonts w:ascii="Consolas" w:hAnsi="Consolas" w:cs="Consolas" w:eastAsia="Consolas"/>
          <w:sz w:val="18"/>
        </w:rPr>
        <w:t>KL1</w:t>
      </w:r>
      <w:r>
        <w:t xml:space="preserve"> den Standard.</w:t>
      </w:r>
    </w:p>
    <w:p>
      <w:pPr>
        <w:tabs>
          <w:tab w:pos="425" w:val="left"/>
        </w:tabs>
        <w:spacing w:after="60"/>
        <w:ind w:left="425" w:hanging="425"/>
      </w:pPr>
      <w:r>
        <w:rPr>
          <w:b/>
        </w:rPr>
        <w:t>1.</w:t>
        <w:tab/>
      </w:r>
      <w:r>
        <w:t xml:space="preserve">Layout </w:t>
      </w:r>
      <w:r>
        <w:rPr>
          <w:rFonts w:ascii="Consolas" w:hAnsi="Consolas" w:cs="Consolas" w:eastAsia="Consolas"/>
          <w:sz w:val="18"/>
        </w:rPr>
        <w:t>LS_KL1_P100</w:t>
      </w:r>
      <w:r>
        <w:t xml:space="preserve"> in RM003 importieren (Dokumenttyp Lieferschein, HTML).</w:t>
      </w:r>
    </w:p>
    <w:p>
      <w:pPr>
        <w:tabs>
          <w:tab w:pos="425" w:val="left"/>
        </w:tabs>
        <w:spacing w:after="60"/>
        <w:ind w:left="425" w:hanging="425"/>
      </w:pPr>
      <w:r>
        <w:rPr>
          <w:b/>
        </w:rPr>
        <w:t>2.</w:t>
        <w:tab/>
      </w:r>
      <w:r>
        <w:t xml:space="preserve">In RM005 eine Konfiguration </w:t>
      </w:r>
      <w:r>
        <w:rPr>
          <w:rFonts w:ascii="Consolas" w:hAnsi="Consolas" w:cs="Consolas" w:eastAsia="Consolas"/>
          <w:sz w:val="18"/>
        </w:rPr>
        <w:t>LIEFERSCHEIN_KL1_P100</w:t>
      </w:r>
      <w:r>
        <w:t xml:space="preserve"> mit diesem Layout, Druckkanal (1 Exemplar) und Archivkanal anlegen.</w:t>
      </w:r>
    </w:p>
    <w:p>
      <w:pPr>
        <w:tabs>
          <w:tab w:pos="425" w:val="left"/>
        </w:tabs>
        <w:spacing w:after="60"/>
        <w:ind w:left="425" w:hanging="425"/>
      </w:pPr>
      <w:r>
        <w:rPr>
          <w:b/>
        </w:rPr>
        <w:t>3.</w:t>
        <w:tab/>
      </w:r>
      <w:r>
        <w:t xml:space="preserve">In RM010 eine neue Zuordnung mit </w:t>
      </w:r>
      <w:r>
        <w:rPr>
          <w:rFonts w:ascii="Consolas" w:hAnsi="Consolas" w:cs="Consolas" w:eastAsia="Consolas"/>
          <w:sz w:val="18"/>
        </w:rPr>
        <w:t>Dokumenttypkonfiguration</w:t>
      </w:r>
      <w:r>
        <w:t xml:space="preserve"> = </w:t>
      </w:r>
      <w:r>
        <w:rPr>
          <w:rFonts w:ascii="Consolas" w:hAnsi="Consolas" w:cs="Consolas" w:eastAsia="Consolas"/>
          <w:sz w:val="18"/>
        </w:rPr>
        <w:t>LIEFERSCHEIN_KL1_P100</w:t>
      </w:r>
      <w:r>
        <w:t xml:space="preserve">, </w:t>
      </w:r>
      <w:r>
        <w:rPr>
          <w:rFonts w:ascii="Consolas" w:hAnsi="Consolas" w:cs="Consolas" w:eastAsia="Consolas"/>
          <w:sz w:val="18"/>
        </w:rPr>
        <w:t>Klient</w:t>
      </w:r>
      <w:r>
        <w:t xml:space="preserve"> = </w:t>
      </w:r>
      <w:r>
        <w:rPr>
          <w:rFonts w:ascii="Consolas" w:hAnsi="Consolas" w:cs="Consolas" w:eastAsia="Consolas"/>
          <w:sz w:val="18"/>
        </w:rPr>
        <w:t>KL1</w:t>
      </w:r>
      <w:r>
        <w:t xml:space="preserve">, </w:t>
      </w:r>
      <w:r>
        <w:rPr>
          <w:rFonts w:ascii="Consolas" w:hAnsi="Consolas" w:cs="Consolas" w:eastAsia="Consolas"/>
          <w:sz w:val="18"/>
        </w:rPr>
        <w:t>Partner</w:t>
      </w:r>
      <w:r>
        <w:t xml:space="preserve"> = </w:t>
      </w:r>
      <w:r>
        <w:rPr>
          <w:rFonts w:ascii="Consolas" w:hAnsi="Consolas" w:cs="Consolas" w:eastAsia="Consolas"/>
          <w:sz w:val="18"/>
        </w:rPr>
        <w:t>P100</w:t>
      </w:r>
      <w:r>
        <w:t xml:space="preserve"> anlegen.</w:t>
      </w:r>
    </w:p>
    <w:p>
      <w:pPr>
        <w:tabs>
          <w:tab w:pos="425" w:val="left"/>
        </w:tabs>
        <w:spacing w:after="60"/>
        <w:ind w:left="425" w:hanging="425"/>
      </w:pPr>
      <w:r>
        <w:rPr>
          <w:b/>
        </w:rPr>
        <w:t>4.</w:t>
        <w:tab/>
      </w:r>
      <w:r>
        <w:t>Die Standardzuordnung aus dem Data Stage unverändert lassen; sie greift für alle übrigen Fälle.</w:t>
      </w:r>
    </w:p>
    <w:p>
      <w:pPr>
        <w:tabs>
          <w:tab w:pos="425" w:val="left"/>
        </w:tabs>
        <w:spacing w:after="60"/>
        <w:ind w:left="425" w:hanging="425"/>
      </w:pPr>
      <w:r>
        <w:rPr>
          <w:b/>
        </w:rPr>
        <w:t>5.</w:t>
        <w:tab/>
      </w:r>
      <w:r>
        <w:t xml:space="preserve">Test: In </w:t>
      </w:r>
      <w:r>
        <w:rPr>
          <w:b/>
        </w:rPr>
        <w:t>LM071</w:t>
      </w:r>
      <w:r>
        <w:t xml:space="preserve"> einen Kommissionierbedarf von </w:t>
      </w:r>
      <w:r>
        <w:rPr>
          <w:rFonts w:ascii="Consolas" w:hAnsi="Consolas" w:cs="Consolas" w:eastAsia="Consolas"/>
          <w:sz w:val="18"/>
        </w:rPr>
        <w:t>KL1</w:t>
      </w:r>
      <w:r>
        <w:t>/</w:t>
      </w:r>
      <w:r>
        <w:rPr>
          <w:rFonts w:ascii="Consolas" w:hAnsi="Consolas" w:cs="Consolas" w:eastAsia="Consolas"/>
          <w:sz w:val="18"/>
        </w:rPr>
        <w:t>P100</w:t>
      </w:r>
      <w:r>
        <w:t xml:space="preserve"> wählen, </w:t>
      </w:r>
      <w:r>
        <w:rPr>
          <w:b/>
        </w:rPr>
        <w:t>Lieferschein drucken</w:t>
      </w:r>
      <w:r>
        <w:t xml:space="preserve"> und im Dialog </w:t>
      </w:r>
      <w:r>
        <w:rPr>
          <w:b/>
        </w:rPr>
        <w:t>RM001/RM100</w:t>
      </w:r>
      <w:r>
        <w:t xml:space="preserve"> prüfen, dass das neue Layout vorausgewählt ist.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Das Handbuch beschreibt nicht, nach welcher Rangfolge WAMAS mehrere passende Zuordnungen auswertet (z. B. Klient+Partner gegenüber nur Klient). Dass die spezifischere Zuordnung gewinnt, ist naheliegend, aber nicht dokumentiert.</w:t>
            </w:r>
          </w:p>
        </w:tc>
      </w:tr>
    </w:tbl>
    <w:p>
      <w:pPr>
        <w:spacing w:after="40"/>
      </w:pPr>
    </w:p>
    <w:p>
      <w:pPr>
        <w:pStyle w:val="Heading1"/>
      </w:pPr>
      <w:r>
        <w:t>6 Automatisches Drucken</w:t>
      </w:r>
    </w:p>
    <w:p>
      <w:pPr>
        <w:pStyle w:val="Heading2"/>
      </w:pPr>
      <w:r>
        <w:t>6.1 Übersicht der Auslöser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83"/>
        <w:gridCol w:w="4843"/>
        <w:gridCol w:w="2098"/>
      </w:tblGrid>
      <w:tr>
        <w:trPr>
          <w:tblHeader w:val="true"/>
        </w:trPr>
        <w:tc>
          <w:tcPr>
            <w:tcW w:type="dxa" w:w="2583"/>
            <w:shd w:val="clear" w:color="auto" w:fill="FEEE19"/>
          </w:tcPr>
          <w:p>
            <w:pPr>
              <w:spacing w:after="0"/>
            </w:pPr>
            <w:r>
              <w:rPr>
                <w:b/>
                <w:sz w:val="17"/>
              </w:rPr>
              <w:t>Dokument bzw. Etikett (Auslöser)</w:t>
            </w:r>
          </w:p>
        </w:tc>
        <w:tc>
          <w:tcPr>
            <w:tcW w:type="dxa" w:w="4843"/>
            <w:shd w:val="clear" w:color="auto" w:fill="FEEE19"/>
          </w:tcPr>
          <w:p>
            <w:pPr>
              <w:spacing w:after="0"/>
            </w:pPr>
            <w:r>
              <w:rPr>
                <w:b/>
                <w:sz w:val="17"/>
              </w:rPr>
              <w:t>Wo eingestellt (Dialog › Registerkarte › Feld)</w:t>
            </w:r>
          </w:p>
        </w:tc>
        <w:tc>
          <w:tcPr>
            <w:tcW w:type="dxa" w:w="2099"/>
            <w:shd w:val="clear" w:color="auto" w:fill="FEEE19"/>
          </w:tcPr>
          <w:p>
            <w:pPr>
              <w:spacing w:after="0"/>
            </w:pPr>
            <w:r>
              <w:rPr>
                <w:b/>
                <w:sz w:val="17"/>
              </w:rPr>
              <w:t>Zeitpunkt</w:t>
            </w:r>
          </w:p>
        </w:tc>
      </w:tr>
      <w:tr>
        <w:tc>
          <w:tcPr>
            <w:tcW w:type="dxa" w:w="2583"/>
          </w:tcPr>
          <w:p>
            <w:pPr>
              <w:spacing w:after="0" w:line="252" w:lineRule="auto"/>
            </w:pPr>
            <w:r>
              <w:rPr>
                <w:sz w:val="17"/>
              </w:rPr>
              <w:t>Kommissionierlieferschein</w:t>
            </w:r>
          </w:p>
        </w:tc>
        <w:tc>
          <w:tcPr>
            <w:tcW w:type="dxa" w:w="4843"/>
          </w:tcPr>
          <w:p>
            <w:pPr>
              <w:spacing w:after="0" w:line="252" w:lineRule="auto"/>
            </w:pPr>
            <w:r>
              <w:rPr>
                <w:sz w:val="17"/>
              </w:rPr>
              <w:t xml:space="preserve">MD017 › Kommissionierbedarfstyp › </w:t>
            </w:r>
            <w:r>
              <w:rPr>
                <w:b/>
                <w:sz w:val="17"/>
              </w:rPr>
              <w:t>Kommissionierlieferschein drucken</w:t>
            </w:r>
          </w:p>
        </w:tc>
        <w:tc>
          <w:tcPr>
            <w:tcW w:type="dxa" w:w="2099"/>
          </w:tcPr>
          <w:p>
            <w:pPr>
              <w:spacing w:after="0" w:line="252" w:lineRule="auto"/>
            </w:pPr>
            <w:r>
              <w:rPr>
                <w:sz w:val="17"/>
              </w:rPr>
              <w:t>Nach der Kommissionierung</w:t>
            </w:r>
          </w:p>
        </w:tc>
      </w:tr>
      <w:tr>
        <w:tc>
          <w:tcPr>
            <w:tcW w:type="dxa" w:w="2583"/>
          </w:tcPr>
          <w:p>
            <w:pPr>
              <w:spacing w:after="0" w:line="252" w:lineRule="auto"/>
            </w:pPr>
            <w:r>
              <w:rPr>
                <w:sz w:val="17"/>
              </w:rPr>
              <w:t>Kommissionieretikett</w:t>
            </w:r>
          </w:p>
        </w:tc>
        <w:tc>
          <w:tcPr>
            <w:tcW w:type="dxa" w:w="4843"/>
          </w:tcPr>
          <w:p>
            <w:pPr>
              <w:spacing w:after="0" w:line="252" w:lineRule="auto"/>
            </w:pPr>
            <w:r>
              <w:rPr>
                <w:sz w:val="17"/>
              </w:rPr>
              <w:t xml:space="preserve">MD017 › Kommissionierbedarfstyp › </w:t>
            </w:r>
            <w:r>
              <w:rPr>
                <w:b/>
                <w:sz w:val="17"/>
              </w:rPr>
              <w:t>Optionen für Drucken von Kommissionieretiketten</w:t>
            </w:r>
          </w:p>
        </w:tc>
        <w:tc>
          <w:tcPr>
            <w:tcW w:type="dxa" w:w="2099"/>
          </w:tcPr>
          <w:p>
            <w:pPr>
              <w:spacing w:after="0" w:line="252" w:lineRule="auto"/>
            </w:pPr>
            <w:r>
              <w:rPr>
                <w:sz w:val="17"/>
              </w:rPr>
              <w:t>Siehe Tabelle 12</w:t>
            </w:r>
          </w:p>
        </w:tc>
      </w:tr>
      <w:tr>
        <w:tc>
          <w:tcPr>
            <w:tcW w:type="dxa" w:w="2583"/>
          </w:tcPr>
          <w:p>
            <w:pPr>
              <w:spacing w:after="0" w:line="252" w:lineRule="auto"/>
            </w:pPr>
            <w:r>
              <w:rPr>
                <w:sz w:val="17"/>
              </w:rPr>
              <w:t>Packliste</w:t>
            </w:r>
          </w:p>
        </w:tc>
        <w:tc>
          <w:tcPr>
            <w:tcW w:type="dxa" w:w="4843"/>
          </w:tcPr>
          <w:p>
            <w:pPr>
              <w:spacing w:after="0" w:line="252" w:lineRule="auto"/>
            </w:pPr>
            <w:r>
              <w:rPr>
                <w:sz w:val="17"/>
              </w:rPr>
              <w:t xml:space="preserve">MD017 › Kommissionierbedarfstyp › </w:t>
            </w:r>
            <w:r>
              <w:rPr>
                <w:b/>
                <w:sz w:val="17"/>
              </w:rPr>
              <w:t>Packliste drucken</w:t>
            </w:r>
          </w:p>
        </w:tc>
        <w:tc>
          <w:tcPr>
            <w:tcW w:type="dxa" w:w="2099"/>
          </w:tcPr>
          <w:p>
            <w:pPr>
              <w:spacing w:after="0" w:line="252" w:lineRule="auto"/>
            </w:pPr>
            <w:r>
              <w:rPr>
                <w:sz w:val="17"/>
              </w:rPr>
              <w:t>Nach der Kommissionierung</w:t>
            </w:r>
          </w:p>
        </w:tc>
      </w:tr>
      <w:tr>
        <w:tc>
          <w:tcPr>
            <w:tcW w:type="dxa" w:w="2583"/>
          </w:tcPr>
          <w:p>
            <w:pPr>
              <w:spacing w:after="0" w:line="252" w:lineRule="auto"/>
            </w:pPr>
            <w:r>
              <w:rPr>
                <w:sz w:val="17"/>
              </w:rPr>
              <w:t>Einlagerungslieferschein</w:t>
            </w:r>
          </w:p>
        </w:tc>
        <w:tc>
          <w:tcPr>
            <w:tcW w:type="dxa" w:w="4843"/>
          </w:tcPr>
          <w:p>
            <w:pPr>
              <w:spacing w:after="0" w:line="252" w:lineRule="auto"/>
            </w:pPr>
            <w:r>
              <w:rPr>
                <w:sz w:val="17"/>
              </w:rPr>
              <w:t xml:space="preserve">MD017 › Einlagerbedarfstyp › </w:t>
            </w:r>
            <w:r>
              <w:rPr>
                <w:b/>
                <w:sz w:val="17"/>
              </w:rPr>
              <w:t>Einlagerungslieferschein drucken</w:t>
            </w:r>
          </w:p>
        </w:tc>
        <w:tc>
          <w:tcPr>
            <w:tcW w:type="dxa" w:w="2099"/>
          </w:tcPr>
          <w:p>
            <w:pPr>
              <w:spacing w:after="0" w:line="252" w:lineRule="auto"/>
            </w:pPr>
            <w:r>
              <w:rPr>
                <w:sz w:val="17"/>
              </w:rPr>
              <w:t>Nach der Einlagerung</w:t>
            </w:r>
          </w:p>
        </w:tc>
      </w:tr>
      <w:tr>
        <w:tc>
          <w:tcPr>
            <w:tcW w:type="dxa" w:w="2583"/>
          </w:tcPr>
          <w:p>
            <w:pPr>
              <w:spacing w:after="0" w:line="252" w:lineRule="auto"/>
            </w:pPr>
            <w:r>
              <w:rPr>
                <w:sz w:val="17"/>
              </w:rPr>
              <w:t>Artikelbezogenes Etikett</w:t>
            </w:r>
          </w:p>
        </w:tc>
        <w:tc>
          <w:tcPr>
            <w:tcW w:type="dxa" w:w="4843"/>
          </w:tcPr>
          <w:p>
            <w:pPr>
              <w:spacing w:after="0" w:line="252" w:lineRule="auto"/>
            </w:pPr>
            <w:r>
              <w:rPr>
                <w:sz w:val="17"/>
              </w:rPr>
              <w:t xml:space="preserve">MD002 › WLS Artikel › Warenausgang › </w:t>
            </w:r>
            <w:r>
              <w:rPr>
                <w:b/>
                <w:sz w:val="17"/>
              </w:rPr>
              <w:t>Etikett automatisch drucken</w:t>
            </w:r>
          </w:p>
        </w:tc>
        <w:tc>
          <w:tcPr>
            <w:tcW w:type="dxa" w:w="2099"/>
          </w:tcPr>
          <w:p>
            <w:pPr>
              <w:spacing w:after="0" w:line="252" w:lineRule="auto"/>
            </w:pPr>
            <w:r>
              <w:rPr>
                <w:sz w:val="17"/>
              </w:rPr>
              <w:t>Nach der Kommissionierung</w:t>
            </w:r>
          </w:p>
        </w:tc>
      </w:tr>
      <w:tr>
        <w:tc>
          <w:tcPr>
            <w:tcW w:type="dxa" w:w="2583"/>
          </w:tcPr>
          <w:p>
            <w:pPr>
              <w:spacing w:after="0" w:line="252" w:lineRule="auto"/>
            </w:pPr>
            <w:r>
              <w:rPr>
                <w:sz w:val="17"/>
              </w:rPr>
              <w:t>Seriennummer</w:t>
            </w:r>
          </w:p>
        </w:tc>
        <w:tc>
          <w:tcPr>
            <w:tcW w:type="dxa" w:w="4843"/>
          </w:tcPr>
          <w:p>
            <w:pPr>
              <w:spacing w:after="0" w:line="252" w:lineRule="auto"/>
            </w:pPr>
            <w:r>
              <w:rPr>
                <w:sz w:val="17"/>
              </w:rPr>
              <w:t xml:space="preserve">MD002 › WLS Artikel › Warenausgang › </w:t>
            </w:r>
            <w:r>
              <w:rPr>
                <w:b/>
                <w:sz w:val="17"/>
              </w:rPr>
              <w:t>Seriennummer drucken</w:t>
            </w:r>
          </w:p>
        </w:tc>
        <w:tc>
          <w:tcPr>
            <w:tcW w:type="dxa" w:w="2099"/>
          </w:tcPr>
          <w:p>
            <w:pPr>
              <w:spacing w:after="0" w:line="252" w:lineRule="auto"/>
            </w:pPr>
            <w:r>
              <w:rPr>
                <w:sz w:val="17"/>
              </w:rPr>
              <w:t>Tablaranforderung aktiv</w:t>
            </w:r>
          </w:p>
        </w:tc>
      </w:tr>
      <w:tr>
        <w:tc>
          <w:tcPr>
            <w:tcW w:type="dxa" w:w="2583"/>
          </w:tcPr>
          <w:p>
            <w:pPr>
              <w:spacing w:after="0" w:line="252" w:lineRule="auto"/>
            </w:pPr>
            <w:r>
              <w:rPr>
                <w:sz w:val="17"/>
              </w:rPr>
              <w:t>Externe LE-ID</w:t>
            </w:r>
          </w:p>
        </w:tc>
        <w:tc>
          <w:tcPr>
            <w:tcW w:type="dxa" w:w="4843"/>
          </w:tcPr>
          <w:p>
            <w:pPr>
              <w:spacing w:after="0" w:line="252" w:lineRule="auto"/>
            </w:pPr>
            <w:r>
              <w:rPr>
                <w:sz w:val="17"/>
              </w:rPr>
              <w:t xml:space="preserve">FW028 › </w:t>
            </w:r>
            <w:r>
              <w:rPr>
                <w:rFonts w:ascii="Consolas" w:hAnsi="Consolas" w:cs="Consolas" w:eastAsia="Consolas"/>
                <w:sz w:val="15"/>
              </w:rPr>
              <w:t>logimat.picking.externalluid.print</w:t>
            </w:r>
            <w:r>
              <w:rPr>
                <w:sz w:val="17"/>
              </w:rPr>
              <w:t xml:space="preserve"> = </w:t>
            </w:r>
            <w:r>
              <w:rPr>
                <w:rFonts w:ascii="Consolas" w:hAnsi="Consolas" w:cs="Consolas" w:eastAsia="Consolas"/>
                <w:sz w:val="15"/>
              </w:rPr>
              <w:t>AUTOMATIC</w:t>
            </w:r>
          </w:p>
        </w:tc>
        <w:tc>
          <w:tcPr>
            <w:tcW w:type="dxa" w:w="2099"/>
          </w:tcPr>
          <w:p>
            <w:pPr>
              <w:spacing w:after="0" w:line="252" w:lineRule="auto"/>
            </w:pPr>
            <w:r>
              <w:rPr>
                <w:sz w:val="17"/>
              </w:rPr>
              <w:t>Start der Kommissionierung</w:t>
            </w:r>
          </w:p>
        </w:tc>
      </w:tr>
    </w:tbl>
    <w:p>
      <w:pPr>
        <w:pStyle w:val="BeschriftungSSI"/>
      </w:pPr>
      <w:r>
        <w:t>Tab. 11: Automatische Druckauslöser</w:t>
      </w:r>
    </w:p>
    <w:p>
      <w:pPr>
        <w:pStyle w:val="Quelle"/>
      </w:pPr>
      <w:r>
        <w:rPr>
          <w:b/>
        </w:rPr>
        <w:t xml:space="preserve">Quelle: </w:t>
      </w:r>
      <w:r>
        <w:rPr>
          <w:sz w:val="17"/>
        </w:rPr>
        <w:t>Administratorhandbuch 2.7, Kap. 3.6.1.10 (S. 108–110), 3.6.1.11 (S. 110–113), 3.6.3.7 (S. 124–127), 3.11.2 (S. 173–191)</w:t>
      </w:r>
    </w:p>
    <w:p>
      <w:pPr>
        <w:pStyle w:val="Heading2"/>
      </w:pPr>
      <w:r>
        <w:t>6.2 Kommissionieretiketten im Detail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66"/>
        <w:gridCol w:w="5658"/>
      </w:tblGrid>
      <w:tr>
        <w:trPr>
          <w:tblHeader w:val="true"/>
        </w:trPr>
        <w:tc>
          <w:tcPr>
            <w:tcW w:type="dxa" w:w="3866"/>
            <w:shd w:val="clear" w:color="auto" w:fill="FEEE19"/>
          </w:tcPr>
          <w:p>
            <w:pPr>
              <w:spacing w:after="0"/>
            </w:pPr>
            <w:r>
              <w:rPr>
                <w:b/>
                <w:sz w:val="17"/>
              </w:rPr>
              <w:t>Option am Kommissionierbedarfstyp</w:t>
            </w:r>
          </w:p>
        </w:tc>
        <w:tc>
          <w:tcPr>
            <w:tcW w:type="dxa" w:w="5658"/>
            <w:shd w:val="clear" w:color="auto" w:fill="FEEE19"/>
          </w:tcPr>
          <w:p>
            <w:pPr>
              <w:spacing w:after="0"/>
            </w:pPr>
            <w:r>
              <w:rPr>
                <w:b/>
                <w:sz w:val="17"/>
              </w:rPr>
              <w:t>Verhalten</w:t>
            </w:r>
          </w:p>
        </w:tc>
      </w:tr>
      <w:tr>
        <w:tc>
          <w:tcPr>
            <w:tcW w:type="dxa" w:w="3866"/>
          </w:tcPr>
          <w:p>
            <w:pPr>
              <w:spacing w:after="0" w:line="252" w:lineRule="auto"/>
            </w:pPr>
            <w:r>
              <w:rPr>
                <w:sz w:val="17"/>
              </w:rPr>
              <w:t>Keine</w:t>
            </w:r>
          </w:p>
        </w:tc>
        <w:tc>
          <w:tcPr>
            <w:tcW w:type="dxa" w:w="5658"/>
          </w:tcPr>
          <w:p>
            <w:pPr>
              <w:spacing w:after="0" w:line="252" w:lineRule="auto"/>
            </w:pPr>
            <w:r>
              <w:rPr>
                <w:sz w:val="17"/>
              </w:rPr>
              <w:t>Es wird kein Kommissionieretikett gedruckt</w:t>
            </w:r>
          </w:p>
        </w:tc>
      </w:tr>
      <w:tr>
        <w:tc>
          <w:tcPr>
            <w:tcW w:type="dxa" w:w="3866"/>
          </w:tcPr>
          <w:p>
            <w:pPr>
              <w:spacing w:after="0" w:line="252" w:lineRule="auto"/>
            </w:pPr>
            <w:r>
              <w:rPr>
                <w:sz w:val="17"/>
              </w:rPr>
              <w:t>Nach Kommissionierung</w:t>
            </w:r>
          </w:p>
        </w:tc>
        <w:tc>
          <w:tcPr>
            <w:tcW w:type="dxa" w:w="5658"/>
          </w:tcPr>
          <w:p>
            <w:pPr>
              <w:spacing w:after="0" w:line="252" w:lineRule="auto"/>
            </w:pPr>
            <w:r>
              <w:rPr>
                <w:sz w:val="17"/>
              </w:rPr>
              <w:t>Druck nach Abschluss der Kommissionierung</w:t>
            </w:r>
          </w:p>
        </w:tc>
      </w:tr>
      <w:tr>
        <w:tc>
          <w:tcPr>
            <w:tcW w:type="dxa" w:w="3866"/>
          </w:tcPr>
          <w:p>
            <w:pPr>
              <w:spacing w:after="0" w:line="252" w:lineRule="auto"/>
            </w:pPr>
            <w:r>
              <w:rPr>
                <w:sz w:val="17"/>
              </w:rPr>
              <w:t>Vor Kommissionierung</w:t>
            </w:r>
          </w:p>
        </w:tc>
        <w:tc>
          <w:tcPr>
            <w:tcW w:type="dxa" w:w="5658"/>
          </w:tcPr>
          <w:p>
            <w:pPr>
              <w:spacing w:after="0" w:line="252" w:lineRule="auto"/>
            </w:pPr>
            <w:r>
              <w:rPr>
                <w:sz w:val="17"/>
              </w:rPr>
              <w:t>Druck, sobald die Kommissioniertätigkeit aktiv ist; kein Neudruck bei Mengenabweichung</w:t>
            </w:r>
          </w:p>
        </w:tc>
      </w:tr>
      <w:tr>
        <w:tc>
          <w:tcPr>
            <w:tcW w:type="dxa" w:w="3866"/>
          </w:tcPr>
          <w:p>
            <w:pPr>
              <w:spacing w:after="0" w:line="252" w:lineRule="auto"/>
            </w:pPr>
            <w:r>
              <w:rPr>
                <w:sz w:val="17"/>
              </w:rPr>
              <w:t>Vor Kommissionierung mit erneutem Drucken</w:t>
            </w:r>
          </w:p>
        </w:tc>
        <w:tc>
          <w:tcPr>
            <w:tcW w:type="dxa" w:w="5658"/>
          </w:tcPr>
          <w:p>
            <w:pPr>
              <w:spacing w:after="0" w:line="252" w:lineRule="auto"/>
            </w:pPr>
            <w:r>
              <w:rPr>
                <w:sz w:val="17"/>
              </w:rPr>
              <w:t>Wie oben, bei Mengenabweichung wird neu gedruckt</w:t>
            </w:r>
          </w:p>
        </w:tc>
      </w:tr>
    </w:tbl>
    <w:p>
      <w:pPr>
        <w:pStyle w:val="BeschriftungSSI"/>
      </w:pPr>
      <w:r>
        <w:t>Tab. 12: Optionen für Kommissionieretiketten am Bedarfstyp</w:t>
      </w:r>
    </w:p>
    <w:p>
      <w:r>
        <w:t>Am Artikel (</w:t>
      </w:r>
      <w:r>
        <w:rPr>
          <w:b/>
        </w:rPr>
        <w:t>WLS Artikel</w:t>
      </w:r>
      <w:r>
        <w:t xml:space="preserve">, Feld </w:t>
      </w:r>
      <w:r>
        <w:rPr>
          <w:b/>
        </w:rPr>
        <w:t>Drucken von Kommissionieretiketten</w:t>
      </w:r>
      <w:r>
        <w:t>) kann die Einstellung des Bedarfstyps übersteuert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81"/>
        <w:gridCol w:w="2034"/>
        <w:gridCol w:w="4809"/>
      </w:tblGrid>
      <w:tr>
        <w:trPr>
          <w:tblHeader w:val="true"/>
        </w:trPr>
        <w:tc>
          <w:tcPr>
            <w:tcW w:type="dxa" w:w="2682"/>
            <w:shd w:val="clear" w:color="auto" w:fill="FEEE19"/>
          </w:tcPr>
          <w:p>
            <w:pPr>
              <w:spacing w:after="0"/>
            </w:pPr>
            <w:r>
              <w:rPr>
                <w:b/>
                <w:sz w:val="17"/>
              </w:rPr>
              <w:t>Wert am Artikel (WLS Artikel)</w:t>
            </w:r>
          </w:p>
        </w:tc>
        <w:tc>
          <w:tcPr>
            <w:tcW w:type="dxa" w:w="2034"/>
            <w:shd w:val="clear" w:color="auto" w:fill="FEEE19"/>
          </w:tcPr>
          <w:p>
            <w:pPr>
              <w:spacing w:after="0"/>
            </w:pPr>
            <w:r>
              <w:rPr>
                <w:b/>
                <w:sz w:val="17"/>
              </w:rPr>
              <w:t>Wert printPickingLabel</w:t>
            </w:r>
          </w:p>
        </w:tc>
        <w:tc>
          <w:tcPr>
            <w:tcW w:type="dxa" w:w="4808"/>
            <w:shd w:val="clear" w:color="auto" w:fill="FEEE19"/>
          </w:tcPr>
          <w:p>
            <w:pPr>
              <w:spacing w:after="0"/>
            </w:pPr>
            <w:r>
              <w:rPr>
                <w:b/>
                <w:sz w:val="17"/>
              </w:rPr>
              <w:t>Wirkung</w:t>
            </w:r>
          </w:p>
        </w:tc>
      </w:tr>
      <w:tr>
        <w:tc>
          <w:tcPr>
            <w:tcW w:type="dxa" w:w="2682"/>
          </w:tcPr>
          <w:p>
            <w:pPr>
              <w:spacing w:after="0" w:line="252" w:lineRule="auto"/>
            </w:pPr>
            <w:r>
              <w:rPr>
                <w:sz w:val="17"/>
              </w:rPr>
              <w:t>Bedarfsbezogen</w:t>
            </w:r>
          </w:p>
        </w:tc>
        <w:tc>
          <w:tcPr>
            <w:tcW w:type="dxa" w:w="2034"/>
          </w:tcPr>
          <w:p>
            <w:pPr>
              <w:spacing w:after="0" w:line="252" w:lineRule="auto"/>
            </w:pPr>
            <w:r>
              <w:rPr>
                <w:rFonts w:ascii="Consolas" w:hAnsi="Consolas" w:cs="Consolas" w:eastAsia="Consolas"/>
                <w:sz w:val="15"/>
              </w:rPr>
              <w:t>UNDEFINED</w:t>
            </w:r>
          </w:p>
        </w:tc>
        <w:tc>
          <w:tcPr>
            <w:tcW w:type="dxa" w:w="4808"/>
          </w:tcPr>
          <w:p>
            <w:pPr>
              <w:spacing w:after="0" w:line="252" w:lineRule="auto"/>
            </w:pPr>
            <w:r>
              <w:rPr>
                <w:sz w:val="17"/>
              </w:rPr>
              <w:t>Es gelten die Druckeinstellungen des Bedarfstyps</w:t>
            </w:r>
          </w:p>
        </w:tc>
      </w:tr>
      <w:tr>
        <w:tc>
          <w:tcPr>
            <w:tcW w:type="dxa" w:w="2682"/>
          </w:tcPr>
          <w:p>
            <w:pPr>
              <w:spacing w:after="0" w:line="252" w:lineRule="auto"/>
            </w:pPr>
            <w:r>
              <w:rPr>
                <w:sz w:val="17"/>
              </w:rPr>
              <w:t>Immer</w:t>
            </w:r>
          </w:p>
        </w:tc>
        <w:tc>
          <w:tcPr>
            <w:tcW w:type="dxa" w:w="2034"/>
          </w:tcPr>
          <w:p>
            <w:pPr>
              <w:spacing w:after="0" w:line="252" w:lineRule="auto"/>
            </w:pPr>
            <w:r>
              <w:rPr>
                <w:rFonts w:ascii="Consolas" w:hAnsi="Consolas" w:cs="Consolas" w:eastAsia="Consolas"/>
                <w:sz w:val="15"/>
              </w:rPr>
              <w:t>YES</w:t>
            </w:r>
          </w:p>
        </w:tc>
        <w:tc>
          <w:tcPr>
            <w:tcW w:type="dxa" w:w="4808"/>
          </w:tcPr>
          <w:p>
            <w:pPr>
              <w:spacing w:after="0" w:line="252" w:lineRule="auto"/>
            </w:pPr>
            <w:r>
              <w:rPr>
                <w:sz w:val="17"/>
              </w:rPr>
              <w:t>Beim Kommissionieren wird immer ein Etikett gedruckt</w:t>
            </w:r>
          </w:p>
        </w:tc>
      </w:tr>
      <w:tr>
        <w:tc>
          <w:tcPr>
            <w:tcW w:type="dxa" w:w="2682"/>
          </w:tcPr>
          <w:p>
            <w:pPr>
              <w:spacing w:after="0" w:line="252" w:lineRule="auto"/>
            </w:pPr>
            <w:r>
              <w:rPr>
                <w:sz w:val="17"/>
              </w:rPr>
              <w:t>Nie</w:t>
            </w:r>
          </w:p>
        </w:tc>
        <w:tc>
          <w:tcPr>
            <w:tcW w:type="dxa" w:w="2034"/>
          </w:tcPr>
          <w:p>
            <w:pPr>
              <w:spacing w:after="0" w:line="252" w:lineRule="auto"/>
            </w:pPr>
            <w:r>
              <w:rPr>
                <w:rFonts w:ascii="Consolas" w:hAnsi="Consolas" w:cs="Consolas" w:eastAsia="Consolas"/>
                <w:sz w:val="15"/>
              </w:rPr>
              <w:t>NO</w:t>
            </w:r>
          </w:p>
        </w:tc>
        <w:tc>
          <w:tcPr>
            <w:tcW w:type="dxa" w:w="4808"/>
          </w:tcPr>
          <w:p>
            <w:pPr>
              <w:spacing w:after="0" w:line="252" w:lineRule="auto"/>
            </w:pPr>
            <w:r>
              <w:rPr>
                <w:sz w:val="17"/>
              </w:rPr>
              <w:t>Es wird kein Kommissionieretikett gedruckt</w:t>
            </w:r>
          </w:p>
        </w:tc>
      </w:tr>
    </w:tbl>
    <w:p>
      <w:pPr>
        <w:pStyle w:val="BeschriftungSSI"/>
      </w:pPr>
      <w:r>
        <w:t>Tab. 13: Artikeleinstellung Kommissionieretikett</w:t>
      </w:r>
    </w:p>
    <w:p>
      <w:pPr>
        <w:pStyle w:val="Quelle"/>
      </w:pPr>
      <w:r>
        <w:rPr>
          <w:b/>
        </w:rPr>
        <w:t xml:space="preserve">Quelle: </w:t>
      </w:r>
      <w:r>
        <w:rPr>
          <w:sz w:val="17"/>
        </w:rPr>
        <w:t xml:space="preserve">Administratorhandbuch 2.7, Kap. 3.6.1.10 und 3.6.3.7; Schnittstellenhandbuch WLS–ERP 2.7, Satzart </w:t>
      </w:r>
      <w:r>
        <w:rPr>
          <w:rFonts w:ascii="Consolas" w:hAnsi="Consolas" w:cs="Consolas" w:eastAsia="Consolas"/>
          <w:sz w:val="15"/>
        </w:rPr>
        <w:t>WLSITEM001</w:t>
      </w:r>
      <w:r>
        <w:rPr>
          <w:sz w:val="17"/>
        </w:rPr>
        <w:t xml:space="preserve">, Feld 92 </w:t>
      </w:r>
      <w:r>
        <w:rPr>
          <w:rFonts w:ascii="Consolas" w:hAnsi="Consolas" w:cs="Consolas" w:eastAsia="Consolas"/>
          <w:sz w:val="15"/>
        </w:rPr>
        <w:t>printPickingLabel</w:t>
      </w:r>
      <w:r>
        <w:rPr>
          <w:sz w:val="17"/>
        </w:rPr>
        <w:t xml:space="preserve"> (S. 63)</w:t>
      </w:r>
    </w:p>
    <w:p>
      <w:pPr>
        <w:pStyle w:val="Heading2"/>
      </w:pPr>
      <w:r>
        <w:t>6.3 Systemparameter mit Druckbezug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52"/>
        <w:gridCol w:w="5773"/>
      </w:tblGrid>
      <w:tr>
        <w:trPr>
          <w:tblHeader w:val="true"/>
        </w:trPr>
        <w:tc>
          <w:tcPr>
            <w:tcW w:type="dxa" w:w="3752"/>
            <w:shd w:val="clear" w:color="auto" w:fill="FEEE19"/>
          </w:tcPr>
          <w:p>
            <w:pPr>
              <w:spacing w:after="0"/>
            </w:pPr>
            <w:r>
              <w:rPr>
                <w:b/>
                <w:sz w:val="17"/>
              </w:rPr>
              <w:t>Parameter</w:t>
            </w:r>
          </w:p>
        </w:tc>
        <w:tc>
          <w:tcPr>
            <w:tcW w:type="dxa" w:w="5772"/>
            <w:shd w:val="clear" w:color="auto" w:fill="FEEE19"/>
          </w:tcPr>
          <w:p>
            <w:pPr>
              <w:spacing w:after="0"/>
            </w:pPr>
            <w:r>
              <w:rPr>
                <w:b/>
                <w:sz w:val="17"/>
              </w:rPr>
              <w:t>Wirkung</w:t>
            </w:r>
          </w:p>
        </w:tc>
      </w:tr>
      <w:tr>
        <w:tc>
          <w:tcPr>
            <w:tcW w:type="dxa" w:w="3752"/>
          </w:tcPr>
          <w:p>
            <w:pPr>
              <w:spacing w:after="0" w:line="252" w:lineRule="auto"/>
            </w:pPr>
            <w:r>
              <w:rPr>
                <w:rFonts w:ascii="Consolas" w:hAnsi="Consolas" w:cs="Consolas" w:eastAsia="Consolas"/>
                <w:sz w:val="15"/>
              </w:rPr>
              <w:t>logimat.picking.externalluid.print</w:t>
            </w:r>
          </w:p>
        </w:tc>
        <w:tc>
          <w:tcPr>
            <w:tcW w:type="dxa" w:w="5772"/>
          </w:tcPr>
          <w:p>
            <w:pPr>
              <w:spacing w:after="0" w:line="252" w:lineRule="auto"/>
            </w:pPr>
            <w:r>
              <w:rPr>
                <w:rFonts w:ascii="Consolas" w:hAnsi="Consolas" w:cs="Consolas" w:eastAsia="Consolas"/>
                <w:sz w:val="15"/>
              </w:rPr>
              <w:t>AUTOMATIC</w:t>
            </w:r>
            <w:r>
              <w:rPr>
                <w:sz w:val="17"/>
              </w:rPr>
              <w:t xml:space="preserve">: externe LE-ID wird beim Start der Kommissionierung für eine externe LE automatisch gedruckt. </w:t>
            </w:r>
            <w:r>
              <w:rPr>
                <w:rFonts w:ascii="Consolas" w:hAnsi="Consolas" w:cs="Consolas" w:eastAsia="Consolas"/>
                <w:sz w:val="15"/>
              </w:rPr>
              <w:t>MANUAL</w:t>
            </w:r>
            <w:r>
              <w:rPr>
                <w:sz w:val="17"/>
              </w:rPr>
              <w:t xml:space="preserve">: Nachdruck über </w:t>
            </w:r>
            <w:r>
              <w:rPr>
                <w:b/>
                <w:sz w:val="17"/>
              </w:rPr>
              <w:t>LM045 Externe Ladeeinheiten</w:t>
            </w:r>
          </w:p>
        </w:tc>
      </w:tr>
      <w:tr>
        <w:tc>
          <w:tcPr>
            <w:tcW w:type="dxa" w:w="3752"/>
          </w:tcPr>
          <w:p>
            <w:pPr>
              <w:spacing w:after="0" w:line="252" w:lineRule="auto"/>
            </w:pPr>
            <w:r>
              <w:rPr>
                <w:rFonts w:ascii="Consolas" w:hAnsi="Consolas" w:cs="Consolas" w:eastAsia="Consolas"/>
                <w:sz w:val="15"/>
              </w:rPr>
              <w:t>logimat.picking.externalluid.generate</w:t>
            </w:r>
          </w:p>
        </w:tc>
        <w:tc>
          <w:tcPr>
            <w:tcW w:type="dxa" w:w="5772"/>
          </w:tcPr>
          <w:p>
            <w:pPr>
              <w:spacing w:after="0" w:line="252" w:lineRule="auto"/>
            </w:pPr>
            <w:r>
              <w:rPr>
                <w:rFonts w:ascii="Consolas" w:hAnsi="Consolas" w:cs="Consolas" w:eastAsia="Consolas"/>
                <w:sz w:val="15"/>
              </w:rPr>
              <w:t>true</w:t>
            </w:r>
            <w:r>
              <w:rPr>
                <w:sz w:val="17"/>
              </w:rPr>
              <w:t xml:space="preserve">: WAMAS erzeugt immer eine neue LE-ID. </w:t>
            </w:r>
            <w:r>
              <w:rPr>
                <w:rFonts w:ascii="Consolas" w:hAnsi="Consolas" w:cs="Consolas" w:eastAsia="Consolas"/>
                <w:sz w:val="15"/>
              </w:rPr>
              <w:t>false</w:t>
            </w:r>
            <w:r>
              <w:rPr>
                <w:sz w:val="17"/>
              </w:rPr>
              <w:t>: eine extern angelegte LE-ID (z. B. Palette) wird wiederverwendet</w:t>
            </w:r>
          </w:p>
        </w:tc>
      </w:tr>
      <w:tr>
        <w:tc>
          <w:tcPr>
            <w:tcW w:type="dxa" w:w="3752"/>
          </w:tcPr>
          <w:p>
            <w:pPr>
              <w:spacing w:after="0" w:line="252" w:lineRule="auto"/>
            </w:pPr>
            <w:r>
              <w:rPr>
                <w:rFonts w:ascii="Consolas" w:hAnsi="Consolas" w:cs="Consolas" w:eastAsia="Consolas"/>
                <w:sz w:val="15"/>
              </w:rPr>
              <w:t>logimat.picking.anyluid.print</w:t>
            </w:r>
          </w:p>
        </w:tc>
        <w:tc>
          <w:tcPr>
            <w:tcW w:type="dxa" w:w="5772"/>
          </w:tcPr>
          <w:p>
            <w:pPr>
              <w:spacing w:after="0" w:line="252" w:lineRule="auto"/>
            </w:pPr>
            <w:r>
              <w:rPr>
                <w:sz w:val="17"/>
              </w:rPr>
              <w:t>Erlaubt das Drucken beliebiger LE-Etiketten, auch temporärer und solcher mit kundenspezifischen Nummernkreisen</w:t>
            </w:r>
          </w:p>
        </w:tc>
      </w:tr>
      <w:tr>
        <w:tc>
          <w:tcPr>
            <w:tcW w:type="dxa" w:w="3752"/>
          </w:tcPr>
          <w:p>
            <w:pPr>
              <w:spacing w:after="0" w:line="252" w:lineRule="auto"/>
            </w:pPr>
            <w:r>
              <w:rPr>
                <w:rFonts w:ascii="Consolas" w:hAnsi="Consolas" w:cs="Consolas" w:eastAsia="Consolas"/>
                <w:sz w:val="15"/>
              </w:rPr>
              <w:t>logimat.picking.printingDeliveryNote</w:t>
            </w:r>
          </w:p>
        </w:tc>
        <w:tc>
          <w:tcPr>
            <w:tcW w:type="dxa" w:w="5772"/>
          </w:tcPr>
          <w:p>
            <w:pPr>
              <w:spacing w:after="0" w:line="252" w:lineRule="auto"/>
            </w:pPr>
            <w:r>
              <w:rPr>
                <w:sz w:val="17"/>
              </w:rPr>
              <w:t xml:space="preserve">Nur im Installationshandbuch: Druckmodus für Kommissionierlieferscheine (Abschluss des Bedarfs oder manuell), Standard </w:t>
            </w:r>
            <w:r>
              <w:rPr>
                <w:rFonts w:ascii="Consolas" w:hAnsi="Consolas" w:cs="Consolas" w:eastAsia="Consolas"/>
                <w:sz w:val="15"/>
              </w:rPr>
              <w:t>FINALIZED</w:t>
            </w:r>
          </w:p>
        </w:tc>
      </w:tr>
    </w:tbl>
    <w:p>
      <w:pPr>
        <w:pStyle w:val="BeschriftungSSI"/>
      </w:pPr>
      <w:r>
        <w:t>Tab. 14: Druckrelevante globale Parameter (Dialog FW028)</w:t>
      </w:r>
    </w:p>
    <w:p>
      <w:pPr>
        <w:pStyle w:val="Quelle"/>
      </w:pPr>
      <w:r>
        <w:rPr>
          <w:b/>
        </w:rPr>
        <w:t xml:space="preserve">Quelle: </w:t>
      </w:r>
      <w:r>
        <w:rPr>
          <w:sz w:val="17"/>
        </w:rPr>
        <w:t>Administratorhandbuch 2.7, Kap. 3.11.2 (S. 173–191); Installationshandbuch 2.7 V1.1, Kap. 6.7 „Global parameters“ (S. 132–142)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rFonts w:ascii="Consolas" w:hAnsi="Consolas" w:cs="Consolas" w:eastAsia="Consolas"/>
                <w:sz w:val="17"/>
              </w:rPr>
              <w:t>logimat.picking.printingDeliveryNote</w:t>
            </w:r>
            <w:r>
              <w:rPr>
                <w:sz w:val="19"/>
              </w:rPr>
              <w:t xml:space="preserve"> steht nur im Installationshandbuch 2.7, nicht in der Parameterliste des Administratorhandbuchs 2.7 oder 2.8. Weitere Werte außer </w:t>
            </w:r>
            <w:r>
              <w:rPr>
                <w:rFonts w:ascii="Consolas" w:hAnsi="Consolas" w:cs="Consolas" w:eastAsia="Consolas"/>
                <w:sz w:val="17"/>
              </w:rPr>
              <w:t>FINALIZED</w:t>
            </w:r>
            <w:r>
              <w:rPr>
                <w:sz w:val="19"/>
              </w:rPr>
              <w:t xml:space="preserve"> und das Zusammenspiel mit der Checkbox </w:t>
            </w:r>
            <w:r>
              <w:rPr>
                <w:b/>
                <w:sz w:val="19"/>
              </w:rPr>
              <w:t>Kommissionierlieferschein drucken</w:t>
            </w:r>
            <w:r>
              <w:rPr>
                <w:sz w:val="19"/>
              </w:rPr>
              <w:t xml:space="preserve"> am Bedarfstyp sind nicht dokumentiert.</w:t>
            </w:r>
          </w:p>
        </w:tc>
      </w:tr>
    </w:tbl>
    <w:p>
      <w:pPr>
        <w:spacing w:after="40"/>
      </w:pPr>
    </w:p>
    <w:p>
      <w:pPr>
        <w:pStyle w:val="Heading2"/>
      </w:pPr>
      <w:r>
        <w:t>6.4 Weitere dokumentrelevante Stammdaten</w:t>
      </w:r>
    </w:p>
    <w:p>
      <w:pPr>
        <w:pStyle w:val="ListBullet"/>
      </w:pPr>
      <w:r>
        <w:rPr>
          <w:b/>
        </w:rPr>
        <w:t>Partner-Zeitzone:</w:t>
      </w:r>
      <w:r>
        <w:t xml:space="preserve"> Laut Administratorhandbuch wird die Zeitzone des Partners auf Ladeliste, Auslieferungsdifferenzliste, Auslieferschein, Versandetikett und Kommissionierstornoliste angedruckt.</w:t>
      </w:r>
    </w:p>
    <w:p>
      <w:pPr>
        <w:pStyle w:val="ListBullet"/>
      </w:pPr>
      <w:r>
        <w:rPr>
          <w:b/>
        </w:rPr>
        <w:t>Partnersprache:</w:t>
      </w:r>
      <w:r>
        <w:t xml:space="preserve"> Wird verwendet, wenn in RM005 </w:t>
      </w:r>
      <w:r>
        <w:rPr>
          <w:rFonts w:ascii="Consolas" w:hAnsi="Consolas" w:cs="Consolas" w:eastAsia="Consolas"/>
          <w:sz w:val="18"/>
        </w:rPr>
        <w:t>Dateninhaltssprache übersteuern</w:t>
      </w:r>
      <w:r>
        <w:t xml:space="preserve"> bzw. </w:t>
      </w:r>
      <w:r>
        <w:rPr>
          <w:rFonts w:ascii="Consolas" w:hAnsi="Consolas" w:cs="Consolas" w:eastAsia="Consolas"/>
          <w:sz w:val="18"/>
        </w:rPr>
        <w:t>Label-Sprache übersteuern</w:t>
      </w:r>
      <w:r>
        <w:t xml:space="preserve"> gesetzt ist.</w:t>
      </w:r>
    </w:p>
    <w:p>
      <w:pPr>
        <w:pStyle w:val="ListBullet"/>
      </w:pPr>
      <w:r>
        <w:rPr>
          <w:b/>
        </w:rPr>
        <w:t>E-Mail-Adressen</w:t>
      </w:r>
      <w:r>
        <w:t xml:space="preserve"> von Klient, Partner, Benutzer und Lagerstandort werden von dynamischen E-Mail-Einträgen (RM008) verwendet.</w:t>
      </w:r>
    </w:p>
    <w:p>
      <w:pPr>
        <w:pStyle w:val="Quelle"/>
      </w:pPr>
      <w:r>
        <w:rPr>
          <w:b/>
        </w:rPr>
        <w:t xml:space="preserve">Quelle: </w:t>
      </w:r>
      <w:r>
        <w:rPr>
          <w:sz w:val="17"/>
        </w:rPr>
        <w:t>Administratorhandbuch 2.7, Kap. 3.6.2 (S. 114–116) und 3.7.2.3–3.7.2.4</w:t>
      </w:r>
    </w:p>
    <w:p>
      <w:pPr>
        <w:pStyle w:val="Heading1"/>
      </w:pPr>
      <w:r>
        <w:t>7 Manuelles Drucken</w:t>
      </w:r>
    </w:p>
    <w:p>
      <w:pPr>
        <w:pStyle w:val="Heading2"/>
      </w:pPr>
      <w:r>
        <w:t>7.1 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05"/>
        <w:gridCol w:w="3760"/>
        <w:gridCol w:w="3760"/>
      </w:tblGrid>
      <w:tr>
        <w:trPr>
          <w:tblHeader w:val="true"/>
        </w:trPr>
        <w:tc>
          <w:tcPr>
            <w:tcW w:type="dxa" w:w="2005"/>
            <w:shd w:val="clear" w:color="auto" w:fill="FEEE19"/>
          </w:tcPr>
          <w:p>
            <w:pPr>
              <w:spacing w:after="0"/>
            </w:pPr>
            <w:r>
              <w:rPr>
                <w:b/>
                <w:sz w:val="17"/>
              </w:rPr>
              <w:t>Dokument</w:t>
            </w:r>
          </w:p>
        </w:tc>
        <w:tc>
          <w:tcPr>
            <w:tcW w:type="dxa" w:w="3760"/>
            <w:shd w:val="clear" w:color="auto" w:fill="FEEE19"/>
          </w:tcPr>
          <w:p>
            <w:pPr>
              <w:spacing w:after="0"/>
            </w:pPr>
            <w:r>
              <w:rPr>
                <w:b/>
                <w:sz w:val="17"/>
              </w:rPr>
              <w:t>Desktop</w:t>
            </w:r>
          </w:p>
        </w:tc>
        <w:tc>
          <w:tcPr>
            <w:tcW w:type="dxa" w:w="3760"/>
            <w:shd w:val="clear" w:color="auto" w:fill="FEEE19"/>
          </w:tcPr>
          <w:p>
            <w:pPr>
              <w:spacing w:after="0"/>
            </w:pPr>
            <w:r>
              <w:rPr>
                <w:b/>
                <w:sz w:val="17"/>
              </w:rPr>
              <w:t>Touch-Client</w:t>
            </w:r>
          </w:p>
        </w:tc>
      </w:tr>
      <w:tr>
        <w:tc>
          <w:tcPr>
            <w:tcW w:type="dxa" w:w="2005"/>
          </w:tcPr>
          <w:p>
            <w:pPr>
              <w:spacing w:after="0" w:line="252" w:lineRule="auto"/>
            </w:pPr>
            <w:r>
              <w:rPr>
                <w:sz w:val="17"/>
              </w:rPr>
              <w:t>Artikeletikett</w:t>
            </w:r>
          </w:p>
        </w:tc>
        <w:tc>
          <w:tcPr>
            <w:tcW w:type="dxa" w:w="3760"/>
          </w:tcPr>
          <w:p>
            <w:pPr>
              <w:spacing w:after="0" w:line="252" w:lineRule="auto"/>
            </w:pPr>
            <w:r>
              <w:rPr>
                <w:b/>
                <w:sz w:val="17"/>
              </w:rPr>
              <w:t>MD001</w:t>
            </w:r>
            <w:r>
              <w:rPr>
                <w:sz w:val="17"/>
              </w:rPr>
              <w:t xml:space="preserve"> → Kontextmenü </w:t>
            </w:r>
            <w:r>
              <w:rPr>
                <w:b/>
                <w:sz w:val="17"/>
              </w:rPr>
              <w:t>Artikeletikett drucken</w:t>
            </w:r>
            <w:r>
              <w:rPr>
                <w:sz w:val="17"/>
              </w:rPr>
              <w:t xml:space="preserve"> → </w:t>
            </w:r>
            <w:r>
              <w:rPr>
                <w:b/>
                <w:sz w:val="17"/>
              </w:rPr>
              <w:t>MD052</w:t>
            </w:r>
            <w:r>
              <w:rPr>
                <w:sz w:val="17"/>
              </w:rPr>
              <w:t xml:space="preserve"> → </w:t>
            </w:r>
            <w:r>
              <w:rPr>
                <w:b/>
                <w:sz w:val="17"/>
              </w:rPr>
              <w:t>RM001</w:t>
            </w:r>
          </w:p>
        </w:tc>
        <w:tc>
          <w:tcPr>
            <w:tcW w:type="dxa" w:w="3760"/>
          </w:tcPr>
          <w:p>
            <w:pPr>
              <w:spacing w:after="0" w:line="252" w:lineRule="auto"/>
            </w:pPr>
            <w:r>
              <w:rPr>
                <w:b/>
                <w:sz w:val="17"/>
              </w:rPr>
              <w:t>LM007</w:t>
            </w:r>
            <w:r>
              <w:rPr>
                <w:sz w:val="17"/>
              </w:rPr>
              <w:t xml:space="preserve"> → Icon </w:t>
            </w:r>
            <w:r>
              <w:rPr>
                <w:b/>
                <w:sz w:val="17"/>
              </w:rPr>
              <w:t>Artikeletikett drucken</w:t>
            </w:r>
            <w:r>
              <w:rPr>
                <w:sz w:val="17"/>
              </w:rPr>
              <w:t xml:space="preserve"> (bei mehreren: </w:t>
            </w:r>
            <w:r>
              <w:rPr>
                <w:b/>
                <w:sz w:val="17"/>
              </w:rPr>
              <w:t>LM101</w:t>
            </w:r>
            <w:r>
              <w:rPr>
                <w:sz w:val="17"/>
              </w:rPr>
              <w:t>)</w:t>
            </w:r>
          </w:p>
        </w:tc>
      </w:tr>
      <w:tr>
        <w:tc>
          <w:tcPr>
            <w:tcW w:type="dxa" w:w="2005"/>
          </w:tcPr>
          <w:p>
            <w:pPr>
              <w:spacing w:after="0" w:line="252" w:lineRule="auto"/>
            </w:pPr>
            <w:r>
              <w:rPr>
                <w:sz w:val="17"/>
              </w:rPr>
              <w:t>LE-Etikett</w:t>
            </w:r>
          </w:p>
        </w:tc>
        <w:tc>
          <w:tcPr>
            <w:tcW w:type="dxa" w:w="3760"/>
          </w:tcPr>
          <w:p>
            <w:pPr>
              <w:spacing w:after="0" w:line="252" w:lineRule="auto"/>
            </w:pPr>
            <w:r>
              <w:rPr>
                <w:b/>
                <w:sz w:val="17"/>
              </w:rPr>
              <w:t>SM023</w:t>
            </w:r>
            <w:r>
              <w:rPr>
                <w:sz w:val="17"/>
              </w:rPr>
              <w:t xml:space="preserve"> → Kontextmenü </w:t>
            </w:r>
            <w:r>
              <w:rPr>
                <w:b/>
                <w:sz w:val="17"/>
              </w:rPr>
              <w:t>Etikett drucken</w:t>
            </w:r>
            <w:r>
              <w:rPr>
                <w:sz w:val="17"/>
              </w:rPr>
              <w:t xml:space="preserve"> → </w:t>
            </w:r>
            <w:r>
              <w:rPr>
                <w:b/>
                <w:sz w:val="17"/>
              </w:rPr>
              <w:t>RM001</w:t>
            </w:r>
          </w:p>
        </w:tc>
        <w:tc>
          <w:tcPr>
            <w:tcW w:type="dxa" w:w="3760"/>
          </w:tcPr>
          <w:p>
            <w:pPr>
              <w:spacing w:after="0" w:line="252" w:lineRule="auto"/>
            </w:pPr>
            <w:r>
              <w:rPr>
                <w:sz w:val="17"/>
              </w:rPr>
              <w:t>–</w:t>
            </w:r>
          </w:p>
        </w:tc>
      </w:tr>
      <w:tr>
        <w:tc>
          <w:tcPr>
            <w:tcW w:type="dxa" w:w="2005"/>
          </w:tcPr>
          <w:p>
            <w:pPr>
              <w:spacing w:after="0" w:line="252" w:lineRule="auto"/>
            </w:pPr>
            <w:r>
              <w:rPr>
                <w:sz w:val="17"/>
              </w:rPr>
              <w:t>Lagerplatzetikett</w:t>
            </w:r>
          </w:p>
        </w:tc>
        <w:tc>
          <w:tcPr>
            <w:tcW w:type="dxa" w:w="3760"/>
          </w:tcPr>
          <w:p>
            <w:pPr>
              <w:spacing w:after="0" w:line="252" w:lineRule="auto"/>
            </w:pPr>
            <w:r>
              <w:rPr>
                <w:b/>
                <w:sz w:val="17"/>
              </w:rPr>
              <w:t>WH004 Übersicht Lagerplätze</w:t>
            </w:r>
            <w:r>
              <w:rPr>
                <w:sz w:val="17"/>
              </w:rPr>
              <w:t xml:space="preserve"> → Kontextmenü </w:t>
            </w:r>
            <w:r>
              <w:rPr>
                <w:b/>
                <w:sz w:val="17"/>
              </w:rPr>
              <w:t>Lagerplatzetiketten drucken</w:t>
            </w:r>
            <w:r>
              <w:rPr>
                <w:sz w:val="17"/>
              </w:rPr>
              <w:t xml:space="preserve"> → </w:t>
            </w:r>
            <w:r>
              <w:rPr>
                <w:b/>
                <w:sz w:val="17"/>
              </w:rPr>
              <w:t>RM001</w:t>
            </w:r>
          </w:p>
        </w:tc>
        <w:tc>
          <w:tcPr>
            <w:tcW w:type="dxa" w:w="3760"/>
          </w:tcPr>
          <w:p>
            <w:pPr>
              <w:spacing w:after="0" w:line="252" w:lineRule="auto"/>
            </w:pPr>
            <w:r>
              <w:rPr>
                <w:b/>
                <w:sz w:val="17"/>
              </w:rPr>
              <w:t>LM044 Zielplätze</w:t>
            </w:r>
            <w:r>
              <w:rPr>
                <w:sz w:val="17"/>
              </w:rPr>
              <w:t xml:space="preserve"> → Icon </w:t>
            </w:r>
            <w:r>
              <w:rPr>
                <w:b/>
                <w:sz w:val="17"/>
              </w:rPr>
              <w:t>Drucken</w:t>
            </w:r>
          </w:p>
        </w:tc>
      </w:tr>
      <w:tr>
        <w:tc>
          <w:tcPr>
            <w:tcW w:type="dxa" w:w="2005"/>
          </w:tcPr>
          <w:p>
            <w:pPr>
              <w:spacing w:after="0" w:line="252" w:lineRule="auto"/>
            </w:pPr>
            <w:r>
              <w:rPr>
                <w:sz w:val="17"/>
              </w:rPr>
              <w:t>Lieferschein Kommissionierbedarf</w:t>
            </w:r>
          </w:p>
        </w:tc>
        <w:tc>
          <w:tcPr>
            <w:tcW w:type="dxa" w:w="3760"/>
          </w:tcPr>
          <w:p>
            <w:pPr>
              <w:spacing w:after="0" w:line="252" w:lineRule="auto"/>
            </w:pPr>
            <w:r>
              <w:rPr>
                <w:b/>
                <w:sz w:val="17"/>
              </w:rPr>
              <w:t>LM071</w:t>
            </w:r>
            <w:r>
              <w:rPr>
                <w:sz w:val="17"/>
              </w:rPr>
              <w:t xml:space="preserve"> → Kontextmenü </w:t>
            </w:r>
            <w:r>
              <w:rPr>
                <w:b/>
                <w:sz w:val="17"/>
              </w:rPr>
              <w:t>Lieferschein drucken</w:t>
            </w:r>
            <w:r>
              <w:rPr>
                <w:sz w:val="17"/>
              </w:rPr>
              <w:t xml:space="preserve"> → </w:t>
            </w:r>
            <w:r>
              <w:rPr>
                <w:b/>
                <w:sz w:val="17"/>
              </w:rPr>
              <w:t>RM001</w:t>
            </w:r>
          </w:p>
        </w:tc>
        <w:tc>
          <w:tcPr>
            <w:tcW w:type="dxa" w:w="3760"/>
          </w:tcPr>
          <w:p>
            <w:pPr>
              <w:spacing w:after="0" w:line="252" w:lineRule="auto"/>
            </w:pPr>
            <w:r>
              <w:rPr>
                <w:b/>
                <w:sz w:val="17"/>
              </w:rPr>
              <w:t>LM040</w:t>
            </w:r>
            <w:r>
              <w:rPr>
                <w:sz w:val="17"/>
              </w:rPr>
              <w:t xml:space="preserve">, Registerkarte </w:t>
            </w:r>
            <w:r>
              <w:rPr>
                <w:b/>
                <w:sz w:val="17"/>
              </w:rPr>
              <w:t>Übersicht Aufträge</w:t>
            </w:r>
            <w:r>
              <w:rPr>
                <w:sz w:val="17"/>
              </w:rPr>
              <w:t xml:space="preserve"> → Icon </w:t>
            </w:r>
            <w:r>
              <w:rPr>
                <w:b/>
                <w:sz w:val="17"/>
              </w:rPr>
              <w:t>Drucken</w:t>
            </w:r>
          </w:p>
        </w:tc>
      </w:tr>
      <w:tr>
        <w:tc>
          <w:tcPr>
            <w:tcW w:type="dxa" w:w="2005"/>
          </w:tcPr>
          <w:p>
            <w:pPr>
              <w:spacing w:after="0" w:line="252" w:lineRule="auto"/>
            </w:pPr>
            <w:r>
              <w:rPr>
                <w:sz w:val="17"/>
              </w:rPr>
              <w:t>Etikett externe LE</w:t>
            </w:r>
          </w:p>
        </w:tc>
        <w:tc>
          <w:tcPr>
            <w:tcW w:type="dxa" w:w="3760"/>
          </w:tcPr>
          <w:p>
            <w:pPr>
              <w:spacing w:after="0" w:line="252" w:lineRule="auto"/>
            </w:pPr>
            <w:r>
              <w:rPr>
                <w:sz w:val="17"/>
              </w:rPr>
              <w:t>–</w:t>
            </w:r>
          </w:p>
        </w:tc>
        <w:tc>
          <w:tcPr>
            <w:tcW w:type="dxa" w:w="3760"/>
          </w:tcPr>
          <w:p>
            <w:pPr>
              <w:spacing w:after="0" w:line="252" w:lineRule="auto"/>
            </w:pPr>
            <w:r>
              <w:rPr>
                <w:b/>
                <w:sz w:val="17"/>
              </w:rPr>
              <w:t>LM045</w:t>
            </w:r>
            <w:r>
              <w:rPr>
                <w:sz w:val="17"/>
              </w:rPr>
              <w:t xml:space="preserve"> (siehe 7.4)</w:t>
            </w:r>
          </w:p>
        </w:tc>
      </w:tr>
      <w:tr>
        <w:tc>
          <w:tcPr>
            <w:tcW w:type="dxa" w:w="2005"/>
          </w:tcPr>
          <w:p>
            <w:pPr>
              <w:spacing w:after="0" w:line="252" w:lineRule="auto"/>
            </w:pPr>
            <w:r>
              <w:rPr>
                <w:sz w:val="17"/>
              </w:rPr>
              <w:t>Nachdruck</w:t>
            </w:r>
          </w:p>
        </w:tc>
        <w:tc>
          <w:tcPr>
            <w:tcW w:type="dxa" w:w="3760"/>
          </w:tcPr>
          <w:p>
            <w:pPr>
              <w:spacing w:after="0" w:line="252" w:lineRule="auto"/>
            </w:pPr>
            <w:r>
              <w:rPr>
                <w:b/>
                <w:sz w:val="17"/>
              </w:rPr>
              <w:t>RM018 Berichtsarchiv</w:t>
            </w:r>
            <w:r>
              <w:rPr>
                <w:sz w:val="17"/>
              </w:rPr>
              <w:t xml:space="preserve"> → </w:t>
            </w:r>
            <w:r>
              <w:rPr>
                <w:b/>
                <w:sz w:val="17"/>
              </w:rPr>
              <w:t>Nachdrucken</w:t>
            </w:r>
          </w:p>
        </w:tc>
        <w:tc>
          <w:tcPr>
            <w:tcW w:type="dxa" w:w="3760"/>
          </w:tcPr>
          <w:p>
            <w:pPr>
              <w:spacing w:after="0" w:line="252" w:lineRule="auto"/>
            </w:pPr>
            <w:r>
              <w:rPr>
                <w:sz w:val="17"/>
              </w:rPr>
              <w:t>–</w:t>
            </w:r>
          </w:p>
        </w:tc>
      </w:tr>
    </w:tbl>
    <w:p>
      <w:pPr>
        <w:pStyle w:val="BeschriftungSSI"/>
      </w:pPr>
      <w:r>
        <w:t>Tab. 15: Wege zum manuellen Druck</w:t>
      </w:r>
    </w:p>
    <w:p>
      <w:pPr>
        <w:pStyle w:val="Quelle"/>
      </w:pPr>
      <w:r>
        <w:rPr>
          <w:b/>
        </w:rPr>
        <w:t xml:space="preserve">Quelle: </w:t>
      </w:r>
      <w:r>
        <w:rPr>
          <w:sz w:val="17"/>
        </w:rPr>
        <w:t>Benutzerhandbuch 2.7, Kap. 6.8 (S. 152–157) und 6.7.1.2 (S. 149); Live-System 2.7 (LM069 ohne Etikettendruck)</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Lagerplatzetiketten nur über WH004 bzw. LM044</w:t>
            </w:r>
          </w:p>
          <w:p>
            <w:pPr>
              <w:spacing w:after="40"/>
            </w:pPr>
            <w:r>
              <w:rPr>
                <w:sz w:val="19"/>
              </w:rPr>
              <w:t xml:space="preserve">Benutzerhandbuch 2.7 (Kap. 6.8.1.3, Option 2) und User Manual 2.8 (Kap. 6.8.1.3, Option 2) nennen zusätzlich </w:t>
            </w:r>
            <w:r>
              <w:rPr>
                <w:b/>
                <w:sz w:val="19"/>
              </w:rPr>
              <w:t>LM069</w:t>
            </w:r>
            <w:r>
              <w:rPr>
                <w:sz w:val="19"/>
              </w:rPr>
              <w:t xml:space="preserve">, Registerkarte </w:t>
            </w:r>
            <w:r>
              <w:rPr>
                <w:b/>
                <w:sz w:val="19"/>
              </w:rPr>
              <w:t>Externer Lagerplatz</w:t>
            </w:r>
            <w:r>
              <w:rPr>
                <w:sz w:val="19"/>
              </w:rPr>
              <w:t xml:space="preserve">. Im Live-System 2.7 hat </w:t>
            </w:r>
            <w:r>
              <w:rPr>
                <w:b/>
                <w:sz w:val="19"/>
              </w:rPr>
              <w:t>LM069 WAMAS Lift &amp; Store-Zone pflegen</w:t>
            </w:r>
            <w:r>
              <w:rPr>
                <w:sz w:val="19"/>
              </w:rPr>
              <w:t xml:space="preserve"> nur die Registerkarten </w:t>
            </w:r>
            <w:r>
              <w:rPr>
                <w:b/>
                <w:sz w:val="19"/>
              </w:rPr>
              <w:t>Konfiguration</w:t>
            </w:r>
            <w:r>
              <w:rPr>
                <w:sz w:val="19"/>
              </w:rPr>
              <w:t xml:space="preserve">, </w:t>
            </w:r>
            <w:r>
              <w:rPr>
                <w:b/>
                <w:sz w:val="19"/>
              </w:rPr>
              <w:t>Übergabeposition</w:t>
            </w:r>
            <w:r>
              <w:rPr>
                <w:sz w:val="19"/>
              </w:rPr>
              <w:t xml:space="preserve">, </w:t>
            </w:r>
            <w:r>
              <w:rPr>
                <w:b/>
                <w:sz w:val="19"/>
              </w:rPr>
              <w:t>ABC-Wertberechnung</w:t>
            </w:r>
            <w:r>
              <w:rPr>
                <w:sz w:val="19"/>
              </w:rPr>
              <w:t xml:space="preserve"> und </w:t>
            </w:r>
            <w:r>
              <w:rPr>
                <w:b/>
                <w:sz w:val="19"/>
              </w:rPr>
              <w:t>ABC-Berechnung für externen Artikel</w:t>
            </w:r>
            <w:r>
              <w:rPr>
                <w:sz w:val="19"/>
              </w:rPr>
              <w:t xml:space="preserve">; diese Option gibt es dort nicht. Lagerplatzetiketten druckt man am Desktop über </w:t>
            </w:r>
            <w:r>
              <w:rPr>
                <w:b/>
                <w:sz w:val="19"/>
              </w:rPr>
              <w:t>WH004</w:t>
            </w:r>
            <w:r>
              <w:rPr>
                <w:sz w:val="19"/>
              </w:rPr>
              <w:t xml:space="preserve"> und am Touch-Client über </w:t>
            </w:r>
            <w:r>
              <w:rPr>
                <w:b/>
                <w:sz w:val="19"/>
              </w:rPr>
              <w:t>LM044</w:t>
            </w:r>
            <w:r>
              <w:rPr>
                <w:sz w:val="19"/>
              </w:rPr>
              <w:t>.</w:t>
            </w:r>
          </w:p>
        </w:tc>
      </w:tr>
    </w:tbl>
    <w:p>
      <w:pPr>
        <w:spacing w:after="40"/>
      </w:pPr>
    </w:p>
    <w:p>
      <w:pPr>
        <w:pStyle w:val="Heading2"/>
      </w:pPr>
      <w:r>
        <w:t>7.2 Am Desktop drucken – Beispiel Lieferschein</w:t>
      </w:r>
    </w:p>
    <w:p>
      <w:r>
        <w:t>Voraussetzung: Es wurde bereits eine Menge kommissioniert.</w:t>
      </w:r>
    </w:p>
    <w:p>
      <w:pPr>
        <w:tabs>
          <w:tab w:pos="425" w:val="left"/>
        </w:tabs>
        <w:spacing w:after="60"/>
        <w:ind w:left="425" w:hanging="425"/>
      </w:pPr>
      <w:r>
        <w:rPr>
          <w:b/>
        </w:rPr>
        <w:t>1.</w:t>
        <w:tab/>
      </w:r>
      <w:r>
        <w:rPr>
          <w:b/>
        </w:rPr>
        <w:t>LM071 Übersicht Kommissionierbedarfe</w:t>
      </w:r>
      <w:r>
        <w:t xml:space="preserve"> öffnen und </w:t>
      </w:r>
      <w:r>
        <w:rPr>
          <w:b/>
        </w:rPr>
        <w:t>Suche</w:t>
      </w:r>
      <w:r>
        <w:t xml:space="preserve"> betätigen.</w:t>
      </w:r>
    </w:p>
    <w:p>
      <w:pPr>
        <w:tabs>
          <w:tab w:pos="425" w:val="left"/>
        </w:tabs>
        <w:spacing w:after="60"/>
        <w:ind w:left="425" w:hanging="425"/>
      </w:pPr>
      <w:r>
        <w:rPr>
          <w:b/>
        </w:rPr>
        <w:t>2.</w:t>
        <w:tab/>
      </w:r>
      <w:r>
        <w:t xml:space="preserve">Kommissionierbedarf auswählen, rechte Maustaste, </w:t>
      </w:r>
      <w:r>
        <w:rPr>
          <w:b/>
        </w:rPr>
        <w:t>Lieferschein drucken</w:t>
      </w:r>
      <w:r>
        <w:t xml:space="preserve">. Der Dialog </w:t>
      </w:r>
      <w:r>
        <w:rPr>
          <w:b/>
        </w:rPr>
        <w:t>RM001 Dokument erzeugen</w:t>
      </w:r>
      <w:r>
        <w:t xml:space="preserve"> öffnet sich.</w:t>
      </w:r>
    </w:p>
    <w:p>
      <w:pPr>
        <w:tabs>
          <w:tab w:pos="425" w:val="left"/>
        </w:tabs>
        <w:spacing w:after="60"/>
        <w:ind w:left="425" w:hanging="425"/>
      </w:pPr>
      <w:r>
        <w:rPr>
          <w:b/>
        </w:rPr>
        <w:t>3.</w:t>
        <w:tab/>
      </w:r>
      <w:r>
        <w:t>Ausgabeoptionen angeben:</w:t>
      </w:r>
    </w:p>
    <w:p>
      <w:pPr>
        <w:pStyle w:val="ListBullet2"/>
      </w:pPr>
      <w:r>
        <w:rPr>
          <w:b/>
        </w:rPr>
        <w:t>Layout</w:t>
      </w:r>
    </w:p>
    <w:p>
      <w:pPr>
        <w:pStyle w:val="ListBullet2"/>
      </w:pPr>
      <w:r>
        <w:rPr>
          <w:b/>
        </w:rPr>
        <w:t>Allgemeine Eigenschaften</w:t>
      </w:r>
      <w:r>
        <w:t xml:space="preserve"> (Berichtsformat, Spracheinstellungen, bei LE-Etiketten auch Anzahl Exemplare)</w:t>
      </w:r>
    </w:p>
    <w:p>
      <w:pPr>
        <w:pStyle w:val="ListBullet2"/>
      </w:pPr>
      <w:r>
        <w:rPr>
          <w:b/>
        </w:rPr>
        <w:t>Kanaleigenschaften</w:t>
      </w:r>
      <w:r>
        <w:t xml:space="preserve"> (Drucker, E-Mail, Datei oder Archiv)</w:t>
      </w:r>
    </w:p>
    <w:p>
      <w:pPr>
        <w:tabs>
          <w:tab w:pos="425" w:val="left"/>
        </w:tabs>
        <w:spacing w:after="60"/>
        <w:ind w:left="425" w:hanging="425"/>
      </w:pPr>
      <w:r>
        <w:rPr>
          <w:b/>
        </w:rPr>
        <w:t>4.</w:t>
        <w:tab/>
      </w:r>
      <w:r>
        <w:rPr>
          <w:b/>
        </w:rPr>
        <w:t>Generieren</w:t>
      </w:r>
      <w:r>
        <w:t xml:space="preserve"> betätigen.</w:t>
      </w:r>
    </w:p>
    <w:p>
      <w:r>
        <w:t xml:space="preserve">Analog funktionieren Artikeletikett (vorher in </w:t>
      </w:r>
      <w:r>
        <w:rPr>
          <w:b/>
        </w:rPr>
        <w:t>MD052</w:t>
      </w:r>
      <w:r>
        <w:t xml:space="preserve"> </w:t>
      </w:r>
      <w:r>
        <w:rPr>
          <w:rFonts w:ascii="Consolas" w:hAnsi="Consolas" w:cs="Consolas" w:eastAsia="Consolas"/>
          <w:sz w:val="18"/>
        </w:rPr>
        <w:t>Verpackungsversion</w:t>
      </w:r>
      <w:r>
        <w:t xml:space="preserve">, </w:t>
      </w:r>
      <w:r>
        <w:rPr>
          <w:rFonts w:ascii="Consolas" w:hAnsi="Consolas" w:cs="Consolas" w:eastAsia="Consolas"/>
          <w:sz w:val="18"/>
        </w:rPr>
        <w:t>Artikel-Alias</w:t>
      </w:r>
      <w:r>
        <w:t xml:space="preserve"> und </w:t>
      </w:r>
      <w:r>
        <w:rPr>
          <w:rFonts w:ascii="Consolas" w:hAnsi="Consolas" w:cs="Consolas" w:eastAsia="Consolas"/>
          <w:sz w:val="18"/>
        </w:rPr>
        <w:t>Anzahl der Etiketten</w:t>
      </w:r>
      <w:r>
        <w:t xml:space="preserve"> wählen), LE-Etikett und Lagerplatzetikett. Beim Lagerplatzetikett nennt das Handbuch keine Layoutauswahl.</w:t>
      </w:r>
    </w:p>
    <w:p>
      <w:pPr>
        <w:pStyle w:val="Quelle"/>
      </w:pPr>
      <w:r>
        <w:rPr>
          <w:b/>
        </w:rPr>
        <w:t xml:space="preserve">Quelle: </w:t>
      </w:r>
      <w:r>
        <w:rPr>
          <w:sz w:val="17"/>
        </w:rPr>
        <w:t>Benutzerhandbuch 2.7, Kap. 6.8.1.1–6.8.1.4 (S. 152–155)</w:t>
      </w:r>
    </w:p>
    <w:p>
      <w:pPr>
        <w:pStyle w:val="Heading2"/>
      </w:pPr>
      <w:r>
        <w:t>7.3 Nachdruck aus dem Berichtsarchiv (RM018)</w:t>
      </w:r>
    </w:p>
    <w:p>
      <w:pPr>
        <w:tabs>
          <w:tab w:pos="425" w:val="left"/>
        </w:tabs>
        <w:spacing w:after="60"/>
        <w:ind w:left="425" w:hanging="425"/>
      </w:pPr>
      <w:r>
        <w:rPr>
          <w:b/>
        </w:rPr>
        <w:t>1.</w:t>
        <w:tab/>
      </w:r>
      <w:r>
        <w:rPr>
          <w:b/>
        </w:rPr>
        <w:t>RM018 Berichtsarchiv</w:t>
      </w:r>
      <w:r>
        <w:t xml:space="preserve"> öffnen und </w:t>
      </w:r>
      <w:r>
        <w:rPr>
          <w:b/>
        </w:rPr>
        <w:t>Suche</w:t>
      </w:r>
      <w:r>
        <w:t xml:space="preserve"> betätigen. Treffer zeigen u. a. Formatart (pdf) und Sprache.</w:t>
      </w:r>
    </w:p>
    <w:p>
      <w:pPr>
        <w:tabs>
          <w:tab w:pos="425" w:val="left"/>
        </w:tabs>
        <w:spacing w:after="60"/>
        <w:ind w:left="425" w:hanging="425"/>
      </w:pPr>
      <w:r>
        <w:rPr>
          <w:b/>
        </w:rPr>
        <w:t>2.</w:t>
        <w:tab/>
      </w:r>
      <w:r>
        <w:t xml:space="preserve">Für Details den Datensatz anklicken und den Bereich </w:t>
      </w:r>
      <w:r>
        <w:rPr>
          <w:b/>
        </w:rPr>
        <w:t>Details</w:t>
      </w:r>
      <w:r>
        <w:t xml:space="preserve"> öffnen.</w:t>
      </w:r>
    </w:p>
    <w:p>
      <w:pPr>
        <w:tabs>
          <w:tab w:pos="425" w:val="left"/>
        </w:tabs>
        <w:spacing w:after="60"/>
        <w:ind w:left="425" w:hanging="425"/>
      </w:pPr>
      <w:r>
        <w:rPr>
          <w:b/>
        </w:rPr>
        <w:t>3.</w:t>
        <w:tab/>
      </w:r>
      <w:r>
        <w:t xml:space="preserve">Kontextmenü </w:t>
      </w:r>
      <w:r>
        <w:rPr>
          <w:b/>
        </w:rPr>
        <w:t>Vorschau</w:t>
      </w:r>
      <w:r>
        <w:t>: öffnet das Dokument im Standard-PDF-Viewer.</w:t>
      </w:r>
    </w:p>
    <w:p>
      <w:pPr>
        <w:tabs>
          <w:tab w:pos="425" w:val="left"/>
        </w:tabs>
        <w:spacing w:after="60"/>
        <w:ind w:left="425" w:hanging="425"/>
      </w:pPr>
      <w:r>
        <w:rPr>
          <w:b/>
        </w:rPr>
        <w:t>4.</w:t>
        <w:tab/>
      </w:r>
      <w:r>
        <w:t xml:space="preserve">Kontextmenü </w:t>
      </w:r>
      <w:r>
        <w:rPr>
          <w:b/>
        </w:rPr>
        <w:t>Nachdrucken</w:t>
      </w:r>
      <w:r>
        <w:t xml:space="preserve">: </w:t>
      </w:r>
      <w:r>
        <w:rPr>
          <w:b/>
        </w:rPr>
        <w:t>RM001</w:t>
      </w:r>
      <w:r>
        <w:t xml:space="preserve"> öffnet sich schreibgeschützt mit den ursprünglichen Kanälen und Einstellungen. Optional auf der Registerkarte </w:t>
      </w:r>
      <w:r>
        <w:rPr>
          <w:b/>
        </w:rPr>
        <w:t>E-Mail-Kanal</w:t>
      </w:r>
      <w:r>
        <w:t xml:space="preserve"> eine E-Mail-Adresse eintragen.</w:t>
      </w:r>
    </w:p>
    <w:p>
      <w:pPr>
        <w:tabs>
          <w:tab w:pos="425" w:val="left"/>
        </w:tabs>
        <w:spacing w:after="60"/>
        <w:ind w:left="425" w:hanging="425"/>
      </w:pPr>
      <w:r>
        <w:rPr>
          <w:b/>
        </w:rPr>
        <w:t>5.</w:t>
        <w:tab/>
      </w:r>
      <w:r>
        <w:rPr>
          <w:b/>
        </w:rPr>
        <w:t>Nachdrucken</w:t>
      </w:r>
      <w:r>
        <w:t xml:space="preserve"> betätigen.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Archiv kennt nur das Original</w:t>
            </w:r>
          </w:p>
          <w:p>
            <w:pPr>
              <w:spacing w:after="40"/>
            </w:pPr>
            <w:r>
              <w:rPr>
                <w:sz w:val="19"/>
              </w:rPr>
              <w:t>Der Nachdruck verwendet die archivierte Version. Sprache und Kanal sind die der ursprünglichen Konfiguration. Ein als PDF archiviertes Etikett kann nachträglich nicht als ZPL-Etikett gedruckt werden.</w:t>
            </w:r>
          </w:p>
        </w:tc>
      </w:tr>
    </w:tbl>
    <w:p>
      <w:pPr>
        <w:spacing w:after="40"/>
      </w:pPr>
    </w:p>
    <w:p>
      <w:pPr>
        <w:pStyle w:val="Quelle"/>
      </w:pPr>
      <w:r>
        <w:rPr>
          <w:b/>
        </w:rPr>
        <w:t xml:space="preserve">Quelle: </w:t>
      </w:r>
      <w:r>
        <w:rPr>
          <w:sz w:val="17"/>
        </w:rPr>
        <w:t>Benutzerhandbuch 2.7, Kap. 6.8.1.5 (S. 155–156)</w:t>
      </w:r>
    </w:p>
    <w:p>
      <w:pPr>
        <w:pStyle w:val="Heading2"/>
      </w:pPr>
      <w:r>
        <w:t>7.4 Am Touch-Client drucken</w:t>
      </w:r>
    </w:p>
    <w:p>
      <w:pPr>
        <w:pStyle w:val="ListBullet"/>
      </w:pPr>
      <w:r>
        <w:rPr>
          <w:b/>
        </w:rPr>
        <w:t>Artikeletikett:</w:t>
      </w:r>
      <w:r>
        <w:t xml:space="preserve"> </w:t>
      </w:r>
      <w:r>
        <w:rPr>
          <w:b/>
        </w:rPr>
        <w:t>LM007 Übersicht Artikel</w:t>
      </w:r>
      <w:r>
        <w:t xml:space="preserve">, Artikel suchen, Icon </w:t>
      </w:r>
      <w:r>
        <w:rPr>
          <w:b/>
        </w:rPr>
        <w:t>Artikeletikett drucken</w:t>
      </w:r>
      <w:r>
        <w:t xml:space="preserve">. Sind mehrere Artikeletiketten zugeordnet, in </w:t>
      </w:r>
      <w:r>
        <w:rPr>
          <w:b/>
        </w:rPr>
        <w:t>LM101 Artikeletikett auswählen</w:t>
      </w:r>
      <w:r>
        <w:t xml:space="preserve"> wählen und </w:t>
      </w:r>
      <w:r>
        <w:rPr>
          <w:b/>
        </w:rPr>
        <w:t>Ja</w:t>
      </w:r>
      <w:r>
        <w:t xml:space="preserve"> tippen. Eine Benachrichtigung bestätigt den Druck.</w:t>
      </w:r>
    </w:p>
    <w:p>
      <w:pPr>
        <w:pStyle w:val="ListBullet"/>
      </w:pPr>
      <w:r>
        <w:rPr>
          <w:b/>
        </w:rPr>
        <w:t>Lagerplatzetikett:</w:t>
      </w:r>
      <w:r>
        <w:t xml:space="preserve"> </w:t>
      </w:r>
      <w:r>
        <w:rPr>
          <w:b/>
        </w:rPr>
        <w:t>LM044 Zielplätze</w:t>
      </w:r>
      <w:r>
        <w:t xml:space="preserve">, Lagerplatz wählen, Icon </w:t>
      </w:r>
      <w:r>
        <w:rPr>
          <w:b/>
        </w:rPr>
        <w:t>Drucken</w:t>
      </w:r>
      <w:r>
        <w:t>.</w:t>
      </w:r>
    </w:p>
    <w:p>
      <w:pPr>
        <w:pStyle w:val="ListBullet"/>
      </w:pPr>
      <w:r>
        <w:rPr>
          <w:b/>
        </w:rPr>
        <w:t>Lieferschein:</w:t>
      </w:r>
      <w:r>
        <w:t xml:space="preserve"> </w:t>
      </w:r>
      <w:r>
        <w:rPr>
          <w:b/>
        </w:rPr>
        <w:t>LM040 Übersicht WAMAS L&amp;S</w:t>
      </w:r>
      <w:r>
        <w:t xml:space="preserve">, Registerkarte </w:t>
      </w:r>
      <w:r>
        <w:rPr>
          <w:b/>
        </w:rPr>
        <w:t>Übersicht Aufträge</w:t>
      </w:r>
      <w:r>
        <w:t xml:space="preserve">, Kommissionierbedarf wählen, Icon </w:t>
      </w:r>
      <w:r>
        <w:rPr>
          <w:b/>
        </w:rPr>
        <w:t>Drucken</w:t>
      </w:r>
      <w:r>
        <w:t>.</w:t>
      </w:r>
    </w:p>
    <w:p>
      <w:pPr>
        <w:pStyle w:val="ListBullet"/>
      </w:pPr>
      <w:r>
        <w:rPr>
          <w:b/>
        </w:rPr>
        <w:t>Etikett externe LE:</w:t>
      </w:r>
      <w:r>
        <w:t xml:space="preserve"> </w:t>
      </w:r>
      <w:r>
        <w:rPr>
          <w:b/>
        </w:rPr>
        <w:t>LM045</w:t>
      </w:r>
      <w:r>
        <w:t xml:space="preserve"> öffnen, LE wählen und Etikett drucken. Bei </w:t>
      </w:r>
      <w:r>
        <w:rPr>
          <w:rFonts w:ascii="Consolas" w:hAnsi="Consolas" w:cs="Consolas" w:eastAsia="Consolas"/>
          <w:sz w:val="18"/>
        </w:rPr>
        <w:t>logimat.picking.externalluid.print</w:t>
      </w:r>
      <w:r>
        <w:t xml:space="preserve"> = </w:t>
      </w:r>
      <w:r>
        <w:rPr>
          <w:rFonts w:ascii="Consolas" w:hAnsi="Consolas" w:cs="Consolas" w:eastAsia="Consolas"/>
          <w:sz w:val="18"/>
        </w:rPr>
        <w:t>MANUAL</w:t>
      </w:r>
      <w:r>
        <w:t xml:space="preserve"> ist dies der vorgesehene Weg für den Nachdruck.</w:t>
      </w:r>
    </w:p>
    <w:p>
      <w:r>
        <w:t>Am Touch-Client gibt es keinen Auswahldialog für Layout oder Drucker; es gelten Konfiguration und Druckerauswahl.</w:t>
      </w:r>
    </w:p>
    <w:p>
      <w:pPr>
        <w:pStyle w:val="Quelle"/>
      </w:pPr>
      <w:r>
        <w:rPr>
          <w:b/>
        </w:rPr>
        <w:t xml:space="preserve">Quelle: </w:t>
      </w:r>
      <w:r>
        <w:rPr>
          <w:sz w:val="17"/>
        </w:rPr>
        <w:t>Benutzerhandbuch 2.7, Kap. 6.8.2 (S. 156–157) und 6.7.1.2 (S. 149); Administratorhandbuch 2.7, Kap. 3.11.2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Dass am Touch-Client kein Drucker- oder Layoutdialog erscheint, ergibt sich nur aus den Ablaufbeschreibungen (Icon → Benachrichtigung). Eine explizite Aussage dazu fehlt. Zudem steht in Kap. 6.8.2.1 (Touch-Client) der Satz „kann nur am WAMAS Desktop gedruckt werden“, offenbar aus 6.8.1.1 kopiert.</w:t>
            </w:r>
          </w:p>
        </w:tc>
      </w:tr>
    </w:tbl>
    <w:p>
      <w:pPr>
        <w:spacing w:after="40"/>
      </w:pPr>
    </w:p>
    <w:p>
      <w:pPr>
        <w:pStyle w:val="Heading1"/>
      </w:pPr>
      <w:r>
        <w:t>8 Etiketten und Barcodes</w:t>
      </w:r>
    </w:p>
    <w:p>
      <w:pPr>
        <w:pStyle w:val="Heading2"/>
      </w:pPr>
      <w:r>
        <w:t>8.1 Etikettenarten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18"/>
        <w:gridCol w:w="5195"/>
        <w:gridCol w:w="2511"/>
      </w:tblGrid>
      <w:tr>
        <w:trPr>
          <w:tblHeader w:val="true"/>
        </w:trPr>
        <w:tc>
          <w:tcPr>
            <w:tcW w:type="dxa" w:w="1818"/>
            <w:shd w:val="clear" w:color="auto" w:fill="FEEE19"/>
          </w:tcPr>
          <w:p>
            <w:pPr>
              <w:spacing w:after="0"/>
            </w:pPr>
            <w:r>
              <w:rPr>
                <w:b/>
                <w:sz w:val="17"/>
              </w:rPr>
              <w:t>Etikett</w:t>
            </w:r>
          </w:p>
        </w:tc>
        <w:tc>
          <w:tcPr>
            <w:tcW w:type="dxa" w:w="5195"/>
            <w:shd w:val="clear" w:color="auto" w:fill="FEEE19"/>
          </w:tcPr>
          <w:p>
            <w:pPr>
              <w:spacing w:after="0"/>
            </w:pPr>
            <w:r>
              <w:rPr>
                <w:b/>
                <w:sz w:val="17"/>
              </w:rPr>
              <w:t>Inhalt laut Handbuch</w:t>
            </w:r>
          </w:p>
        </w:tc>
        <w:tc>
          <w:tcPr>
            <w:tcW w:type="dxa" w:w="2511"/>
            <w:shd w:val="clear" w:color="auto" w:fill="FEEE19"/>
          </w:tcPr>
          <w:p>
            <w:pPr>
              <w:spacing w:after="0"/>
            </w:pPr>
            <w:r>
              <w:rPr>
                <w:b/>
                <w:sz w:val="17"/>
              </w:rPr>
              <w:t>Auslöser</w:t>
            </w:r>
          </w:p>
        </w:tc>
      </w:tr>
      <w:tr>
        <w:tc>
          <w:tcPr>
            <w:tcW w:type="dxa" w:w="1818"/>
          </w:tcPr>
          <w:p>
            <w:pPr>
              <w:spacing w:after="0" w:line="252" w:lineRule="auto"/>
            </w:pPr>
            <w:r>
              <w:rPr>
                <w:sz w:val="17"/>
              </w:rPr>
              <w:t>Artikeletikett</w:t>
            </w:r>
          </w:p>
        </w:tc>
        <w:tc>
          <w:tcPr>
            <w:tcW w:type="dxa" w:w="5195"/>
          </w:tcPr>
          <w:p>
            <w:pPr>
              <w:spacing w:after="0" w:line="252" w:lineRule="auto"/>
            </w:pPr>
            <w:r>
              <w:rPr>
                <w:sz w:val="17"/>
              </w:rPr>
              <w:t>Bezeichnet den Artikel selbst, nicht das Bestandsobjekt</w:t>
            </w:r>
          </w:p>
        </w:tc>
        <w:tc>
          <w:tcPr>
            <w:tcW w:type="dxa" w:w="2511"/>
          </w:tcPr>
          <w:p>
            <w:pPr>
              <w:spacing w:after="0" w:line="252" w:lineRule="auto"/>
            </w:pPr>
            <w:r>
              <w:rPr>
                <w:sz w:val="17"/>
              </w:rPr>
              <w:t>Manuell (MD052, LM007)</w:t>
            </w:r>
          </w:p>
        </w:tc>
      </w:tr>
      <w:tr>
        <w:tc>
          <w:tcPr>
            <w:tcW w:type="dxa" w:w="1818"/>
          </w:tcPr>
          <w:p>
            <w:pPr>
              <w:spacing w:after="0" w:line="252" w:lineRule="auto"/>
            </w:pPr>
            <w:r>
              <w:rPr>
                <w:sz w:val="17"/>
              </w:rPr>
              <w:t>LE-Etikett</w:t>
            </w:r>
          </w:p>
        </w:tc>
        <w:tc>
          <w:tcPr>
            <w:tcW w:type="dxa" w:w="5195"/>
          </w:tcPr>
          <w:p>
            <w:pPr>
              <w:spacing w:after="0" w:line="252" w:lineRule="auto"/>
            </w:pPr>
            <w:r>
              <w:rPr>
                <w:sz w:val="17"/>
              </w:rPr>
              <w:t>Identifiziert die LE und die darauf gelagerten Artikel</w:t>
            </w:r>
          </w:p>
        </w:tc>
        <w:tc>
          <w:tcPr>
            <w:tcW w:type="dxa" w:w="2511"/>
          </w:tcPr>
          <w:p>
            <w:pPr>
              <w:spacing w:after="0" w:line="252" w:lineRule="auto"/>
            </w:pPr>
            <w:r>
              <w:rPr>
                <w:sz w:val="17"/>
              </w:rPr>
              <w:t>Manuell (SM023); bei neuer LE</w:t>
            </w:r>
          </w:p>
        </w:tc>
      </w:tr>
      <w:tr>
        <w:tc>
          <w:tcPr>
            <w:tcW w:type="dxa" w:w="1818"/>
          </w:tcPr>
          <w:p>
            <w:pPr>
              <w:spacing w:after="0" w:line="252" w:lineRule="auto"/>
            </w:pPr>
            <w:r>
              <w:rPr>
                <w:sz w:val="17"/>
              </w:rPr>
              <w:t>Lagerplatzetikett</w:t>
            </w:r>
          </w:p>
        </w:tc>
        <w:tc>
          <w:tcPr>
            <w:tcW w:type="dxa" w:w="5195"/>
          </w:tcPr>
          <w:p>
            <w:pPr>
              <w:spacing w:after="0" w:line="252" w:lineRule="auto"/>
            </w:pPr>
            <w:r>
              <w:rPr>
                <w:sz w:val="17"/>
              </w:rPr>
              <w:t>Scanbarer Barcode mit Informationen zum Lagerplatz</w:t>
            </w:r>
          </w:p>
        </w:tc>
        <w:tc>
          <w:tcPr>
            <w:tcW w:type="dxa" w:w="2511"/>
          </w:tcPr>
          <w:p>
            <w:pPr>
              <w:spacing w:after="0" w:line="252" w:lineRule="auto"/>
            </w:pPr>
            <w:r>
              <w:rPr>
                <w:sz w:val="17"/>
              </w:rPr>
              <w:t>Manuell (WH004, LM044)</w:t>
            </w:r>
          </w:p>
        </w:tc>
      </w:tr>
      <w:tr>
        <w:tc>
          <w:tcPr>
            <w:tcW w:type="dxa" w:w="1818"/>
          </w:tcPr>
          <w:p>
            <w:pPr>
              <w:spacing w:after="0" w:line="252" w:lineRule="auto"/>
            </w:pPr>
            <w:r>
              <w:rPr>
                <w:sz w:val="17"/>
              </w:rPr>
              <w:t>Kommissionieretikett</w:t>
            </w:r>
          </w:p>
        </w:tc>
        <w:tc>
          <w:tcPr>
            <w:tcW w:type="dxa" w:w="5195"/>
          </w:tcPr>
          <w:p>
            <w:pPr>
              <w:spacing w:after="0" w:line="252" w:lineRule="auto"/>
            </w:pPr>
            <w:r>
              <w:rPr>
                <w:sz w:val="17"/>
              </w:rPr>
              <w:t>– (nicht näher beschrieben)</w:t>
            </w:r>
          </w:p>
        </w:tc>
        <w:tc>
          <w:tcPr>
            <w:tcW w:type="dxa" w:w="2511"/>
          </w:tcPr>
          <w:p>
            <w:pPr>
              <w:spacing w:after="0" w:line="252" w:lineRule="auto"/>
            </w:pPr>
            <w:r>
              <w:rPr>
                <w:sz w:val="17"/>
              </w:rPr>
              <w:t>Bedarfstyp / Artikel</w:t>
            </w:r>
          </w:p>
        </w:tc>
      </w:tr>
      <w:tr>
        <w:tc>
          <w:tcPr>
            <w:tcW w:type="dxa" w:w="1818"/>
          </w:tcPr>
          <w:p>
            <w:pPr>
              <w:spacing w:after="0" w:line="252" w:lineRule="auto"/>
            </w:pPr>
            <w:r>
              <w:rPr>
                <w:sz w:val="17"/>
              </w:rPr>
              <w:t>Etikett externe LE-ID</w:t>
            </w:r>
          </w:p>
        </w:tc>
        <w:tc>
          <w:tcPr>
            <w:tcW w:type="dxa" w:w="5195"/>
          </w:tcPr>
          <w:p>
            <w:pPr>
              <w:spacing w:after="0" w:line="252" w:lineRule="auto"/>
            </w:pPr>
            <w:r>
              <w:rPr>
                <w:sz w:val="17"/>
              </w:rPr>
              <w:t>LE-ID der Versand- bzw. Ziel-LE</w:t>
            </w:r>
          </w:p>
        </w:tc>
        <w:tc>
          <w:tcPr>
            <w:tcW w:type="dxa" w:w="2511"/>
          </w:tcPr>
          <w:p>
            <w:pPr>
              <w:spacing w:after="0" w:line="252" w:lineRule="auto"/>
            </w:pPr>
            <w:r>
              <w:rPr>
                <w:sz w:val="17"/>
              </w:rPr>
              <w:t>Parameter oder LM045</w:t>
            </w:r>
          </w:p>
        </w:tc>
      </w:tr>
      <w:tr>
        <w:tc>
          <w:tcPr>
            <w:tcW w:type="dxa" w:w="1818"/>
          </w:tcPr>
          <w:p>
            <w:pPr>
              <w:spacing w:after="0" w:line="252" w:lineRule="auto"/>
            </w:pPr>
            <w:r>
              <w:rPr>
                <w:sz w:val="17"/>
              </w:rPr>
              <w:t>Seriennummer</w:t>
            </w:r>
          </w:p>
        </w:tc>
        <w:tc>
          <w:tcPr>
            <w:tcW w:type="dxa" w:w="5195"/>
          </w:tcPr>
          <w:p>
            <w:pPr>
              <w:spacing w:after="0" w:line="252" w:lineRule="auto"/>
            </w:pPr>
            <w:r>
              <w:rPr>
                <w:sz w:val="17"/>
              </w:rPr>
              <w:t>Seriennummer aus Seriennummernkreis</w:t>
            </w:r>
          </w:p>
        </w:tc>
        <w:tc>
          <w:tcPr>
            <w:tcW w:type="dxa" w:w="2511"/>
          </w:tcPr>
          <w:p>
            <w:pPr>
              <w:spacing w:after="0" w:line="252" w:lineRule="auto"/>
            </w:pPr>
            <w:r>
              <w:rPr>
                <w:sz w:val="17"/>
              </w:rPr>
              <w:t>Tablaranforderung aktiv</w:t>
            </w:r>
          </w:p>
        </w:tc>
      </w:tr>
      <w:tr>
        <w:tc>
          <w:tcPr>
            <w:tcW w:type="dxa" w:w="1818"/>
          </w:tcPr>
          <w:p>
            <w:pPr>
              <w:spacing w:after="0" w:line="252" w:lineRule="auto"/>
            </w:pPr>
            <w:r>
              <w:rPr>
                <w:sz w:val="17"/>
              </w:rPr>
              <w:t>Versandetikett</w:t>
            </w:r>
          </w:p>
        </w:tc>
        <w:tc>
          <w:tcPr>
            <w:tcW w:type="dxa" w:w="5195"/>
          </w:tcPr>
          <w:p>
            <w:pPr>
              <w:spacing w:after="0" w:line="252" w:lineRule="auto"/>
            </w:pPr>
            <w:r>
              <w:rPr>
                <w:sz w:val="17"/>
              </w:rPr>
              <w:t>Auch Partner-Zeitzone; Auswahl je Ladehilfsmittel/Versandart möglich</w:t>
            </w:r>
          </w:p>
        </w:tc>
        <w:tc>
          <w:tcPr>
            <w:tcW w:type="dxa" w:w="2511"/>
          </w:tcPr>
          <w:p>
            <w:pPr>
              <w:spacing w:after="0" w:line="252" w:lineRule="auto"/>
            </w:pPr>
            <w:r>
              <w:rPr>
                <w:sz w:val="17"/>
              </w:rPr>
              <w:t>Prozess</w:t>
            </w:r>
          </w:p>
        </w:tc>
      </w:tr>
    </w:tbl>
    <w:p>
      <w:pPr>
        <w:pStyle w:val="BeschriftungSSI"/>
      </w:pPr>
      <w:r>
        <w:t>Tab. 16: Etiketten in WAMAS Lift &amp; Store</w:t>
      </w:r>
    </w:p>
    <w:p>
      <w:pPr>
        <w:pStyle w:val="Quelle"/>
      </w:pPr>
      <w:r>
        <w:rPr>
          <w:b/>
        </w:rPr>
        <w:t xml:space="preserve">Quelle: </w:t>
      </w:r>
      <w:r>
        <w:rPr>
          <w:sz w:val="17"/>
        </w:rPr>
        <w:t>Administratorhandbuch 2.7, Kap. 3.7 und 3.6.3.7; Benutzerhandbuch 2.7, Kap. 6.8 und 6.7.1</w:t>
      </w:r>
    </w:p>
    <w:p>
      <w:pPr>
        <w:pStyle w:val="Heading2"/>
      </w:pPr>
      <w:r>
        <w:t>8.2 Seriennummern</w:t>
      </w:r>
    </w:p>
    <w:p>
      <w:r>
        <w:t xml:space="preserve">Im Bereich </w:t>
      </w:r>
      <w:r>
        <w:rPr>
          <w:b/>
        </w:rPr>
        <w:t>Warenausgang</w:t>
      </w:r>
      <w:r>
        <w:t xml:space="preserve"> der Registerkarte </w:t>
      </w:r>
      <w:r>
        <w:rPr>
          <w:b/>
        </w:rPr>
        <w:t>WLS Artikel</w:t>
      </w:r>
      <w:r>
        <w:t>:</w:t>
      </w:r>
    </w:p>
    <w:p>
      <w:pPr>
        <w:tabs>
          <w:tab w:pos="425" w:val="left"/>
        </w:tabs>
        <w:spacing w:after="60"/>
        <w:ind w:left="425" w:hanging="425"/>
      </w:pPr>
      <w:r>
        <w:rPr>
          <w:b/>
        </w:rPr>
        <w:t>1.</w:t>
        <w:tab/>
      </w:r>
      <w:r>
        <w:rPr>
          <w:rFonts w:ascii="Consolas" w:hAnsi="Consolas" w:cs="Consolas" w:eastAsia="Consolas"/>
          <w:sz w:val="18"/>
        </w:rPr>
        <w:t>Seriennummer ABIA</w:t>
      </w:r>
      <w:r>
        <w:t xml:space="preserve"> wählen: das anpassbare BIA, in dem die Seriennummer geführt wird.</w:t>
      </w:r>
    </w:p>
    <w:p>
      <w:pPr>
        <w:tabs>
          <w:tab w:pos="425" w:val="left"/>
        </w:tabs>
        <w:spacing w:after="60"/>
        <w:ind w:left="425" w:hanging="425"/>
      </w:pPr>
      <w:r>
        <w:rPr>
          <w:b/>
        </w:rPr>
        <w:t>2.</w:t>
        <w:tab/>
      </w:r>
      <w:r>
        <w:rPr>
          <w:rFonts w:ascii="Consolas" w:hAnsi="Consolas" w:cs="Consolas" w:eastAsia="Consolas"/>
          <w:sz w:val="18"/>
        </w:rPr>
        <w:t>Seriennummernkreis</w:t>
      </w:r>
      <w:r>
        <w:t xml:space="preserve"> wählen. Ist ein Kreis eingetragen, ist </w:t>
      </w:r>
      <w:r>
        <w:rPr>
          <w:rFonts w:ascii="Consolas" w:hAnsi="Consolas" w:cs="Consolas" w:eastAsia="Consolas"/>
          <w:sz w:val="18"/>
        </w:rPr>
        <w:t>Seriennummer ABIA</w:t>
      </w:r>
      <w:r>
        <w:t xml:space="preserve"> Pflicht, da WAMAS die Nummer erzeugt. Ohne Kreis muss die Nummer kundenseitig von einem anderen System vorgedruckt werden.</w:t>
      </w:r>
    </w:p>
    <w:p>
      <w:pPr>
        <w:tabs>
          <w:tab w:pos="425" w:val="left"/>
        </w:tabs>
        <w:spacing w:after="60"/>
        <w:ind w:left="425" w:hanging="425"/>
      </w:pPr>
      <w:r>
        <w:rPr>
          <w:b/>
        </w:rPr>
        <w:t>3.</w:t>
        <w:tab/>
      </w:r>
      <w:r>
        <w:rPr>
          <w:rFonts w:ascii="Consolas" w:hAnsi="Consolas" w:cs="Consolas" w:eastAsia="Consolas"/>
          <w:sz w:val="18"/>
        </w:rPr>
        <w:t>Seriennummer drucken</w:t>
      </w:r>
      <w:r>
        <w:t xml:space="preserve"> aktivieren, damit WAMAS die Seriennummer automatisch druckt, sobald eine Tablaranforderung aktiv ist.</w:t>
      </w:r>
    </w:p>
    <w:p>
      <w:pPr>
        <w:pStyle w:val="Quelle"/>
      </w:pPr>
      <w:r>
        <w:rPr>
          <w:b/>
        </w:rPr>
        <w:t xml:space="preserve">Quelle: </w:t>
      </w:r>
      <w:r>
        <w:rPr>
          <w:sz w:val="17"/>
        </w:rPr>
        <w:t>Administratorhandbuch 2.7, Kap. 3.6.3.7 (S. 126)</w:t>
      </w:r>
    </w:p>
    <w:p>
      <w:pPr>
        <w:pStyle w:val="Heading2"/>
      </w:pPr>
      <w:r>
        <w:t>8.3 Kommissionierbedarfsschein mit Barcodes</w:t>
      </w:r>
    </w:p>
    <w:p>
      <w:r>
        <w:t xml:space="preserve">Wenn ein gedrucktes Dokument zum Einlager- oder Kommissionierbedarf vorliegt, kann der Benutzer am Touch-Client die Barcodes scannen, statt die Daten manuell in </w:t>
      </w:r>
      <w:r>
        <w:rPr>
          <w:b/>
        </w:rPr>
        <w:t>LM086 Einlagerbedarf anlegen</w:t>
      </w:r>
      <w:r>
        <w:t xml:space="preserve"> bzw. </w:t>
      </w:r>
      <w:r>
        <w:rPr>
          <w:b/>
        </w:rPr>
        <w:t>LM087 Kommissionierbedarf anlegen</w:t>
      </w:r>
      <w:r>
        <w:t xml:space="preserve"> einzugeben. Ein Musterbeleg ist im Anhang 8.1 des Benutzerhandbuchs abgebildet.</w:t>
      </w:r>
    </w:p>
    <w:p>
      <w:pPr>
        <w:pStyle w:val="Quelle"/>
      </w:pPr>
      <w:r>
        <w:rPr>
          <w:b/>
        </w:rPr>
        <w:t xml:space="preserve">Quelle: </w:t>
      </w:r>
      <w:r>
        <w:rPr>
          <w:sz w:val="17"/>
        </w:rPr>
        <w:t>Benutzerhandbuch 2.7, Kap. 6.2.1.1, 6.2.2.1 und 8.1 (S. 168)</w:t>
      </w:r>
    </w:p>
    <w:p>
      <w:pPr>
        <w:pStyle w:val="Heading1"/>
      </w:pPr>
      <w:r>
        <w:t>9 Fehlersuche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71"/>
        <w:gridCol w:w="3436"/>
        <w:gridCol w:w="3617"/>
      </w:tblGrid>
      <w:tr>
        <w:trPr>
          <w:tblHeader w:val="true"/>
        </w:trPr>
        <w:tc>
          <w:tcPr>
            <w:tcW w:type="dxa" w:w="2472"/>
            <w:shd w:val="clear" w:color="auto" w:fill="FEEE19"/>
          </w:tcPr>
          <w:p>
            <w:pPr>
              <w:spacing w:after="0"/>
            </w:pPr>
            <w:r>
              <w:rPr>
                <w:b/>
                <w:sz w:val="17"/>
              </w:rPr>
              <w:t>Symptom</w:t>
            </w:r>
          </w:p>
        </w:tc>
        <w:tc>
          <w:tcPr>
            <w:tcW w:type="dxa" w:w="3436"/>
            <w:shd w:val="clear" w:color="auto" w:fill="FEEE19"/>
          </w:tcPr>
          <w:p>
            <w:pPr>
              <w:spacing w:after="0"/>
            </w:pPr>
            <w:r>
              <w:rPr>
                <w:b/>
                <w:sz w:val="17"/>
              </w:rPr>
              <w:t>Mögliche Ursache</w:t>
            </w:r>
          </w:p>
        </w:tc>
        <w:tc>
          <w:tcPr>
            <w:tcW w:type="dxa" w:w="3617"/>
            <w:shd w:val="clear" w:color="auto" w:fill="FEEE19"/>
          </w:tcPr>
          <w:p>
            <w:pPr>
              <w:spacing w:after="0"/>
            </w:pPr>
            <w:r>
              <w:rPr>
                <w:b/>
                <w:sz w:val="17"/>
              </w:rPr>
              <w:t>Prüfen / Beheben</w:t>
            </w:r>
          </w:p>
        </w:tc>
      </w:tr>
      <w:tr>
        <w:tc>
          <w:tcPr>
            <w:tcW w:type="dxa" w:w="2472"/>
          </w:tcPr>
          <w:p>
            <w:pPr>
              <w:spacing w:after="0" w:line="252" w:lineRule="auto"/>
            </w:pPr>
            <w:r>
              <w:rPr>
                <w:sz w:val="17"/>
              </w:rPr>
              <w:t>Dokument wird gar nicht gedruckt</w:t>
            </w:r>
          </w:p>
        </w:tc>
        <w:tc>
          <w:tcPr>
            <w:tcW w:type="dxa" w:w="3436"/>
          </w:tcPr>
          <w:p>
            <w:pPr>
              <w:spacing w:after="0" w:line="252" w:lineRule="auto"/>
            </w:pPr>
            <w:r>
              <w:rPr>
                <w:sz w:val="17"/>
              </w:rPr>
              <w:t>Keine passende Druckerortzuordnung</w:t>
            </w:r>
          </w:p>
        </w:tc>
        <w:tc>
          <w:tcPr>
            <w:tcW w:type="dxa" w:w="3617"/>
          </w:tcPr>
          <w:p>
            <w:pPr>
              <w:spacing w:after="0" w:line="252" w:lineRule="auto"/>
            </w:pPr>
            <w:r>
              <w:rPr>
                <w:sz w:val="17"/>
              </w:rPr>
              <w:t>RM017: Lagerstandort, Terminal, Ortskriterien</w:t>
            </w:r>
          </w:p>
        </w:tc>
      </w:tr>
      <w:tr>
        <w:tc>
          <w:tcPr>
            <w:tcW w:type="dxa" w:w="2472"/>
          </w:tcPr>
          <w:p>
            <w:pPr>
              <w:spacing w:after="0" w:line="252" w:lineRule="auto"/>
            </w:pPr>
            <w:r>
              <w:rPr>
                <w:sz w:val="17"/>
              </w:rPr>
              <w:t>Automatischer Druck bleibt aus</w:t>
            </w:r>
          </w:p>
        </w:tc>
        <w:tc>
          <w:tcPr>
            <w:tcW w:type="dxa" w:w="3436"/>
          </w:tcPr>
          <w:p>
            <w:pPr>
              <w:spacing w:after="0" w:line="252" w:lineRule="auto"/>
            </w:pPr>
            <w:r>
              <w:rPr>
                <w:sz w:val="17"/>
              </w:rPr>
              <w:t>Kein aktiver Standarddrucker</w:t>
            </w:r>
          </w:p>
        </w:tc>
        <w:tc>
          <w:tcPr>
            <w:tcW w:type="dxa" w:w="3617"/>
          </w:tcPr>
          <w:p>
            <w:pPr>
              <w:spacing w:after="0" w:line="252" w:lineRule="auto"/>
            </w:pPr>
            <w:r>
              <w:rPr>
                <w:sz w:val="17"/>
              </w:rPr>
              <w:t xml:space="preserve">RM011 Checkbox </w:t>
            </w:r>
            <w:r>
              <w:rPr>
                <w:rFonts w:ascii="Consolas" w:hAnsi="Consolas" w:cs="Consolas" w:eastAsia="Consolas"/>
                <w:sz w:val="15"/>
              </w:rPr>
              <w:t>Standard</w:t>
            </w:r>
            <w:r>
              <w:rPr>
                <w:sz w:val="17"/>
              </w:rPr>
              <w:t>; Status in RM015/RM020/RM021 = Normal</w:t>
            </w:r>
          </w:p>
        </w:tc>
      </w:tr>
      <w:tr>
        <w:tc>
          <w:tcPr>
            <w:tcW w:type="dxa" w:w="2472"/>
          </w:tcPr>
          <w:p>
            <w:pPr>
              <w:spacing w:after="0" w:line="252" w:lineRule="auto"/>
            </w:pPr>
            <w:r>
              <w:rPr>
                <w:sz w:val="17"/>
              </w:rPr>
              <w:t>Automatischer Druck bleibt aus</w:t>
            </w:r>
          </w:p>
        </w:tc>
        <w:tc>
          <w:tcPr>
            <w:tcW w:type="dxa" w:w="3436"/>
          </w:tcPr>
          <w:p>
            <w:pPr>
              <w:spacing w:after="0" w:line="252" w:lineRule="auto"/>
            </w:pPr>
            <w:r>
              <w:rPr>
                <w:sz w:val="17"/>
              </w:rPr>
              <w:t>Auslöser nicht aktiv</w:t>
            </w:r>
          </w:p>
        </w:tc>
        <w:tc>
          <w:tcPr>
            <w:tcW w:type="dxa" w:w="3617"/>
          </w:tcPr>
          <w:p>
            <w:pPr>
              <w:spacing w:after="0" w:line="252" w:lineRule="auto"/>
            </w:pPr>
            <w:r>
              <w:rPr>
                <w:sz w:val="17"/>
              </w:rPr>
              <w:t>Checkboxen am Bedarfstyp (MD017), Artikel (WLS Artikel), Parameter (FW028)</w:t>
            </w:r>
          </w:p>
        </w:tc>
      </w:tr>
      <w:tr>
        <w:tc>
          <w:tcPr>
            <w:tcW w:type="dxa" w:w="2472"/>
          </w:tcPr>
          <w:p>
            <w:pPr>
              <w:spacing w:after="0" w:line="252" w:lineRule="auto"/>
            </w:pPr>
            <w:r>
              <w:rPr>
                <w:sz w:val="17"/>
              </w:rPr>
              <w:t>Falscher Drucker</w:t>
            </w:r>
          </w:p>
        </w:tc>
        <w:tc>
          <w:tcPr>
            <w:tcW w:type="dxa" w:w="3436"/>
          </w:tcPr>
          <w:p>
            <w:pPr>
              <w:spacing w:after="0" w:line="252" w:lineRule="auto"/>
            </w:pPr>
            <w:r>
              <w:rPr>
                <w:sz w:val="17"/>
              </w:rPr>
              <w:t>Mehrere Treffer, Reihenfolge</w:t>
            </w:r>
          </w:p>
        </w:tc>
        <w:tc>
          <w:tcPr>
            <w:tcW w:type="dxa" w:w="3617"/>
          </w:tcPr>
          <w:p>
            <w:pPr>
              <w:spacing w:after="0" w:line="252" w:lineRule="auto"/>
            </w:pPr>
            <w:r>
              <w:rPr>
                <w:rFonts w:ascii="Consolas" w:hAnsi="Consolas" w:cs="Consolas" w:eastAsia="Consolas"/>
                <w:sz w:val="15"/>
              </w:rPr>
              <w:t>Druckerreihenfolge</w:t>
            </w:r>
            <w:r>
              <w:rPr>
                <w:sz w:val="17"/>
              </w:rPr>
              <w:t xml:space="preserve"> in RM011; Zuordnungen in RM017</w:t>
            </w:r>
          </w:p>
        </w:tc>
      </w:tr>
      <w:tr>
        <w:tc>
          <w:tcPr>
            <w:tcW w:type="dxa" w:w="2472"/>
          </w:tcPr>
          <w:p>
            <w:pPr>
              <w:spacing w:after="0" w:line="252" w:lineRule="auto"/>
            </w:pPr>
            <w:r>
              <w:rPr>
                <w:sz w:val="17"/>
              </w:rPr>
              <w:t>Drucker fehlt in der Auswahl</w:t>
            </w:r>
          </w:p>
        </w:tc>
        <w:tc>
          <w:tcPr>
            <w:tcW w:type="dxa" w:w="3436"/>
          </w:tcPr>
          <w:p>
            <w:pPr>
              <w:spacing w:after="0" w:line="252" w:lineRule="auto"/>
            </w:pPr>
            <w:r>
              <w:rPr>
                <w:sz w:val="17"/>
              </w:rPr>
              <w:t>Druckertyp unterstützt Format, Größe oder Auflösung nicht</w:t>
            </w:r>
          </w:p>
        </w:tc>
        <w:tc>
          <w:tcPr>
            <w:tcW w:type="dxa" w:w="3617"/>
          </w:tcPr>
          <w:p>
            <w:pPr>
              <w:spacing w:after="0" w:line="252" w:lineRule="auto"/>
            </w:pPr>
            <w:r>
              <w:rPr>
                <w:sz w:val="17"/>
              </w:rPr>
              <w:t>RM015 Checkboxen; Layoutwerte in RM003</w:t>
            </w:r>
          </w:p>
        </w:tc>
      </w:tr>
      <w:tr>
        <w:tc>
          <w:tcPr>
            <w:tcW w:type="dxa" w:w="2472"/>
          </w:tcPr>
          <w:p>
            <w:pPr>
              <w:spacing w:after="0" w:line="252" w:lineRule="auto"/>
            </w:pPr>
            <w:r>
              <w:rPr>
                <w:sz w:val="17"/>
              </w:rPr>
              <w:t>RM100/RM001 zeigt keine Einstellungen</w:t>
            </w:r>
          </w:p>
        </w:tc>
        <w:tc>
          <w:tcPr>
            <w:tcW w:type="dxa" w:w="3436"/>
          </w:tcPr>
          <w:p>
            <w:pPr>
              <w:spacing w:after="0" w:line="252" w:lineRule="auto"/>
            </w:pPr>
            <w:r>
              <w:rPr>
                <w:sz w:val="17"/>
              </w:rPr>
              <w:t>Fehlende Zuordnung</w:t>
            </w:r>
          </w:p>
        </w:tc>
        <w:tc>
          <w:tcPr>
            <w:tcW w:type="dxa" w:w="3617"/>
          </w:tcPr>
          <w:p>
            <w:pPr>
              <w:spacing w:after="0" w:line="252" w:lineRule="auto"/>
            </w:pPr>
            <w:r>
              <w:rPr>
                <w:sz w:val="17"/>
              </w:rPr>
              <w:t>RM010: Zuordnung auch ohne Kriterien anlegen</w:t>
            </w:r>
          </w:p>
        </w:tc>
      </w:tr>
      <w:tr>
        <w:tc>
          <w:tcPr>
            <w:tcW w:type="dxa" w:w="2472"/>
          </w:tcPr>
          <w:p>
            <w:pPr>
              <w:spacing w:after="0" w:line="252" w:lineRule="auto"/>
            </w:pPr>
            <w:r>
              <w:rPr>
                <w:sz w:val="17"/>
              </w:rPr>
              <w:t>Falsches Layout für Klient/Partner</w:t>
            </w:r>
          </w:p>
        </w:tc>
        <w:tc>
          <w:tcPr>
            <w:tcW w:type="dxa" w:w="3436"/>
          </w:tcPr>
          <w:p>
            <w:pPr>
              <w:spacing w:after="0" w:line="252" w:lineRule="auto"/>
            </w:pPr>
            <w:r>
              <w:rPr>
                <w:sz w:val="17"/>
              </w:rPr>
              <w:t>Zuordnung fehlt oder falsche Kriterien</w:t>
            </w:r>
          </w:p>
        </w:tc>
        <w:tc>
          <w:tcPr>
            <w:tcW w:type="dxa" w:w="3617"/>
          </w:tcPr>
          <w:p>
            <w:pPr>
              <w:spacing w:after="0" w:line="252" w:lineRule="auto"/>
            </w:pPr>
            <w:r>
              <w:rPr>
                <w:sz w:val="17"/>
              </w:rPr>
              <w:t>RM010 Kriterien; Partner nur mit Klient</w:t>
            </w:r>
          </w:p>
        </w:tc>
      </w:tr>
      <w:tr>
        <w:tc>
          <w:tcPr>
            <w:tcW w:type="dxa" w:w="2472"/>
          </w:tcPr>
          <w:p>
            <w:pPr>
              <w:spacing w:after="0" w:line="252" w:lineRule="auto"/>
            </w:pPr>
            <w:r>
              <w:rPr>
                <w:sz w:val="17"/>
              </w:rPr>
              <w:t>Layoutänderung nicht sichtbar</w:t>
            </w:r>
          </w:p>
        </w:tc>
        <w:tc>
          <w:tcPr>
            <w:tcW w:type="dxa" w:w="3436"/>
          </w:tcPr>
          <w:p>
            <w:pPr>
              <w:spacing w:after="0" w:line="252" w:lineRule="auto"/>
            </w:pPr>
            <w:r>
              <w:rPr>
                <w:sz w:val="17"/>
              </w:rPr>
              <w:t>Konfiguration verweist auf alte Version</w:t>
            </w:r>
          </w:p>
        </w:tc>
        <w:tc>
          <w:tcPr>
            <w:tcW w:type="dxa" w:w="3617"/>
          </w:tcPr>
          <w:p>
            <w:pPr>
              <w:spacing w:after="0" w:line="252" w:lineRule="auto"/>
            </w:pPr>
            <w:r>
              <w:rPr>
                <w:sz w:val="17"/>
              </w:rPr>
              <w:t xml:space="preserve">RM005 </w:t>
            </w:r>
            <w:r>
              <w:rPr>
                <w:rFonts w:ascii="Consolas" w:hAnsi="Consolas" w:cs="Consolas" w:eastAsia="Consolas"/>
                <w:sz w:val="15"/>
              </w:rPr>
              <w:t>Dokumentlayout; Version</w:t>
            </w:r>
            <w:r>
              <w:rPr>
                <w:sz w:val="17"/>
              </w:rPr>
              <w:t xml:space="preserve">, </w:t>
            </w:r>
            <w:r>
              <w:rPr>
                <w:rFonts w:ascii="Consolas" w:hAnsi="Consolas" w:cs="Consolas" w:eastAsia="Consolas"/>
                <w:sz w:val="15"/>
              </w:rPr>
              <w:t>Dokumentlayout aktuell</w:t>
            </w:r>
          </w:p>
        </w:tc>
      </w:tr>
      <w:tr>
        <w:tc>
          <w:tcPr>
            <w:tcW w:type="dxa" w:w="2472"/>
          </w:tcPr>
          <w:p>
            <w:pPr>
              <w:spacing w:after="0" w:line="252" w:lineRule="auto"/>
            </w:pPr>
            <w:r>
              <w:rPr>
                <w:sz w:val="17"/>
              </w:rPr>
              <w:t>Falsche Sprache</w:t>
            </w:r>
          </w:p>
        </w:tc>
        <w:tc>
          <w:tcPr>
            <w:tcW w:type="dxa" w:w="3436"/>
          </w:tcPr>
          <w:p>
            <w:pPr>
              <w:spacing w:after="0" w:line="252" w:lineRule="auto"/>
            </w:pPr>
            <w:r>
              <w:rPr>
                <w:sz w:val="17"/>
              </w:rPr>
              <w:t>Partnersprache übersteuert</w:t>
            </w:r>
          </w:p>
        </w:tc>
        <w:tc>
          <w:tcPr>
            <w:tcW w:type="dxa" w:w="3617"/>
          </w:tcPr>
          <w:p>
            <w:pPr>
              <w:spacing w:after="0" w:line="252" w:lineRule="auto"/>
            </w:pPr>
            <w:r>
              <w:rPr>
                <w:sz w:val="17"/>
              </w:rPr>
              <w:t xml:space="preserve">RM005 Registerkarte </w:t>
            </w:r>
            <w:r>
              <w:rPr>
                <w:b/>
                <w:sz w:val="17"/>
              </w:rPr>
              <w:t>Sprache</w:t>
            </w:r>
            <w:r>
              <w:rPr>
                <w:sz w:val="17"/>
              </w:rPr>
              <w:t>; Partnerstammdaten</w:t>
            </w:r>
          </w:p>
        </w:tc>
      </w:tr>
      <w:tr>
        <w:tc>
          <w:tcPr>
            <w:tcW w:type="dxa" w:w="2472"/>
          </w:tcPr>
          <w:p>
            <w:pPr>
              <w:spacing w:after="0" w:line="252" w:lineRule="auto"/>
            </w:pPr>
            <w:r>
              <w:rPr>
                <w:sz w:val="17"/>
              </w:rPr>
              <w:t>E-Mail kommt nicht an</w:t>
            </w:r>
          </w:p>
        </w:tc>
        <w:tc>
          <w:tcPr>
            <w:tcW w:type="dxa" w:w="3436"/>
          </w:tcPr>
          <w:p>
            <w:pPr>
              <w:spacing w:after="0" w:line="252" w:lineRule="auto"/>
            </w:pPr>
            <w:r>
              <w:rPr>
                <w:sz w:val="17"/>
              </w:rPr>
              <w:t>Keine Adresse gepflegt / SMTP</w:t>
            </w:r>
          </w:p>
        </w:tc>
        <w:tc>
          <w:tcPr>
            <w:tcW w:type="dxa" w:w="3617"/>
          </w:tcPr>
          <w:p>
            <w:pPr>
              <w:spacing w:after="0" w:line="252" w:lineRule="auto"/>
            </w:pPr>
            <w:r>
              <w:rPr>
                <w:sz w:val="17"/>
              </w:rPr>
              <w:t xml:space="preserve">Systemmeldung in </w:t>
            </w:r>
            <w:r>
              <w:rPr>
                <w:b/>
                <w:sz w:val="17"/>
              </w:rPr>
              <w:t>CC001</w:t>
            </w:r>
            <w:r>
              <w:rPr>
                <w:sz w:val="17"/>
              </w:rPr>
              <w:t>; RM008, RM030</w:t>
            </w:r>
          </w:p>
        </w:tc>
      </w:tr>
      <w:tr>
        <w:tc>
          <w:tcPr>
            <w:tcW w:type="dxa" w:w="2472"/>
          </w:tcPr>
          <w:p>
            <w:pPr>
              <w:spacing w:after="0" w:line="252" w:lineRule="auto"/>
            </w:pPr>
            <w:r>
              <w:rPr>
                <w:sz w:val="17"/>
              </w:rPr>
              <w:t>E-Mail-Text unformatiert</w:t>
            </w:r>
          </w:p>
        </w:tc>
        <w:tc>
          <w:tcPr>
            <w:tcW w:type="dxa" w:w="3436"/>
          </w:tcPr>
          <w:p>
            <w:pPr>
              <w:spacing w:after="0" w:line="252" w:lineRule="auto"/>
            </w:pPr>
            <w:r>
              <w:rPr>
                <w:sz w:val="17"/>
              </w:rPr>
              <w:t>E-Mail-Text ist reiner Text</w:t>
            </w:r>
          </w:p>
        </w:tc>
        <w:tc>
          <w:tcPr>
            <w:tcW w:type="dxa" w:w="3617"/>
          </w:tcPr>
          <w:p>
            <w:pPr>
              <w:spacing w:after="0" w:line="252" w:lineRule="auto"/>
            </w:pPr>
            <w:r>
              <w:rPr>
                <w:sz w:val="17"/>
              </w:rPr>
              <w:t>Kein Fehler: HTML wird nicht interpretiert</w:t>
            </w:r>
          </w:p>
        </w:tc>
      </w:tr>
      <w:tr>
        <w:tc>
          <w:tcPr>
            <w:tcW w:type="dxa" w:w="2472"/>
          </w:tcPr>
          <w:p>
            <w:pPr>
              <w:spacing w:after="0" w:line="252" w:lineRule="auto"/>
            </w:pPr>
            <w:r>
              <w:rPr>
                <w:sz w:val="17"/>
              </w:rPr>
              <w:t>Nachdruck nur als PDF</w:t>
            </w:r>
          </w:p>
        </w:tc>
        <w:tc>
          <w:tcPr>
            <w:tcW w:type="dxa" w:w="3436"/>
          </w:tcPr>
          <w:p>
            <w:pPr>
              <w:spacing w:after="0" w:line="252" w:lineRule="auto"/>
            </w:pPr>
            <w:r>
              <w:rPr>
                <w:sz w:val="17"/>
              </w:rPr>
              <w:t>Archiv enthält Originalformat</w:t>
            </w:r>
          </w:p>
        </w:tc>
        <w:tc>
          <w:tcPr>
            <w:tcW w:type="dxa" w:w="3617"/>
          </w:tcPr>
          <w:p>
            <w:pPr>
              <w:spacing w:after="0" w:line="252" w:lineRule="auto"/>
            </w:pPr>
            <w:r>
              <w:rPr>
                <w:sz w:val="17"/>
              </w:rPr>
              <w:t>Neu erzeugen statt nachdrucken</w:t>
            </w:r>
          </w:p>
        </w:tc>
      </w:tr>
      <w:tr>
        <w:tc>
          <w:tcPr>
            <w:tcW w:type="dxa" w:w="2472"/>
          </w:tcPr>
          <w:p>
            <w:pPr>
              <w:spacing w:after="0" w:line="252" w:lineRule="auto"/>
            </w:pPr>
            <w:r>
              <w:rPr>
                <w:sz w:val="17"/>
              </w:rPr>
              <w:t>Kommissionieretikett nicht neu gedruckt</w:t>
            </w:r>
          </w:p>
        </w:tc>
        <w:tc>
          <w:tcPr>
            <w:tcW w:type="dxa" w:w="3436"/>
          </w:tcPr>
          <w:p>
            <w:pPr>
              <w:spacing w:after="0" w:line="252" w:lineRule="auto"/>
            </w:pPr>
            <w:r>
              <w:rPr>
                <w:sz w:val="17"/>
              </w:rPr>
              <w:t>Option „Vor Kommissionierung“</w:t>
            </w:r>
          </w:p>
        </w:tc>
        <w:tc>
          <w:tcPr>
            <w:tcW w:type="dxa" w:w="3617"/>
          </w:tcPr>
          <w:p>
            <w:pPr>
              <w:spacing w:after="0" w:line="252" w:lineRule="auto"/>
            </w:pPr>
            <w:r>
              <w:rPr>
                <w:sz w:val="17"/>
              </w:rPr>
              <w:t>Auf „… mit erneutem Drucken“ umstellen</w:t>
            </w:r>
          </w:p>
        </w:tc>
      </w:tr>
      <w:tr>
        <w:tc>
          <w:tcPr>
            <w:tcW w:type="dxa" w:w="2472"/>
          </w:tcPr>
          <w:p>
            <w:pPr>
              <w:spacing w:after="0" w:line="252" w:lineRule="auto"/>
            </w:pPr>
            <w:r>
              <w:rPr>
                <w:sz w:val="17"/>
              </w:rPr>
              <w:t>Kommissionieretikett ignoriert Bedarfstyp</w:t>
            </w:r>
          </w:p>
        </w:tc>
        <w:tc>
          <w:tcPr>
            <w:tcW w:type="dxa" w:w="3436"/>
          </w:tcPr>
          <w:p>
            <w:pPr>
              <w:spacing w:after="0" w:line="252" w:lineRule="auto"/>
            </w:pPr>
            <w:r>
              <w:rPr>
                <w:sz w:val="17"/>
              </w:rPr>
              <w:t>Artikel steht auf Immer/Nie</w:t>
            </w:r>
          </w:p>
        </w:tc>
        <w:tc>
          <w:tcPr>
            <w:tcW w:type="dxa" w:w="3617"/>
          </w:tcPr>
          <w:p>
            <w:pPr>
              <w:spacing w:after="0" w:line="252" w:lineRule="auto"/>
            </w:pPr>
            <w:r>
              <w:rPr>
                <w:sz w:val="17"/>
              </w:rPr>
              <w:t xml:space="preserve">WLS Artikel bzw. </w:t>
            </w:r>
            <w:r>
              <w:rPr>
                <w:rFonts w:ascii="Consolas" w:hAnsi="Consolas" w:cs="Consolas" w:eastAsia="Consolas"/>
                <w:sz w:val="15"/>
              </w:rPr>
              <w:t>printPickingLabel</w:t>
            </w:r>
          </w:p>
        </w:tc>
      </w:tr>
      <w:tr>
        <w:tc>
          <w:tcPr>
            <w:tcW w:type="dxa" w:w="2472"/>
          </w:tcPr>
          <w:p>
            <w:pPr>
              <w:spacing w:after="0" w:line="252" w:lineRule="auto"/>
            </w:pPr>
            <w:r>
              <w:rPr>
                <w:sz w:val="17"/>
              </w:rPr>
              <w:t>Externe LE-ID nicht automatisch gedruckt</w:t>
            </w:r>
          </w:p>
        </w:tc>
        <w:tc>
          <w:tcPr>
            <w:tcW w:type="dxa" w:w="3436"/>
          </w:tcPr>
          <w:p>
            <w:pPr>
              <w:spacing w:after="0" w:line="252" w:lineRule="auto"/>
            </w:pPr>
            <w:r>
              <w:rPr>
                <w:sz w:val="17"/>
              </w:rPr>
              <w:t xml:space="preserve">Parameter auf </w:t>
            </w:r>
            <w:r>
              <w:rPr>
                <w:rFonts w:ascii="Consolas" w:hAnsi="Consolas" w:cs="Consolas" w:eastAsia="Consolas"/>
                <w:sz w:val="15"/>
              </w:rPr>
              <w:t>MANUAL</w:t>
            </w:r>
          </w:p>
        </w:tc>
        <w:tc>
          <w:tcPr>
            <w:tcW w:type="dxa" w:w="3617"/>
          </w:tcPr>
          <w:p>
            <w:pPr>
              <w:spacing w:after="0" w:line="252" w:lineRule="auto"/>
            </w:pPr>
            <w:r>
              <w:rPr>
                <w:rFonts w:ascii="Consolas" w:hAnsi="Consolas" w:cs="Consolas" w:eastAsia="Consolas"/>
                <w:sz w:val="15"/>
              </w:rPr>
              <w:t>logimat.picking.externalluid.print</w:t>
            </w:r>
            <w:r>
              <w:rPr>
                <w:sz w:val="17"/>
              </w:rPr>
              <w:t>; Nachdruck in LM045</w:t>
            </w:r>
          </w:p>
        </w:tc>
      </w:tr>
    </w:tbl>
    <w:p>
      <w:pPr>
        <w:pStyle w:val="BeschriftungSSI"/>
      </w:pPr>
      <w:r>
        <w:t>Tab. 17: Fehlersuche beim Drucken</w:t>
      </w:r>
    </w:p>
    <w:p>
      <w:r>
        <w:t>Für tiefergehende Analysen stehen die Systemmeldungen (</w:t>
      </w:r>
      <w:r>
        <w:rPr>
          <w:b/>
        </w:rPr>
        <w:t>CC001 Übersicht Systemmeldungen</w:t>
      </w:r>
      <w:r>
        <w:t xml:space="preserve">, Kontextmenü </w:t>
      </w:r>
      <w:r>
        <w:rPr>
          <w:b/>
        </w:rPr>
        <w:t>Lösungen</w:t>
      </w:r>
      <w:r>
        <w:t>) und die Protokolldateien (</w:t>
      </w:r>
      <w:r>
        <w:rPr>
          <w:b/>
        </w:rPr>
        <w:t>SE031 Logfiles</w:t>
      </w:r>
      <w:r>
        <w:t>) zur Verfügung.</w:t>
      </w:r>
    </w:p>
    <w:p>
      <w:pPr>
        <w:pStyle w:val="Quelle"/>
      </w:pPr>
      <w:r>
        <w:rPr>
          <w:b/>
        </w:rPr>
        <w:t xml:space="preserve">Quelle: </w:t>
      </w:r>
      <w:r>
        <w:rPr>
          <w:sz w:val="17"/>
        </w:rPr>
        <w:t>abgeleitet aus Administratorhandbuch 2.7, Kap. 3.7, 3.8, 3.10 (S. 168) und 3.11.3 (S. 191); Benutzerhandbuch 2.7, Kap. 6.8</w:t>
      </w:r>
    </w:p>
    <w:p>
      <w:pPr>
        <w:pStyle w:val="Heading1"/>
      </w:pPr>
      <w:r>
        <w:t>10 Stolperfallen</w:t>
      </w:r>
    </w:p>
    <w:p>
      <w:pPr>
        <w:pStyle w:val="ListBullet"/>
      </w:pPr>
      <w:r>
        <w:rPr>
          <w:b/>
        </w:rPr>
        <w:t>RM001 oder RM100?</w:t>
      </w:r>
      <w:r>
        <w:t xml:space="preserve"> Das Benutzerhandbuch (2.7 und 2.8) nennt den manuellen Dialog </w:t>
      </w:r>
      <w:r>
        <w:rPr>
          <w:b/>
        </w:rPr>
        <w:t>RM001 Dokument erzeugen</w:t>
      </w:r>
      <w:r>
        <w:t xml:space="preserve">, das Administratorhandbuch </w:t>
      </w:r>
      <w:r>
        <w:rPr>
          <w:b/>
        </w:rPr>
        <w:t>RM100 Dokument erzeugen</w:t>
      </w:r>
      <w:r>
        <w:t>. Im System nachsehen, welche Kennung tatsächlich angezeigt wird.</w:t>
      </w:r>
    </w:p>
    <w:p>
      <w:pPr>
        <w:pStyle w:val="ListBullet"/>
      </w:pPr>
      <w:r>
        <w:rPr>
          <w:b/>
        </w:rPr>
        <w:t>Data-Stage-Zuordnungen</w:t>
      </w:r>
      <w:r>
        <w:t xml:space="preserve"> in RM010 nie ändern oder löschen; sie sind die Ausweichlösung.</w:t>
      </w:r>
    </w:p>
    <w:p>
      <w:pPr>
        <w:pStyle w:val="ListBullet"/>
      </w:pPr>
      <w:r>
        <w:rPr>
          <w:b/>
        </w:rPr>
        <w:t>Zuordnung ohne Kriterien</w:t>
      </w:r>
      <w:r>
        <w:t xml:space="preserve"> ist trotzdem Pflicht, sonst zeigt RM100 keine Einstellungen.</w:t>
      </w:r>
    </w:p>
    <w:p>
      <w:pPr>
        <w:pStyle w:val="ListBullet"/>
      </w:pPr>
      <w:r>
        <w:rPr>
          <w:b/>
        </w:rPr>
        <w:t>Partner</w:t>
      </w:r>
      <w:r>
        <w:t xml:space="preserve"> kann in RM010 nur zusammen mit dem Klienten gesetzt werden.</w:t>
      </w:r>
    </w:p>
    <w:p>
      <w:pPr>
        <w:pStyle w:val="ListBullet"/>
      </w:pPr>
      <w:r>
        <w:rPr>
          <w:b/>
        </w:rPr>
        <w:t>Versandart</w:t>
      </w:r>
      <w:r>
        <w:t xml:space="preserve"> in RM010: Das Handbuch nennt sie zweimal mit unterschiedlichem Geltungsbereich (eine Liste von sechs Dokumenttypen bzw. „nur Versandetiketten“). Vor Projekteinsatz testen.</w:t>
      </w:r>
    </w:p>
    <w:p>
      <w:pPr>
        <w:pStyle w:val="ListBullet"/>
      </w:pPr>
      <w:r>
        <w:rPr>
          <w:b/>
        </w:rPr>
        <w:t>Ohne Druckerortzuordnung kein Druck</w:t>
      </w:r>
      <w:r>
        <w:t>, auch wenn der Drucker in RM011 angelegt ist.</w:t>
      </w:r>
    </w:p>
    <w:p>
      <w:pPr>
        <w:pStyle w:val="ListBullet"/>
      </w:pPr>
      <w:r>
        <w:rPr>
          <w:b/>
        </w:rPr>
        <w:t>Archivierte Dokumente</w:t>
      </w:r>
      <w:r>
        <w:t xml:space="preserve"> lassen sich nur im Originalformat und in der Originalsprache nachdrucken (kein PDF → ZPL).</w:t>
      </w:r>
    </w:p>
    <w:p>
      <w:pPr>
        <w:pStyle w:val="ListBullet"/>
      </w:pPr>
      <w:r>
        <w:rPr>
          <w:b/>
        </w:rPr>
        <w:t>E-Mail-Text</w:t>
      </w:r>
      <w:r>
        <w:t xml:space="preserve"> ist immer reiner Text.</w:t>
      </w:r>
    </w:p>
    <w:p>
      <w:pPr>
        <w:pStyle w:val="ListBullet"/>
      </w:pPr>
      <w:r>
        <w:rPr>
          <w:b/>
        </w:rPr>
        <w:t>Neue Layoutversion</w:t>
      </w:r>
      <w:r>
        <w:t xml:space="preserve"> wird erst wirksam, wenn die Konfiguration in RM005 auf sie verweist.</w:t>
      </w:r>
    </w:p>
    <w:p>
      <w:pPr>
        <w:pStyle w:val="ListBullet"/>
      </w:pPr>
      <w:r>
        <w:rPr>
          <w:b/>
        </w:rPr>
        <w:t>Artikeleinstellung schlägt Bedarfstyp:</w:t>
      </w:r>
      <w:r>
        <w:t xml:space="preserve"> Kommissionieretikett „Immer“ oder „Nie“ am Artikel übersteuert die Option des Bedarfstyps.</w:t>
      </w:r>
    </w:p>
    <w:p>
      <w:pPr>
        <w:pStyle w:val="ListBullet"/>
      </w:pPr>
      <w:r>
        <w:rPr>
          <w:b/>
        </w:rPr>
        <w:t>Dialogname LM045:</w:t>
      </w:r>
      <w:r>
        <w:t xml:space="preserve"> Das Benutzerhandbuch nennt ihn „Ziel-Ladeeinheiten“, die Parameterbeschreibung „Externe Ladeeinheiten“.</w:t>
      </w:r>
    </w:p>
    <w:p>
      <w:pPr>
        <w:pStyle w:val="ListBullet"/>
      </w:pPr>
      <w:r>
        <w:rPr>
          <w:b/>
        </w:rPr>
        <w:t>Installationshandbuch vs. Administratorhandbuch:</w:t>
      </w:r>
      <w:r>
        <w:t xml:space="preserve"> </w:t>
      </w:r>
      <w:r>
        <w:rPr>
          <w:rFonts w:ascii="Consolas" w:hAnsi="Consolas" w:cs="Consolas" w:eastAsia="Consolas"/>
          <w:sz w:val="18"/>
        </w:rPr>
        <w:t>logimat.picking.printingDeliveryNote</w:t>
      </w:r>
      <w:r>
        <w:t xml:space="preserve"> steht nur im Installationshandbuch.</w:t>
      </w:r>
    </w:p>
    <w:p>
      <w:pPr>
        <w:pStyle w:val="Quelle"/>
      </w:pPr>
      <w:r>
        <w:rPr>
          <w:b/>
        </w:rPr>
        <w:t xml:space="preserve">Quelle: </w:t>
      </w:r>
      <w:r>
        <w:rPr>
          <w:sz w:val="17"/>
        </w:rPr>
        <w:t>Zusammenstellung aus den in Kapitel 2–9 genannten Quellen</w:t>
      </w:r>
    </w:p>
    <w:p>
      <w:pPr>
        <w:pStyle w:val="Heading1"/>
      </w:pPr>
      <w:r>
        <w:t>11 Praxisbeispiele</w:t>
      </w:r>
    </w:p>
    <w:p>
      <w:pPr>
        <w:pStyle w:val="Heading2"/>
      </w:pPr>
      <w:r>
        <w:t>11.1 Neuen Etikettendrucker am Versand einrichten</w:t>
      </w:r>
    </w:p>
    <w:p>
      <w:r>
        <w:t xml:space="preserve">Beispiel (konstruiert, bitte prüfen): Am Versandtisch </w:t>
      </w:r>
      <w:r>
        <w:rPr>
          <w:rFonts w:ascii="Consolas" w:hAnsi="Consolas" w:cs="Consolas" w:eastAsia="Consolas"/>
          <w:sz w:val="18"/>
        </w:rPr>
        <w:t>VERSAND1</w:t>
      </w:r>
      <w:r>
        <w:t xml:space="preserve"> (physischer Lagerbereich) soll ein ZPL-Etikettendrucker mit 203 dpi und Etikettenformat 100 × 150 mm für LE- und Versandetiketten eingerichtet werden. Der Bürodrucker soll weiterhin für Lieferscheine verwendet werden.</w:t>
      </w:r>
    </w:p>
    <w:p>
      <w:pPr>
        <w:tabs>
          <w:tab w:pos="425" w:val="left"/>
        </w:tabs>
        <w:spacing w:after="60"/>
        <w:ind w:left="425" w:hanging="425"/>
      </w:pPr>
      <w:r>
        <w:rPr>
          <w:b/>
        </w:rPr>
        <w:t>1.</w:t>
        <w:tab/>
      </w:r>
      <w:r>
        <w:rPr>
          <w:b/>
        </w:rPr>
        <w:t>RM020</w:t>
      </w:r>
      <w:r>
        <w:t xml:space="preserve">: Seitengröße </w:t>
      </w:r>
      <w:r>
        <w:rPr>
          <w:rFonts w:ascii="Consolas" w:hAnsi="Consolas" w:cs="Consolas" w:eastAsia="Consolas"/>
          <w:sz w:val="18"/>
        </w:rPr>
        <w:t>100x150</w:t>
      </w:r>
      <w:r>
        <w:t xml:space="preserve"> anlegen, Status Normal.</w:t>
      </w:r>
    </w:p>
    <w:p>
      <w:pPr>
        <w:tabs>
          <w:tab w:pos="425" w:val="left"/>
        </w:tabs>
        <w:spacing w:after="60"/>
        <w:ind w:left="425" w:hanging="425"/>
      </w:pPr>
      <w:r>
        <w:rPr>
          <w:b/>
        </w:rPr>
        <w:t>2.</w:t>
        <w:tab/>
      </w:r>
      <w:r>
        <w:rPr>
          <w:b/>
        </w:rPr>
        <w:t>RM021</w:t>
      </w:r>
      <w:r>
        <w:t xml:space="preserve">: Auflösung </w:t>
      </w:r>
      <w:r>
        <w:rPr>
          <w:rFonts w:ascii="Consolas" w:hAnsi="Consolas" w:cs="Consolas" w:eastAsia="Consolas"/>
          <w:sz w:val="18"/>
        </w:rPr>
        <w:t>203</w:t>
      </w:r>
      <w:r>
        <w:t xml:space="preserve"> dpi anlegen, Status Normal.</w:t>
      </w:r>
    </w:p>
    <w:p>
      <w:pPr>
        <w:tabs>
          <w:tab w:pos="425" w:val="left"/>
        </w:tabs>
        <w:spacing w:after="60"/>
        <w:ind w:left="425" w:hanging="425"/>
      </w:pPr>
      <w:r>
        <w:rPr>
          <w:b/>
        </w:rPr>
        <w:t>3.</w:t>
        <w:tab/>
      </w:r>
      <w:r>
        <w:rPr>
          <w:b/>
        </w:rPr>
        <w:t>RM015</w:t>
      </w:r>
      <w:r>
        <w:t xml:space="preserve">: Druckertyp </w:t>
      </w:r>
      <w:r>
        <w:rPr>
          <w:rFonts w:ascii="Consolas" w:hAnsi="Consolas" w:cs="Consolas" w:eastAsia="Consolas"/>
          <w:sz w:val="18"/>
        </w:rPr>
        <w:t>ZPL_ETIKETT</w:t>
      </w:r>
      <w:r>
        <w:t xml:space="preserve"> anlegen, Seitengröße </w:t>
      </w:r>
      <w:r>
        <w:rPr>
          <w:rFonts w:ascii="Consolas" w:hAnsi="Consolas" w:cs="Consolas" w:eastAsia="Consolas"/>
          <w:sz w:val="18"/>
        </w:rPr>
        <w:t>100x150</w:t>
      </w:r>
      <w:r>
        <w:t xml:space="preserve">, Auflösung </w:t>
      </w:r>
      <w:r>
        <w:rPr>
          <w:rFonts w:ascii="Consolas" w:hAnsi="Consolas" w:cs="Consolas" w:eastAsia="Consolas"/>
          <w:sz w:val="18"/>
        </w:rPr>
        <w:t>203</w:t>
      </w:r>
      <w:r>
        <w:t xml:space="preserve"> und Format ZPL II als unterstützt markieren, Druckbefehl wählen.</w:t>
      </w:r>
    </w:p>
    <w:p>
      <w:pPr>
        <w:tabs>
          <w:tab w:pos="425" w:val="left"/>
        </w:tabs>
        <w:spacing w:after="60"/>
        <w:ind w:left="425" w:hanging="425"/>
      </w:pPr>
      <w:r>
        <w:rPr>
          <w:b/>
        </w:rPr>
        <w:t>4.</w:t>
        <w:tab/>
      </w:r>
      <w:r>
        <w:rPr>
          <w:b/>
        </w:rPr>
        <w:t>RM011</w:t>
      </w:r>
      <w:r>
        <w:t xml:space="preserve">: Drucker </w:t>
      </w:r>
      <w:r>
        <w:rPr>
          <w:rFonts w:ascii="Consolas" w:hAnsi="Consolas" w:cs="Consolas" w:eastAsia="Consolas"/>
          <w:sz w:val="18"/>
        </w:rPr>
        <w:t>ETI_VERSAND1</w:t>
      </w:r>
      <w:r>
        <w:t xml:space="preserve"> anlegen: Lagerstandort, Druckertyp </w:t>
      </w:r>
      <w:r>
        <w:rPr>
          <w:rFonts w:ascii="Consolas" w:hAnsi="Consolas" w:cs="Consolas" w:eastAsia="Consolas"/>
          <w:sz w:val="18"/>
        </w:rPr>
        <w:t>ZPL_ETIKETT</w:t>
      </w:r>
      <w:r>
        <w:t xml:space="preserve">, </w:t>
      </w:r>
      <w:r>
        <w:rPr>
          <w:rFonts w:ascii="Consolas" w:hAnsi="Consolas" w:cs="Consolas" w:eastAsia="Consolas"/>
          <w:sz w:val="18"/>
        </w:rPr>
        <w:t>Druckerreihenfolge</w:t>
      </w:r>
      <w:r>
        <w:t xml:space="preserve"> 10, </w:t>
      </w:r>
      <w:r>
        <w:rPr>
          <w:rFonts w:ascii="Consolas" w:hAnsi="Consolas" w:cs="Consolas" w:eastAsia="Consolas"/>
          <w:sz w:val="18"/>
        </w:rPr>
        <w:t>Drucksystem ID</w:t>
      </w:r>
      <w:r>
        <w:t xml:space="preserve"> = IP-Adresse, </w:t>
      </w:r>
      <w:r>
        <w:rPr>
          <w:rFonts w:ascii="Consolas" w:hAnsi="Consolas" w:cs="Consolas" w:eastAsia="Consolas"/>
          <w:sz w:val="18"/>
        </w:rPr>
        <w:t>Kurzkennung</w:t>
      </w:r>
      <w:r>
        <w:t xml:space="preserve"> für Barcode-Auswahl.</w:t>
      </w:r>
    </w:p>
    <w:p>
      <w:pPr>
        <w:tabs>
          <w:tab w:pos="425" w:val="left"/>
        </w:tabs>
        <w:spacing w:after="60"/>
        <w:ind w:left="425" w:hanging="425"/>
      </w:pPr>
      <w:r>
        <w:rPr>
          <w:b/>
        </w:rPr>
        <w:t>5.</w:t>
        <w:tab/>
      </w:r>
      <w:r>
        <w:rPr>
          <w:b/>
        </w:rPr>
        <w:t>RM017</w:t>
      </w:r>
      <w:r>
        <w:t xml:space="preserve">: Zuordnung Lagerstandort + Drucker </w:t>
      </w:r>
      <w:r>
        <w:rPr>
          <w:rFonts w:ascii="Consolas" w:hAnsi="Consolas" w:cs="Consolas" w:eastAsia="Consolas"/>
          <w:sz w:val="18"/>
        </w:rPr>
        <w:t>ETI_VERSAND1</w:t>
      </w:r>
      <w:r>
        <w:t xml:space="preserve"> + </w:t>
      </w:r>
      <w:r>
        <w:rPr>
          <w:rFonts w:ascii="Consolas" w:hAnsi="Consolas" w:cs="Consolas" w:eastAsia="Consolas"/>
          <w:sz w:val="18"/>
        </w:rPr>
        <w:t>Physischer Lagerbereich</w:t>
      </w:r>
      <w:r>
        <w:t xml:space="preserve"> </w:t>
      </w:r>
      <w:r>
        <w:rPr>
          <w:rFonts w:ascii="Consolas" w:hAnsi="Consolas" w:cs="Consolas" w:eastAsia="Consolas"/>
          <w:sz w:val="18"/>
        </w:rPr>
        <w:t>VERSAND1</w:t>
      </w:r>
      <w:r>
        <w:t xml:space="preserve"> (optional Terminal des Versandtisch-PCs).</w:t>
      </w:r>
    </w:p>
    <w:p>
      <w:pPr>
        <w:tabs>
          <w:tab w:pos="425" w:val="left"/>
        </w:tabs>
        <w:spacing w:after="60"/>
        <w:ind w:left="425" w:hanging="425"/>
      </w:pPr>
      <w:r>
        <w:rPr>
          <w:b/>
        </w:rPr>
        <w:t>6.</w:t>
        <w:tab/>
      </w:r>
      <w:r>
        <w:rPr>
          <w:b/>
        </w:rPr>
        <w:t>RM003/RM005</w:t>
      </w:r>
      <w:r>
        <w:t xml:space="preserve">: Prüfen, ob das LE-Etikett-Layout auf Seitengröße </w:t>
      </w:r>
      <w:r>
        <w:rPr>
          <w:rFonts w:ascii="Consolas" w:hAnsi="Consolas" w:cs="Consolas" w:eastAsia="Consolas"/>
          <w:sz w:val="18"/>
        </w:rPr>
        <w:t>100x150</w:t>
      </w:r>
      <w:r>
        <w:t xml:space="preserve"> und 203 dpi steht und die Konfiguration einen Druckkanal enthält. Sonst angepasste Konfiguration anlegen und in </w:t>
      </w:r>
      <w:r>
        <w:rPr>
          <w:b/>
        </w:rPr>
        <w:t>RM010</w:t>
      </w:r>
      <w:r>
        <w:t xml:space="preserve"> zuordnen.</w:t>
      </w:r>
    </w:p>
    <w:p>
      <w:pPr>
        <w:tabs>
          <w:tab w:pos="425" w:val="left"/>
        </w:tabs>
        <w:spacing w:after="60"/>
        <w:ind w:left="425" w:hanging="425"/>
      </w:pPr>
      <w:r>
        <w:rPr>
          <w:b/>
        </w:rPr>
        <w:t>7.</w:t>
        <w:tab/>
      </w:r>
      <w:r>
        <w:t xml:space="preserve">Test über </w:t>
      </w:r>
      <w:r>
        <w:rPr>
          <w:b/>
        </w:rPr>
        <w:t>SM023</w:t>
      </w:r>
      <w:r>
        <w:t xml:space="preserve"> → </w:t>
      </w:r>
      <w:r>
        <w:rPr>
          <w:b/>
        </w:rPr>
        <w:t>Etikett drucken</w:t>
      </w:r>
      <w:r>
        <w:t xml:space="preserve">: In </w:t>
      </w:r>
      <w:r>
        <w:rPr>
          <w:b/>
        </w:rPr>
        <w:t>RM001</w:t>
      </w:r>
      <w:r>
        <w:t xml:space="preserve"> muss </w:t>
      </w:r>
      <w:r>
        <w:rPr>
          <w:rFonts w:ascii="Consolas" w:hAnsi="Consolas" w:cs="Consolas" w:eastAsia="Consolas"/>
          <w:sz w:val="18"/>
        </w:rPr>
        <w:t>ETI_VERSAND1</w:t>
      </w:r>
      <w:r>
        <w:t xml:space="preserve"> vorausgewählt sein.</w:t>
      </w:r>
    </w:p>
    <w:p>
      <w:pPr>
        <w:pStyle w:val="Quelle"/>
      </w:pPr>
      <w:r>
        <w:rPr>
          <w:b/>
        </w:rPr>
        <w:t xml:space="preserve">Quelle: </w:t>
      </w:r>
      <w:r>
        <w:rPr>
          <w:sz w:val="17"/>
        </w:rPr>
        <w:t>Vorgehen nach Administratorhandbuch 2.7, Kap. 3.8.1–3.8.2; Werte konstruiert</w:t>
      </w:r>
    </w:p>
    <w:p>
      <w:pPr>
        <w:pStyle w:val="Heading2"/>
      </w:pPr>
      <w:r>
        <w:t>11.2 Lieferschein automatisch drucken und archivieren</w:t>
      </w:r>
    </w:p>
    <w:p>
      <w:r>
        <w:t xml:space="preserve">Beispiel (konstruiert, bitte prüfen): Für den Kommissionierbedarfstyp </w:t>
      </w:r>
      <w:r>
        <w:rPr>
          <w:rFonts w:ascii="Consolas" w:hAnsi="Consolas" w:cs="Consolas" w:eastAsia="Consolas"/>
          <w:sz w:val="18"/>
        </w:rPr>
        <w:t>SHPG</w:t>
      </w:r>
      <w:r>
        <w:t xml:space="preserve"> des Klienten </w:t>
      </w:r>
      <w:r>
        <w:rPr>
          <w:rFonts w:ascii="Consolas" w:hAnsi="Consolas" w:cs="Consolas" w:eastAsia="Consolas"/>
          <w:sz w:val="18"/>
        </w:rPr>
        <w:t>DEFAULT</w:t>
      </w:r>
      <w:r>
        <w:t xml:space="preserve"> soll nach Abschluss jedes Bedarfs automatisch ein Lieferschein gedruckt und zusätzlich archiviert werden.</w:t>
      </w:r>
    </w:p>
    <w:p>
      <w:pPr>
        <w:tabs>
          <w:tab w:pos="425" w:val="left"/>
        </w:tabs>
        <w:spacing w:after="60"/>
        <w:ind w:left="425" w:hanging="425"/>
      </w:pPr>
      <w:r>
        <w:rPr>
          <w:b/>
        </w:rPr>
        <w:t>1.</w:t>
        <w:tab/>
      </w:r>
      <w:r>
        <w:rPr>
          <w:b/>
        </w:rPr>
        <w:t>MD017</w:t>
      </w:r>
      <w:r>
        <w:t xml:space="preserve"> → Klient </w:t>
      </w:r>
      <w:r>
        <w:rPr>
          <w:rFonts w:ascii="Consolas" w:hAnsi="Consolas" w:cs="Consolas" w:eastAsia="Consolas"/>
          <w:sz w:val="18"/>
        </w:rPr>
        <w:t>DEFAULT</w:t>
      </w:r>
      <w:r>
        <w:t xml:space="preserve"> → Registerkarte </w:t>
      </w:r>
      <w:r>
        <w:rPr>
          <w:b/>
        </w:rPr>
        <w:t>Kommissionierbedarfstyp</w:t>
      </w:r>
      <w:r>
        <w:t xml:space="preserve"> → Typ </w:t>
      </w:r>
      <w:r>
        <w:rPr>
          <w:rFonts w:ascii="Consolas" w:hAnsi="Consolas" w:cs="Consolas" w:eastAsia="Consolas"/>
          <w:sz w:val="18"/>
        </w:rPr>
        <w:t>SHPG</w:t>
      </w:r>
      <w:r>
        <w:t xml:space="preserve"> → Checkbox </w:t>
      </w:r>
      <w:r>
        <w:rPr>
          <w:b/>
        </w:rPr>
        <w:t>Kommissionierlieferschein drucken</w:t>
      </w:r>
      <w:r>
        <w:t xml:space="preserve"> aktivieren.</w:t>
      </w:r>
    </w:p>
    <w:p>
      <w:pPr>
        <w:tabs>
          <w:tab w:pos="425" w:val="left"/>
        </w:tabs>
        <w:spacing w:after="60"/>
        <w:ind w:left="425" w:hanging="425"/>
      </w:pPr>
      <w:r>
        <w:rPr>
          <w:b/>
        </w:rPr>
        <w:t>2.</w:t>
        <w:tab/>
      </w:r>
      <w:r>
        <w:rPr>
          <w:b/>
        </w:rPr>
        <w:t>RM005</w:t>
      </w:r>
      <w:r>
        <w:t>: In der Konfiguration des Lieferscheins neben dem Druckkanal einen Archivkanal anlegen.</w:t>
      </w:r>
    </w:p>
    <w:p>
      <w:pPr>
        <w:tabs>
          <w:tab w:pos="425" w:val="left"/>
        </w:tabs>
        <w:spacing w:after="60"/>
        <w:ind w:left="425" w:hanging="425"/>
      </w:pPr>
      <w:r>
        <w:rPr>
          <w:b/>
        </w:rPr>
        <w:t>3.</w:t>
        <w:tab/>
      </w:r>
      <w:r>
        <w:rPr>
          <w:b/>
        </w:rPr>
        <w:t>RM010</w:t>
      </w:r>
      <w:r>
        <w:t xml:space="preserve">: Sicherstellen, dass eine Zuordnung für die Konfiguration existiert (ohne Kriterien oder mit </w:t>
      </w:r>
      <w:r>
        <w:rPr>
          <w:rFonts w:ascii="Consolas" w:hAnsi="Consolas" w:cs="Consolas" w:eastAsia="Consolas"/>
          <w:sz w:val="18"/>
        </w:rPr>
        <w:t>Klient</w:t>
      </w:r>
      <w:r>
        <w:t xml:space="preserve"> = </w:t>
      </w:r>
      <w:r>
        <w:rPr>
          <w:rFonts w:ascii="Consolas" w:hAnsi="Consolas" w:cs="Consolas" w:eastAsia="Consolas"/>
          <w:sz w:val="18"/>
        </w:rPr>
        <w:t>DEFAULT</w:t>
      </w:r>
      <w:r>
        <w:t>).</w:t>
      </w:r>
    </w:p>
    <w:p>
      <w:pPr>
        <w:tabs>
          <w:tab w:pos="425" w:val="left"/>
        </w:tabs>
        <w:spacing w:after="60"/>
        <w:ind w:left="425" w:hanging="425"/>
      </w:pPr>
      <w:r>
        <w:rPr>
          <w:b/>
        </w:rPr>
        <w:t>4.</w:t>
        <w:tab/>
      </w:r>
      <w:r>
        <w:rPr>
          <w:b/>
        </w:rPr>
        <w:t>RM011/RM017</w:t>
      </w:r>
      <w:r>
        <w:t>: Am Ort des Kommissionierplatzes einen aktiven Standarddrucker sicherstellen.</w:t>
      </w:r>
    </w:p>
    <w:p>
      <w:pPr>
        <w:tabs>
          <w:tab w:pos="425" w:val="left"/>
        </w:tabs>
        <w:spacing w:after="60"/>
        <w:ind w:left="425" w:hanging="425"/>
      </w:pPr>
      <w:r>
        <w:rPr>
          <w:b/>
        </w:rPr>
        <w:t>5.</w:t>
        <w:tab/>
      </w:r>
      <w:r>
        <w:t>Kommissionierbedarf per Schnittstelle (</w:t>
      </w:r>
      <w:r>
        <w:rPr>
          <w:rFonts w:ascii="Consolas" w:hAnsi="Consolas" w:cs="Consolas" w:eastAsia="Consolas"/>
          <w:sz w:val="18"/>
        </w:rPr>
        <w:t>WLSPD002</w:t>
      </w:r>
      <w:r>
        <w:t xml:space="preserve"> mit </w:t>
      </w:r>
      <w:r>
        <w:rPr>
          <w:rFonts w:ascii="Consolas" w:hAnsi="Consolas" w:cs="Consolas" w:eastAsia="Consolas"/>
          <w:sz w:val="18"/>
        </w:rPr>
        <w:t>typeId</w:t>
      </w:r>
      <w:r>
        <w:t xml:space="preserve"> = </w:t>
      </w:r>
      <w:r>
        <w:rPr>
          <w:rFonts w:ascii="Consolas" w:hAnsi="Consolas" w:cs="Consolas" w:eastAsia="Consolas"/>
          <w:sz w:val="18"/>
        </w:rPr>
        <w:t>SHPG</w:t>
      </w:r>
      <w:r>
        <w:t xml:space="preserve">) oder in </w:t>
      </w:r>
      <w:r>
        <w:rPr>
          <w:b/>
        </w:rPr>
        <w:t>LM087</w:t>
      </w:r>
      <w:r>
        <w:t xml:space="preserve"> anlegen, kommissionieren, abschließen.</w:t>
      </w:r>
    </w:p>
    <w:p>
      <w:pPr>
        <w:tabs>
          <w:tab w:pos="425" w:val="left"/>
        </w:tabs>
        <w:spacing w:after="60"/>
        <w:ind w:left="425" w:hanging="425"/>
      </w:pPr>
      <w:r>
        <w:rPr>
          <w:b/>
        </w:rPr>
        <w:t>6.</w:t>
        <w:tab/>
      </w:r>
      <w:r>
        <w:t xml:space="preserve">Kontrolle: Druck erfolgt; das Dokument ist in </w:t>
      </w:r>
      <w:r>
        <w:rPr>
          <w:b/>
        </w:rPr>
        <w:t>RM018</w:t>
      </w:r>
      <w:r>
        <w:t xml:space="preserve"> auffindbar und kann nachgedruckt werden.</w:t>
      </w:r>
    </w:p>
    <w:p>
      <w:pPr>
        <w:pStyle w:val="Quelle"/>
      </w:pPr>
      <w:r>
        <w:rPr>
          <w:b/>
        </w:rPr>
        <w:t xml:space="preserve">Quelle: </w:t>
      </w:r>
      <w:r>
        <w:rPr>
          <w:sz w:val="17"/>
        </w:rPr>
        <w:t xml:space="preserve">Administratorhandbuch 2.7, Kap. 3.6.1.10, 3.7.2.3, 3.7.2.5, 3.8; Benutzerhandbuch 2.7, Kap. 6.8.1.5; Telegrammbeispiel PD </w:t>
      </w:r>
      <w:r>
        <w:rPr>
          <w:rFonts w:ascii="Consolas" w:hAnsi="Consolas" w:cs="Consolas" w:eastAsia="Consolas"/>
          <w:sz w:val="15"/>
        </w:rPr>
        <w:t>pd4_part.xml</w:t>
      </w:r>
      <w:r>
        <w:rPr>
          <w:sz w:val="17"/>
        </w:rPr>
        <w:t xml:space="preserve"> (Typ </w:t>
      </w:r>
      <w:r>
        <w:rPr>
          <w:rFonts w:ascii="Consolas" w:hAnsi="Consolas" w:cs="Consolas" w:eastAsia="Consolas"/>
          <w:sz w:val="15"/>
        </w:rPr>
        <w:t>SHPG</w:t>
      </w:r>
      <w:r>
        <w:rPr>
          <w:sz w:val="17"/>
        </w:rPr>
        <w:t>)</w:t>
      </w:r>
    </w:p>
    <w:p>
      <w:pPr>
        <w:pStyle w:val="Heading1"/>
      </w:pPr>
      <w:r>
        <w:t>12 Dokumentationslücken und offene Fragen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 aus der Recherche</w:t>
            </w:r>
          </w:p>
          <w:p>
            <w:pPr>
              <w:spacing w:after="40"/>
            </w:pPr>
            <w:r>
              <w:rPr>
                <w:sz w:val="19"/>
              </w:rPr>
              <w:t>1. Rangfolge mehrerer passender Zuordnungen in RM010 (spezifisch vor allgemein?) ist nicht beschrieben.</w:t>
            </w:r>
          </w:p>
          <w:p>
            <w:pPr>
              <w:spacing w:after="40"/>
            </w:pPr>
            <w:r>
              <w:rPr>
                <w:sz w:val="19"/>
              </w:rPr>
              <w:t xml:space="preserve">2. Zusammenspiel von Checkbox </w:t>
            </w:r>
            <w:r>
              <w:rPr>
                <w:rFonts w:ascii="Consolas" w:hAnsi="Consolas" w:cs="Consolas" w:eastAsia="Consolas"/>
                <w:sz w:val="17"/>
              </w:rPr>
              <w:t>Standard</w:t>
            </w:r>
            <w:r>
              <w:rPr>
                <w:sz w:val="19"/>
              </w:rPr>
              <w:t xml:space="preserve"> (RM011) und „kein Druck ohne Druckerortzuordnung“ ist unklar.</w:t>
            </w:r>
          </w:p>
          <w:p>
            <w:pPr>
              <w:spacing w:after="40"/>
            </w:pPr>
            <w:r>
              <w:rPr>
                <w:sz w:val="19"/>
              </w:rPr>
              <w:t>3. Gültigkeitsbereich der Versandart in RM010 ist widersprüchlich dokumentiert.</w:t>
            </w:r>
          </w:p>
          <w:p>
            <w:pPr>
              <w:spacing w:after="40"/>
            </w:pPr>
            <w:r>
              <w:rPr>
                <w:sz w:val="19"/>
              </w:rPr>
              <w:t>4. Dialogkennung „Dokument erzeugen“: RM001 (Benutzerhandbuch) oder RM100 (Administratorhandbuch)?</w:t>
            </w:r>
          </w:p>
          <w:p>
            <w:pPr>
              <w:spacing w:after="40"/>
            </w:pPr>
            <w:r>
              <w:rPr>
                <w:sz w:val="19"/>
              </w:rPr>
              <w:t xml:space="preserve">5. </w:t>
            </w:r>
            <w:r>
              <w:rPr>
                <w:rFonts w:ascii="Consolas" w:hAnsi="Consolas" w:cs="Consolas" w:eastAsia="Consolas"/>
                <w:sz w:val="17"/>
              </w:rPr>
              <w:t>logimat.picking.printingDeliveryNote</w:t>
            </w:r>
            <w:r>
              <w:rPr>
                <w:sz w:val="19"/>
              </w:rPr>
              <w:t xml:space="preserve"> nur im Installationshandbuch; Werte und Verhältnis zur Bedarfstyp-Checkbox fehlen.</w:t>
            </w:r>
          </w:p>
          <w:p>
            <w:pPr>
              <w:spacing w:after="40"/>
            </w:pPr>
            <w:r>
              <w:rPr>
                <w:sz w:val="19"/>
              </w:rPr>
              <w:t>6. Liste der ausgelieferten Standard-Dokumenttypen und deren Data-Stage-Konfigurationen ist in keinem Handbuch tabellarisch enthalten.</w:t>
            </w:r>
          </w:p>
          <w:p>
            <w:pPr>
              <w:spacing w:after="40"/>
            </w:pPr>
            <w:r>
              <w:rPr>
                <w:sz w:val="19"/>
              </w:rPr>
              <w:t>7. Parameter des Archivkanals sind nicht beschrieben.</w:t>
            </w:r>
          </w:p>
        </w:tc>
      </w:tr>
    </w:tbl>
    <w:p>
      <w:pPr>
        <w:spacing w:after="40"/>
      </w:pPr>
    </w:p>
    <w:p>
      <w:pPr>
        <w:pStyle w:val="Heading1"/>
      </w:pPr>
      <w:r>
        <w:t>13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3969"/>
        <w:gridCol w:w="4762"/>
      </w:tblGrid>
      <w:tr>
        <w:trPr>
          <w:tblHeader w:val="true"/>
        </w:trPr>
        <w:tc>
          <w:tcPr>
            <w:tcW w:type="dxa" w:w="794"/>
            <w:shd w:val="clear" w:color="auto" w:fill="FEEE19"/>
          </w:tcPr>
          <w:p>
            <w:pPr>
              <w:spacing w:after="0"/>
            </w:pPr>
            <w:r>
              <w:rPr>
                <w:b/>
                <w:sz w:val="17"/>
              </w:rPr>
              <w:t>Kürzel</w:t>
            </w:r>
          </w:p>
        </w:tc>
        <w:tc>
          <w:tcPr>
            <w:tcW w:type="dxa" w:w="3969"/>
            <w:shd w:val="clear" w:color="auto" w:fill="FEEE19"/>
          </w:tcPr>
          <w:p>
            <w:pPr>
              <w:spacing w:after="0"/>
            </w:pPr>
            <w:r>
              <w:rPr>
                <w:b/>
                <w:sz w:val="17"/>
              </w:rPr>
              <w:t>Dokument</w:t>
            </w:r>
          </w:p>
        </w:tc>
        <w:tc>
          <w:tcPr>
            <w:tcW w:type="dxa" w:w="4762"/>
            <w:shd w:val="clear" w:color="auto" w:fill="FEEE19"/>
          </w:tcPr>
          <w:p>
            <w:pPr>
              <w:spacing w:after="0"/>
            </w:pPr>
            <w:r>
              <w:rPr>
                <w:b/>
                <w:sz w:val="17"/>
              </w:rPr>
              <w:t>Verwendete Kapitel</w:t>
            </w:r>
          </w:p>
        </w:tc>
      </w:tr>
      <w:tr>
        <w:tc>
          <w:tcPr>
            <w:tcW w:type="dxa" w:w="794"/>
          </w:tcPr>
          <w:p>
            <w:pPr>
              <w:spacing w:after="0" w:line="252" w:lineRule="auto"/>
            </w:pPr>
            <w:r>
              <w:rPr>
                <w:sz w:val="17"/>
              </w:rPr>
              <w:t>AH 2.7</w:t>
            </w:r>
          </w:p>
        </w:tc>
        <w:tc>
          <w:tcPr>
            <w:tcW w:type="dxa" w:w="3969"/>
          </w:tcPr>
          <w:p>
            <w:pPr>
              <w:spacing w:after="0" w:line="252" w:lineRule="auto"/>
            </w:pPr>
            <w:r>
              <w:rPr>
                <w:sz w:val="17"/>
              </w:rPr>
              <w:t>WAMAS.LS_2.7_man.administrator_V01.0_deDE</w:t>
            </w:r>
          </w:p>
        </w:tc>
        <w:tc>
          <w:tcPr>
            <w:tcW w:type="dxa" w:w="4762"/>
          </w:tcPr>
          <w:p>
            <w:pPr>
              <w:spacing w:after="0" w:line="252" w:lineRule="auto"/>
            </w:pPr>
            <w:r>
              <w:rPr>
                <w:sz w:val="17"/>
              </w:rPr>
              <w:t>3.6.1.10–3.6.1.11, 3.6.2, 3.6.3.7, 3.7, 3.8, 3.10, 3.11.2–3.11.3</w:t>
            </w:r>
          </w:p>
        </w:tc>
      </w:tr>
      <w:tr>
        <w:tc>
          <w:tcPr>
            <w:tcW w:type="dxa" w:w="794"/>
          </w:tcPr>
          <w:p>
            <w:pPr>
              <w:spacing w:after="0" w:line="252" w:lineRule="auto"/>
            </w:pPr>
            <w:r>
              <w:rPr>
                <w:sz w:val="17"/>
              </w:rPr>
              <w:t>BH 2.7</w:t>
            </w:r>
          </w:p>
        </w:tc>
        <w:tc>
          <w:tcPr>
            <w:tcW w:type="dxa" w:w="3969"/>
          </w:tcPr>
          <w:p>
            <w:pPr>
              <w:spacing w:after="0" w:line="252" w:lineRule="auto"/>
            </w:pPr>
            <w:r>
              <w:rPr>
                <w:sz w:val="17"/>
              </w:rPr>
              <w:t>WAMAS.LS_2.7_man.user_V01.0_deDE</w:t>
            </w:r>
          </w:p>
        </w:tc>
        <w:tc>
          <w:tcPr>
            <w:tcW w:type="dxa" w:w="4762"/>
          </w:tcPr>
          <w:p>
            <w:pPr>
              <w:spacing w:after="0" w:line="252" w:lineRule="auto"/>
            </w:pPr>
            <w:r>
              <w:rPr>
                <w:sz w:val="17"/>
              </w:rPr>
              <w:t>6.2.1.1, 6.2.2.1, 6.7.1, 6.8, 8.1</w:t>
            </w:r>
          </w:p>
        </w:tc>
      </w:tr>
      <w:tr>
        <w:tc>
          <w:tcPr>
            <w:tcW w:type="dxa" w:w="794"/>
          </w:tcPr>
          <w:p>
            <w:pPr>
              <w:spacing w:after="0" w:line="252" w:lineRule="auto"/>
            </w:pPr>
            <w:r>
              <w:rPr>
                <w:sz w:val="17"/>
              </w:rPr>
              <w:t>IH 2.7</w:t>
            </w:r>
          </w:p>
        </w:tc>
        <w:tc>
          <w:tcPr>
            <w:tcW w:type="dxa" w:w="3969"/>
          </w:tcPr>
          <w:p>
            <w:pPr>
              <w:spacing w:after="0" w:line="252" w:lineRule="auto"/>
            </w:pPr>
            <w:r>
              <w:rPr>
                <w:sz w:val="17"/>
              </w:rPr>
              <w:t>WAMAS.LS_2.7_man.installation_V01.1_enUS</w:t>
            </w:r>
          </w:p>
        </w:tc>
        <w:tc>
          <w:tcPr>
            <w:tcW w:type="dxa" w:w="4762"/>
          </w:tcPr>
          <w:p>
            <w:pPr>
              <w:spacing w:after="0" w:line="252" w:lineRule="auto"/>
            </w:pPr>
            <w:r>
              <w:rPr>
                <w:sz w:val="17"/>
              </w:rPr>
              <w:t>6.7 Global parameters</w:t>
            </w:r>
          </w:p>
        </w:tc>
      </w:tr>
      <w:tr>
        <w:tc>
          <w:tcPr>
            <w:tcW w:type="dxa" w:w="794"/>
          </w:tcPr>
          <w:p>
            <w:pPr>
              <w:spacing w:after="0" w:line="252" w:lineRule="auto"/>
            </w:pPr>
            <w:r>
              <w:rPr>
                <w:sz w:val="17"/>
              </w:rPr>
              <w:t>SH ERP 2.7</w:t>
            </w:r>
          </w:p>
        </w:tc>
        <w:tc>
          <w:tcPr>
            <w:tcW w:type="dxa" w:w="3969"/>
          </w:tcPr>
          <w:p>
            <w:pPr>
              <w:spacing w:after="0" w:line="252" w:lineRule="auto"/>
            </w:pPr>
            <w:r>
              <w:rPr>
                <w:sz w:val="17"/>
              </w:rPr>
              <w:t>WAMAS.LS_2.7_man.interface.wls.erp_V01.0_enUS</w:t>
            </w:r>
          </w:p>
        </w:tc>
        <w:tc>
          <w:tcPr>
            <w:tcW w:type="dxa" w:w="4762"/>
          </w:tcPr>
          <w:p>
            <w:pPr>
              <w:spacing w:after="0" w:line="252" w:lineRule="auto"/>
            </w:pPr>
            <w:r>
              <w:rPr>
                <w:sz w:val="17"/>
              </w:rPr>
              <w:t>5.1.2.1 WLSITEM001 (</w:t>
            </w:r>
            <w:r>
              <w:rPr>
                <w:rFonts w:ascii="Consolas" w:hAnsi="Consolas" w:cs="Consolas" w:eastAsia="Consolas"/>
                <w:sz w:val="15"/>
              </w:rPr>
              <w:t>printPickingLabel</w:t>
            </w:r>
            <w:r>
              <w:rPr>
                <w:sz w:val="17"/>
              </w:rPr>
              <w:t>), 7.1.2 WLSPD002</w:t>
            </w:r>
          </w:p>
        </w:tc>
      </w:tr>
      <w:tr>
        <w:tc>
          <w:tcPr>
            <w:tcW w:type="dxa" w:w="794"/>
          </w:tcPr>
          <w:p>
            <w:pPr>
              <w:spacing w:after="0" w:line="252" w:lineRule="auto"/>
            </w:pPr>
            <w:r>
              <w:rPr>
                <w:sz w:val="17"/>
              </w:rPr>
              <w:t>AH 2.8</w:t>
            </w:r>
          </w:p>
        </w:tc>
        <w:tc>
          <w:tcPr>
            <w:tcW w:type="dxa" w:w="3969"/>
          </w:tcPr>
          <w:p>
            <w:pPr>
              <w:spacing w:after="0" w:line="252" w:lineRule="auto"/>
            </w:pPr>
            <w:r>
              <w:rPr>
                <w:sz w:val="17"/>
              </w:rPr>
              <w:t>WAMAS.LS_2.8 Administrator Manual (enUS)</w:t>
            </w:r>
          </w:p>
        </w:tc>
        <w:tc>
          <w:tcPr>
            <w:tcW w:type="dxa" w:w="4762"/>
          </w:tcPr>
          <w:p>
            <w:pPr>
              <w:spacing w:after="0" w:line="252" w:lineRule="auto"/>
            </w:pPr>
            <w:r>
              <w:rPr>
                <w:sz w:val="17"/>
              </w:rPr>
              <w:t>3.7–3.8 (Abgleich)</w:t>
            </w:r>
          </w:p>
        </w:tc>
      </w:tr>
      <w:tr>
        <w:tc>
          <w:tcPr>
            <w:tcW w:type="dxa" w:w="794"/>
          </w:tcPr>
          <w:p>
            <w:pPr>
              <w:spacing w:after="0" w:line="252" w:lineRule="auto"/>
            </w:pPr>
            <w:r>
              <w:rPr>
                <w:sz w:val="17"/>
              </w:rPr>
              <w:t>BH 2.8</w:t>
            </w:r>
          </w:p>
        </w:tc>
        <w:tc>
          <w:tcPr>
            <w:tcW w:type="dxa" w:w="3969"/>
          </w:tcPr>
          <w:p>
            <w:pPr>
              <w:spacing w:after="0" w:line="252" w:lineRule="auto"/>
            </w:pPr>
            <w:r>
              <w:rPr>
                <w:sz w:val="17"/>
              </w:rPr>
              <w:t>WAMAS.LS_2.8 User Manual (enUS)</w:t>
            </w:r>
          </w:p>
        </w:tc>
        <w:tc>
          <w:tcPr>
            <w:tcW w:type="dxa" w:w="4762"/>
          </w:tcPr>
          <w:p>
            <w:pPr>
              <w:spacing w:after="0" w:line="252" w:lineRule="auto"/>
            </w:pPr>
            <w:r>
              <w:rPr>
                <w:sz w:val="17"/>
              </w:rPr>
              <w:t>6.8 (Abgleich)</w:t>
            </w:r>
          </w:p>
        </w:tc>
      </w:tr>
      <w:tr>
        <w:tc>
          <w:tcPr>
            <w:tcW w:type="dxa" w:w="794"/>
          </w:tcPr>
          <w:p>
            <w:pPr>
              <w:spacing w:after="0" w:line="252" w:lineRule="auto"/>
            </w:pPr>
            <w:r>
              <w:rPr>
                <w:sz w:val="17"/>
              </w:rPr>
              <w:t>TB 2.7</w:t>
            </w:r>
          </w:p>
        </w:tc>
        <w:tc>
          <w:tcPr>
            <w:tcW w:type="dxa" w:w="3969"/>
          </w:tcPr>
          <w:p>
            <w:pPr>
              <w:spacing w:after="0" w:line="252" w:lineRule="auto"/>
            </w:pPr>
            <w:r>
              <w:rPr>
                <w:sz w:val="17"/>
              </w:rPr>
              <w:t>2.7.0_IN_OUT_CSV_TXT_XML_JSON (Telegrammbeispiele)</w:t>
            </w:r>
          </w:p>
        </w:tc>
        <w:tc>
          <w:tcPr>
            <w:tcW w:type="dxa" w:w="4762"/>
          </w:tcPr>
          <w:p>
            <w:pPr>
              <w:spacing w:after="0" w:line="252" w:lineRule="auto"/>
            </w:pPr>
            <w:r>
              <w:rPr>
                <w:sz w:val="17"/>
              </w:rPr>
              <w:t>PD/with PARTNER/pd4_part.xml</w:t>
            </w:r>
          </w:p>
        </w:tc>
      </w:tr>
    </w:tbl>
    <w:p>
      <w:pPr>
        <w:pStyle w:val="BeschriftungSSI"/>
      </w:pPr>
      <w:r>
        <w:t>Tab. 18: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9"/>
        <w:gridCol w:w="8186"/>
      </w:tblGrid>
      <w:tr>
        <w:trPr>
          <w:tblHeader w:val="true"/>
        </w:trPr>
        <w:tc>
          <w:tcPr>
            <w:tcW w:type="dxa" w:w="1339"/>
            <w:shd w:val="clear" w:color="auto" w:fill="FEEE19"/>
          </w:tcPr>
          <w:p>
            <w:pPr>
              <w:spacing w:after="0"/>
            </w:pPr>
            <w:r>
              <w:rPr>
                <w:b/>
                <w:sz w:val="17"/>
              </w:rPr>
              <w:t>Abkürzung</w:t>
            </w:r>
          </w:p>
        </w:tc>
        <w:tc>
          <w:tcPr>
            <w:tcW w:type="dxa" w:w="8185"/>
            <w:shd w:val="clear" w:color="auto" w:fill="FEEE19"/>
          </w:tcPr>
          <w:p>
            <w:pPr>
              <w:spacing w:after="0"/>
            </w:pPr>
            <w:r>
              <w:rPr>
                <w:b/>
                <w:sz w:val="17"/>
              </w:rPr>
              <w:t>Bedeutung</w:t>
            </w:r>
          </w:p>
        </w:tc>
      </w:tr>
      <w:tr>
        <w:tc>
          <w:tcPr>
            <w:tcW w:type="dxa" w:w="1339"/>
          </w:tcPr>
          <w:p>
            <w:pPr>
              <w:spacing w:after="0" w:line="252" w:lineRule="auto"/>
            </w:pPr>
            <w:r>
              <w:rPr>
                <w:sz w:val="17"/>
              </w:rPr>
              <w:t>ABIA</w:t>
            </w:r>
          </w:p>
        </w:tc>
        <w:tc>
          <w:tcPr>
            <w:tcW w:type="dxa" w:w="8185"/>
          </w:tcPr>
          <w:p>
            <w:pPr>
              <w:spacing w:after="0" w:line="252" w:lineRule="auto"/>
            </w:pPr>
            <w:r>
              <w:rPr>
                <w:sz w:val="17"/>
              </w:rPr>
              <w:t>Anpassbares bestandsidentifizierendes Attribut</w:t>
            </w:r>
          </w:p>
        </w:tc>
      </w:tr>
      <w:tr>
        <w:tc>
          <w:tcPr>
            <w:tcW w:type="dxa" w:w="1339"/>
          </w:tcPr>
          <w:p>
            <w:pPr>
              <w:spacing w:after="0" w:line="252" w:lineRule="auto"/>
            </w:pPr>
            <w:r>
              <w:rPr>
                <w:sz w:val="17"/>
              </w:rPr>
              <w:t>LE</w:t>
            </w:r>
          </w:p>
        </w:tc>
        <w:tc>
          <w:tcPr>
            <w:tcW w:type="dxa" w:w="8185"/>
          </w:tcPr>
          <w:p>
            <w:pPr>
              <w:spacing w:after="0" w:line="252" w:lineRule="auto"/>
            </w:pPr>
            <w:r>
              <w:rPr>
                <w:sz w:val="17"/>
              </w:rPr>
              <w:t>Ladeeinheit</w:t>
            </w:r>
          </w:p>
        </w:tc>
      </w:tr>
      <w:tr>
        <w:tc>
          <w:tcPr>
            <w:tcW w:type="dxa" w:w="1339"/>
          </w:tcPr>
          <w:p>
            <w:pPr>
              <w:spacing w:after="0" w:line="252" w:lineRule="auto"/>
            </w:pPr>
            <w:r>
              <w:rPr>
                <w:sz w:val="17"/>
              </w:rPr>
              <w:t>WA</w:t>
            </w:r>
          </w:p>
        </w:tc>
        <w:tc>
          <w:tcPr>
            <w:tcW w:type="dxa" w:w="8185"/>
          </w:tcPr>
          <w:p>
            <w:pPr>
              <w:spacing w:after="0" w:line="252" w:lineRule="auto"/>
            </w:pPr>
            <w:r>
              <w:rPr>
                <w:sz w:val="17"/>
              </w:rPr>
              <w:t>Warenausgang</w:t>
            </w:r>
          </w:p>
        </w:tc>
      </w:tr>
      <w:tr>
        <w:tc>
          <w:tcPr>
            <w:tcW w:type="dxa" w:w="1339"/>
          </w:tcPr>
          <w:p>
            <w:pPr>
              <w:spacing w:after="0" w:line="252" w:lineRule="auto"/>
            </w:pPr>
            <w:r>
              <w:rPr>
                <w:sz w:val="17"/>
              </w:rPr>
              <w:t>ZPL II</w:t>
            </w:r>
          </w:p>
        </w:tc>
        <w:tc>
          <w:tcPr>
            <w:tcW w:type="dxa" w:w="8185"/>
          </w:tcPr>
          <w:p>
            <w:pPr>
              <w:spacing w:after="0" w:line="252" w:lineRule="auto"/>
            </w:pPr>
            <w:r>
              <w:rPr>
                <w:sz w:val="17"/>
              </w:rPr>
              <w:t>Zebra Programming Language II (Etikettendruckersprache)</w:t>
            </w:r>
          </w:p>
        </w:tc>
      </w:tr>
      <w:tr>
        <w:tc>
          <w:tcPr>
            <w:tcW w:type="dxa" w:w="1339"/>
          </w:tcPr>
          <w:p>
            <w:pPr>
              <w:spacing w:after="0" w:line="252" w:lineRule="auto"/>
            </w:pPr>
            <w:r>
              <w:rPr>
                <w:sz w:val="17"/>
              </w:rPr>
              <w:t>dpi</w:t>
            </w:r>
          </w:p>
        </w:tc>
        <w:tc>
          <w:tcPr>
            <w:tcW w:type="dxa" w:w="8185"/>
          </w:tcPr>
          <w:p>
            <w:pPr>
              <w:spacing w:after="0" w:line="252" w:lineRule="auto"/>
            </w:pPr>
            <w:r>
              <w:rPr>
                <w:sz w:val="17"/>
              </w:rPr>
              <w:t>Dots per Inch</w:t>
            </w:r>
          </w:p>
        </w:tc>
      </w:tr>
    </w:tbl>
    <w:p>
      <w:pPr>
        <w:pStyle w:val="BeschriftungSSI"/>
      </w:pPr>
      <w:r>
        <w:t>Tab. 19: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Dokumente drucken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Dokumente drucken</dc:title>
  <dc:subject>Drucker, Dokumenttypen, Layouts, Zuordnungen und Etiketten in WAMAS Lift &amp; Store</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