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Schulungsunterlage</w:t>
            </w:r>
          </w:p>
          <w:p>
            <w:pPr>
              <w:spacing w:after="120"/>
            </w:pPr>
            <w:r>
              <w:rPr>
                <w:b/>
                <w:sz w:val="48"/>
              </w:rPr>
              <w:t>Schulung Touch LOGIMAT</w:t>
            </w:r>
          </w:p>
          <w:p>
            <w:pPr>
              <w:spacing w:after="360"/>
            </w:pPr>
            <w:r>
              <w:rPr>
                <w:b w:val="0"/>
                <w:sz w:val="32"/>
              </w:rPr>
              <w:t>WAMAS Lift &amp; Store 2.8</w:t>
            </w:r>
          </w:p>
          <w:p>
            <w:pPr>
              <w:spacing w:after="0"/>
            </w:pPr>
            <w:r>
              <w:rPr>
                <w:b w:val="0"/>
                <w:sz w:val="22"/>
              </w:rPr>
              <w:t>Intern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Tablar anfordern, Boxen anlegen, Artikel zuordnen, einlagern, Tablar zurück</w:t>
            </w:r>
          </w:p>
          <w:p>
            <w:pPr>
              <w:spacing w:after="0"/>
            </w:pPr>
            <w:r>
              <w:rPr>
                <w:b w:val="0"/>
                <w:color w:val="555555"/>
                <w:sz w:val="18"/>
              </w:rPr>
              <w:t>SSI SCHÄFER</w:t>
            </w:r>
          </w:p>
        </w:tc>
      </w:tr>
    </w:tbl>
    <w:p>
      <w:pPr>
        <w:spacing w:before="8617"/>
      </w:pPr>
      <w:r>
        <w:rPr>
          <w:sz w:val="18"/>
        </w:rPr>
        <w:t>V 1.0  ·  18.10.2026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3</w:t>
      </w:r>
    </w:p>
    <w:p>
      <w:pPr>
        <w:pStyle w:val="TOC2"/>
        <w:tabs>
          <w:tab w:pos="9524" w:val="right" w:leader="dot"/>
        </w:tabs>
      </w:pPr>
      <w:r>
        <w:t>1.1 Zweck</w:t>
        <w:tab/>
        <w:t>3</w:t>
      </w:r>
    </w:p>
    <w:p>
      <w:pPr>
        <w:pStyle w:val="TOC2"/>
        <w:tabs>
          <w:tab w:pos="9524" w:val="right" w:leader="dot"/>
        </w:tabs>
      </w:pPr>
      <w:r>
        <w:t>1.2 Drei Regeln vorab</w:t>
        <w:tab/>
        <w:t>3</w:t>
      </w:r>
    </w:p>
    <w:p>
      <w:pPr>
        <w:pStyle w:val="TOC2"/>
        <w:tabs>
          <w:tab w:pos="9524" w:val="right" w:leader="dot"/>
        </w:tabs>
      </w:pPr>
      <w:r>
        <w:t>1.3 Dokumentinformationen</w:t>
        <w:tab/>
        <w:t>3</w:t>
      </w:r>
    </w:p>
    <w:p>
      <w:pPr>
        <w:pStyle w:val="TOC1"/>
        <w:tabs>
          <w:tab w:pos="9524" w:val="right" w:leader="dot"/>
        </w:tabs>
      </w:pPr>
      <w:r>
        <w:t>2 Anmelden und Dashboard</w:t>
        <w:tab/>
        <w:t>4</w:t>
      </w:r>
    </w:p>
    <w:p>
      <w:pPr>
        <w:pStyle w:val="TOC1"/>
        <w:tabs>
          <w:tab w:pos="9524" w:val="right" w:leader="dot"/>
        </w:tabs>
      </w:pPr>
      <w:r>
        <w:t>3 Tablar anfordern</w:t>
        <w:tab/>
        <w:t>6</w:t>
      </w:r>
    </w:p>
    <w:p>
      <w:pPr>
        <w:pStyle w:val="TOC1"/>
        <w:tabs>
          <w:tab w:pos="9524" w:val="right" w:leader="dot"/>
        </w:tabs>
      </w:pPr>
      <w:r>
        <w:t>4 Boxen anlegen</w:t>
        <w:tab/>
        <w:t>8</w:t>
      </w:r>
    </w:p>
    <w:p>
      <w:pPr>
        <w:pStyle w:val="TOC2"/>
        <w:tabs>
          <w:tab w:pos="9524" w:val="right" w:leader="dot"/>
        </w:tabs>
      </w:pPr>
      <w:r>
        <w:t>4.1 Box einzeln setzen</w:t>
        <w:tab/>
        <w:t>8</w:t>
      </w:r>
    </w:p>
    <w:p>
      <w:pPr>
        <w:pStyle w:val="TOC2"/>
        <w:tabs>
          <w:tab w:pos="9524" w:val="right" w:leader="dot"/>
        </w:tabs>
      </w:pPr>
      <w:r>
        <w:t>4.2 Tablar füllen</w:t>
        <w:tab/>
        <w:t>8</w:t>
      </w:r>
    </w:p>
    <w:p>
      <w:pPr>
        <w:pStyle w:val="TOC2"/>
        <w:tabs>
          <w:tab w:pos="9524" w:val="right" w:leader="dot"/>
        </w:tabs>
      </w:pPr>
      <w:r>
        <w:t>4.3 Vorlage speichern und laden</w:t>
        <w:tab/>
        <w:t>9</w:t>
      </w:r>
    </w:p>
    <w:p>
      <w:pPr>
        <w:pStyle w:val="TOC1"/>
        <w:tabs>
          <w:tab w:pos="9524" w:val="right" w:leader="dot"/>
        </w:tabs>
      </w:pPr>
      <w:r>
        <w:t>5 Artikel der Box zuordnen</w:t>
        <w:tab/>
        <w:t>11</w:t>
      </w:r>
    </w:p>
    <w:p>
      <w:pPr>
        <w:pStyle w:val="TOC1"/>
        <w:tabs>
          <w:tab w:pos="9524" w:val="right" w:leader="dot"/>
        </w:tabs>
      </w:pPr>
      <w:r>
        <w:t>6 Ware einlagern</w:t>
        <w:tab/>
        <w:t>12</w:t>
      </w:r>
    </w:p>
    <w:p>
      <w:pPr>
        <w:pStyle w:val="TOC1"/>
        <w:tabs>
          <w:tab w:pos="9524" w:val="right" w:leader="dot"/>
        </w:tabs>
      </w:pPr>
      <w:r>
        <w:t>7 Tablar zurückschicken</w:t>
        <w:tab/>
        <w:t>14</w:t>
      </w:r>
    </w:p>
    <w:p>
      <w:pPr>
        <w:pStyle w:val="TOC1"/>
        <w:tabs>
          <w:tab w:pos="9524" w:val="right" w:leader="dot"/>
        </w:tabs>
      </w:pPr>
      <w:r>
        <w:t>8 Kontrolle</w:t>
        <w:tab/>
        <w:t>15</w:t>
      </w:r>
    </w:p>
    <w:p>
      <w:pPr>
        <w:pStyle w:val="TOC1"/>
        <w:tabs>
          <w:tab w:pos="9524" w:val="right" w:leader="dot"/>
        </w:tabs>
      </w:pPr>
      <w:r>
        <w:t>9 Ausblick: Arbeiten mit Aufträgen</w:t>
        <w:tab/>
        <w:t>16</w:t>
      </w:r>
    </w:p>
    <w:p>
      <w:pPr>
        <w:pStyle w:val="TOC1"/>
        <w:tabs>
          <w:tab w:pos="9524" w:val="right" w:leader="dot"/>
        </w:tabs>
      </w:pPr>
      <w:r>
        <w:t>10 Stolperfallen</w:t>
        <w:tab/>
        <w:t>17</w:t>
      </w:r>
    </w:p>
    <w:p>
      <w:pPr>
        <w:pStyle w:val="TOC1"/>
        <w:tabs>
          <w:tab w:pos="9524" w:val="right" w:leader="dot"/>
        </w:tabs>
      </w:pPr>
      <w:r>
        <w:t>11 Praxisbeispiel: Neue Box mit Ware</w:t>
        <w:tab/>
        <w:t>18</w:t>
      </w:r>
    </w:p>
    <w:p>
      <w:pPr>
        <w:pStyle w:val="TOC1"/>
        <w:tabs>
          <w:tab w:pos="9524" w:val="right" w:leader="dot"/>
        </w:tabs>
      </w:pPr>
      <w:r>
        <w:t>12 Offene Punkte</w:t>
        <w:tab/>
        <w:t>19</w:t>
      </w:r>
    </w:p>
    <w:p>
      <w:pPr>
        <w:pStyle w:val="TOC1"/>
        <w:tabs>
          <w:tab w:pos="9524" w:val="right" w:leader="dot"/>
        </w:tabs>
      </w:pPr>
      <w:r>
        <w:t>13 Quellenverzeichnis</w:t>
        <w:tab/>
        <w:t>20</w:t>
      </w:r>
      <w:r>
        <w:fldChar w:fldCharType="end"/>
      </w:r>
    </w:p>
    <w:p>
      <w:pPr>
        <w:pStyle w:val="Heading1"/>
      </w:pPr>
      <w:r>
        <w:t>1 Über dieses Dokument</w:t>
      </w:r>
    </w:p>
    <w:p>
      <w:pPr>
        <w:pStyle w:val="Heading2"/>
      </w:pPr>
      <w:r>
        <w:t>1.1 Zweck</w:t>
      </w:r>
    </w:p>
    <w:p>
      <w:r>
        <w:t xml:space="preserve">Diese Schulungsunterlage führt Schritt für Schritt durch die Grundarbeit am </w:t>
      </w:r>
      <w:r>
        <w:rPr>
          <w:b/>
        </w:rPr>
        <w:t>Touch-Client</w:t>
      </w:r>
      <w:r>
        <w:t xml:space="preserve"> des LOGIMAT: ein Tablar holen, Boxen darauf anlegen, einen Artikel einer Box zuordnen, Ware einlagern und das Tablar zurückschicken. Nach jedem Kapitel folgt eine kurze Übung. Alle Schritte und Bilder stammen aus dem Testsystem (LOGIMAT A2, Zone ZONEA, Zugriffsöffnung 1). Die Touch-Oberfläche lief im Test teilweise auf Englisch. Die Knopfnamen sind deshalb, wo nötig, in beiden Sprachen angegeben.</w:t>
      </w:r>
    </w:p>
    <w:p>
      <w:pPr>
        <w:pStyle w:val="Heading2"/>
      </w:pPr>
      <w:r>
        <w:t>1.2 Drei Regeln vorab</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Diese Knöpfe nicht drücken</w:t>
            </w:r>
          </w:p>
          <w:p>
            <w:pPr>
              <w:spacing w:after="40"/>
            </w:pPr>
            <w:r>
              <w:rPr>
                <w:sz w:val="19"/>
              </w:rPr>
              <w:t xml:space="preserve">- Roter Knopf </w:t>
            </w:r>
            <w:r>
              <w:rPr>
                <w:b/>
                <w:sz w:val="19"/>
              </w:rPr>
              <w:t>Tablarvorgänge stornieren</w:t>
            </w:r>
            <w:r>
              <w:rPr>
                <w:sz w:val="19"/>
              </w:rPr>
              <w:t xml:space="preserve"> – bricht alle offenen Vorgänge am Tablar ab.</w:t>
            </w:r>
          </w:p>
          <w:p>
            <w:pPr>
              <w:spacing w:after="40"/>
            </w:pPr>
            <w:r>
              <w:rPr>
                <w:sz w:val="19"/>
              </w:rPr>
              <w:t xml:space="preserve">- </w:t>
            </w:r>
            <w:r>
              <w:rPr>
                <w:b/>
                <w:sz w:val="19"/>
              </w:rPr>
              <w:t>Zuordnung aufheben</w:t>
            </w:r>
            <w:r>
              <w:rPr>
                <w:sz w:val="19"/>
              </w:rPr>
              <w:t xml:space="preserve"> / „Unassign opening“ – trennt den Touch von der Zugriffsöffnung.</w:t>
            </w:r>
          </w:p>
          <w:p>
            <w:pPr>
              <w:spacing w:after="40"/>
            </w:pPr>
            <w:r>
              <w:rPr>
                <w:sz w:val="19"/>
              </w:rPr>
              <w:t xml:space="preserve">- Nur </w:t>
            </w:r>
            <w:r>
              <w:rPr>
                <w:b/>
                <w:sz w:val="19"/>
              </w:rPr>
              <w:t>einen</w:t>
            </w:r>
            <w:r>
              <w:rPr>
                <w:sz w:val="19"/>
              </w:rPr>
              <w:t xml:space="preserve"> WAMAS-Tab im Browser offen halten. Zwei Tabs stören sich gegenseitig.</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Eingaben mit Tab abschließen</w:t>
            </w:r>
          </w:p>
          <w:p>
            <w:pPr>
              <w:spacing w:after="40"/>
            </w:pPr>
            <w:r>
              <w:rPr>
                <w:sz w:val="19"/>
              </w:rPr>
              <w:t xml:space="preserve">Werte in Feldern immer mit </w:t>
            </w:r>
            <w:r>
              <w:rPr>
                <w:b/>
                <w:sz w:val="19"/>
              </w:rPr>
              <w:t>Tab</w:t>
            </w:r>
            <w:r>
              <w:rPr>
                <w:sz w:val="19"/>
              </w:rPr>
              <w:t xml:space="preserve"> übernehmen, bevor Sie den grünen Haken drücken. Sonst gehen eingegebene Zeichen verloren.</w:t>
            </w:r>
          </w:p>
        </w:tc>
      </w:tr>
    </w:tbl>
    <w:p>
      <w:pPr>
        <w:spacing w:after="40"/>
      </w:pP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Schulung Touch LOGIMAT</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1.0</w:t>
            </w:r>
          </w:p>
        </w:tc>
      </w:tr>
      <w:tr>
        <w:tc>
          <w:tcPr>
            <w:tcW w:type="dxa" w:w="2268"/>
          </w:tcPr>
          <w:p>
            <w:pPr>
              <w:spacing w:after="0" w:line="252" w:lineRule="auto"/>
            </w:pPr>
            <w:r>
              <w:rPr>
                <w:b/>
                <w:sz w:val="17"/>
              </w:rPr>
              <w:t>Stand</w:t>
            </w:r>
          </w:p>
        </w:tc>
        <w:tc>
          <w:tcPr>
            <w:tcW w:type="dxa" w:w="7257"/>
          </w:tcPr>
          <w:p>
            <w:pPr>
              <w:spacing w:after="0" w:line="252" w:lineRule="auto"/>
            </w:pPr>
            <w:r>
              <w:rPr>
                <w:sz w:val="17"/>
              </w:rPr>
              <w:t>18.10.2026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Bediener, Key-User am LOGIMAT</w:t>
            </w:r>
          </w:p>
        </w:tc>
      </w:tr>
      <w:tr>
        <w:tc>
          <w:tcPr>
            <w:tcW w:type="dxa" w:w="2268"/>
          </w:tcPr>
          <w:p>
            <w:pPr>
              <w:spacing w:after="0" w:line="252" w:lineRule="auto"/>
            </w:pPr>
            <w:r>
              <w:rPr>
                <w:b/>
                <w:sz w:val="17"/>
              </w:rPr>
              <w:t>Grundlage</w:t>
            </w:r>
          </w:p>
        </w:tc>
        <w:tc>
          <w:tcPr>
            <w:tcW w:type="dxa" w:w="7257"/>
          </w:tcPr>
          <w:p>
            <w:pPr>
              <w:spacing w:after="0" w:line="252" w:lineRule="auto"/>
            </w:pPr>
            <w:r>
              <w:rPr>
                <w:sz w:val="17"/>
              </w:rPr>
              <w:t>Live-Tests am Touch-Client des Testsystems WLS 2.8.0 (LOGIMAT A2, 17.10.2026)</w:t>
            </w:r>
          </w:p>
        </w:tc>
      </w:tr>
    </w:tbl>
    <w:p>
      <w:pPr>
        <w:spacing w:after="40"/>
      </w:pPr>
    </w:p>
    <w:p>
      <w:pPr>
        <w:pStyle w:val="Heading1"/>
      </w:pPr>
      <w:r>
        <w:t>2 Anmelden und Dashboard</w:t>
      </w:r>
    </w:p>
    <w:p>
      <w:pPr>
        <w:tabs>
          <w:tab w:pos="425" w:val="left"/>
        </w:tabs>
        <w:spacing w:after="60"/>
        <w:ind w:left="425" w:hanging="425"/>
      </w:pPr>
      <w:r>
        <w:rPr>
          <w:b/>
        </w:rPr>
        <w:t>1.</w:t>
        <w:tab/>
      </w:r>
      <w:r>
        <w:t xml:space="preserve">Am Touch-Client im Dialog </w:t>
      </w:r>
      <w:r>
        <w:rPr>
          <w:b/>
        </w:rPr>
        <w:t>LM001</w:t>
      </w:r>
      <w:r>
        <w:t xml:space="preserve"> Benutzername und Passwort eingeben. Über das Tastatursymbol öffnet sich bei Bedarf die Bildschirmtastatur (LM003).</w:t>
      </w:r>
    </w:p>
    <w:p>
      <w:pPr>
        <w:tabs>
          <w:tab w:pos="425" w:val="left"/>
        </w:tabs>
        <w:spacing w:after="60"/>
        <w:ind w:left="425" w:hanging="425"/>
      </w:pPr>
      <w:r>
        <w:rPr>
          <w:b/>
        </w:rPr>
        <w:t>2.</w:t>
        <w:tab/>
      </w:r>
      <w:r>
        <w:t>Mit dem grünen Haken unten rechts anmelden.</w:t>
      </w:r>
    </w:p>
    <w:p>
      <w:pPr>
        <w:keepNext/>
      </w:pPr>
      <w:r>
        <w:drawing>
          <wp:inline xmlns:a="http://schemas.openxmlformats.org/drawingml/2006/main" xmlns:pic="http://schemas.openxmlformats.org/drawingml/2006/picture">
            <wp:extent cx="5040000" cy="2941312"/>
            <wp:docPr id="104" name="Picture 104"/>
            <wp:cNvGraphicFramePr>
              <a:graphicFrameLocks noChangeAspect="1"/>
            </wp:cNvGraphicFramePr>
            <a:graphic>
              <a:graphicData uri="http://schemas.openxmlformats.org/drawingml/2006/picture">
                <pic:pic>
                  <pic:nvPicPr>
                    <pic:cNvPr id="0" name="b01_login.png"/>
                    <pic:cNvPicPr/>
                  </pic:nvPicPr>
                  <pic:blipFill>
                    <a:blip r:embed="rId14"/>
                    <a:stretch>
                      <a:fillRect/>
                    </a:stretch>
                  </pic:blipFill>
                  <pic:spPr>
                    <a:xfrm>
                      <a:off x="0" y="0"/>
                      <a:ext cx="5040000" cy="2941312"/>
                    </a:xfrm>
                    <a:prstGeom prst="rect"/>
                  </pic:spPr>
                </pic:pic>
              </a:graphicData>
            </a:graphic>
          </wp:inline>
        </w:drawing>
      </w:r>
    </w:p>
    <w:p>
      <w:pPr>
        <w:pStyle w:val="BeschriftungSSI"/>
      </w:pPr>
      <w:r>
        <w:t>Abb. 1: LM001 Anmeldung (Eingaben geschwärzt)</w:t>
      </w:r>
    </w:p>
    <w:p>
      <w:r>
        <w:t xml:space="preserve">Nach der Anmeldung zeigt </w:t>
      </w:r>
      <w:r>
        <w:rPr>
          <w:b/>
        </w:rPr>
        <w:t>LM006</w:t>
      </w:r>
      <w:r>
        <w:t xml:space="preserve"> das Dashboard. Mit der Kachel wählen Sie den Arbeitsmodus: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035"/>
        <w:gridCol w:w="5024"/>
        <w:gridCol w:w="1465"/>
      </w:tblGrid>
      <w:tr>
        <w:trPr>
          <w:tblHeader w:val="true"/>
        </w:trPr>
        <w:tc>
          <w:tcPr>
            <w:tcW w:type="dxa" w:w="3035"/>
            <w:shd w:val="clear" w:color="auto" w:fill="FEEE19"/>
          </w:tcPr>
          <w:p>
            <w:pPr>
              <w:spacing w:after="0"/>
            </w:pPr>
            <w:r>
              <w:rPr>
                <w:b/>
                <w:sz w:val="17"/>
              </w:rPr>
              <w:t>Kachel</w:t>
            </w:r>
          </w:p>
        </w:tc>
        <w:tc>
          <w:tcPr>
            <w:tcW w:type="dxa" w:w="5024"/>
            <w:shd w:val="clear" w:color="auto" w:fill="FEEE19"/>
          </w:tcPr>
          <w:p>
            <w:pPr>
              <w:spacing w:after="0"/>
            </w:pPr>
            <w:r>
              <w:rPr>
                <w:b/>
                <w:sz w:val="17"/>
              </w:rPr>
              <w:t>Wofür</w:t>
            </w:r>
          </w:p>
        </w:tc>
        <w:tc>
          <w:tcPr>
            <w:tcW w:type="dxa" w:w="1465"/>
            <w:shd w:val="clear" w:color="auto" w:fill="FEEE19"/>
          </w:tcPr>
          <w:p>
            <w:pPr>
              <w:spacing w:after="0"/>
            </w:pPr>
            <w:r>
              <w:rPr>
                <w:b/>
                <w:sz w:val="17"/>
              </w:rPr>
              <w:t>Öffnet</w:t>
            </w:r>
          </w:p>
        </w:tc>
      </w:tr>
      <w:tr>
        <w:tc>
          <w:tcPr>
            <w:tcW w:type="dxa" w:w="3035"/>
          </w:tcPr>
          <w:p>
            <w:pPr>
              <w:spacing w:after="0" w:line="252" w:lineRule="auto"/>
            </w:pPr>
            <w:r>
              <w:rPr>
                <w:sz w:val="17"/>
              </w:rPr>
              <w:t>Kommissionierung</w:t>
            </w:r>
          </w:p>
        </w:tc>
        <w:tc>
          <w:tcPr>
            <w:tcW w:type="dxa" w:w="5024"/>
          </w:tcPr>
          <w:p>
            <w:pPr>
              <w:spacing w:after="0" w:line="252" w:lineRule="auto"/>
            </w:pPr>
            <w:r>
              <w:rPr>
                <w:sz w:val="17"/>
              </w:rPr>
              <w:t>Aufträge auslagern</w:t>
            </w:r>
          </w:p>
        </w:tc>
        <w:tc>
          <w:tcPr>
            <w:tcW w:type="dxa" w:w="1465"/>
          </w:tcPr>
          <w:p>
            <w:pPr>
              <w:spacing w:after="0" w:line="252" w:lineRule="auto"/>
            </w:pPr>
            <w:r>
              <w:rPr>
                <w:sz w:val="17"/>
              </w:rPr>
              <w:t>Auftragsdialog</w:t>
            </w:r>
          </w:p>
        </w:tc>
      </w:tr>
      <w:tr>
        <w:tc>
          <w:tcPr>
            <w:tcW w:type="dxa" w:w="3035"/>
          </w:tcPr>
          <w:p>
            <w:pPr>
              <w:spacing w:after="0" w:line="252" w:lineRule="auto"/>
            </w:pPr>
            <w:r>
              <w:rPr>
                <w:sz w:val="17"/>
              </w:rPr>
              <w:t>Einlagerung</w:t>
            </w:r>
          </w:p>
        </w:tc>
        <w:tc>
          <w:tcPr>
            <w:tcW w:type="dxa" w:w="5024"/>
          </w:tcPr>
          <w:p>
            <w:pPr>
              <w:spacing w:after="0" w:line="252" w:lineRule="auto"/>
            </w:pPr>
            <w:r>
              <w:rPr>
                <w:sz w:val="17"/>
              </w:rPr>
              <w:t>Aufträge einlagern</w:t>
            </w:r>
          </w:p>
        </w:tc>
        <w:tc>
          <w:tcPr>
            <w:tcW w:type="dxa" w:w="1465"/>
          </w:tcPr>
          <w:p>
            <w:pPr>
              <w:spacing w:after="0" w:line="252" w:lineRule="auto"/>
            </w:pPr>
            <w:r>
              <w:rPr>
                <w:sz w:val="17"/>
              </w:rPr>
              <w:t>LM035</w:t>
            </w:r>
          </w:p>
        </w:tc>
      </w:tr>
      <w:tr>
        <w:tc>
          <w:tcPr>
            <w:tcW w:type="dxa" w:w="3035"/>
          </w:tcPr>
          <w:p>
            <w:pPr>
              <w:spacing w:after="0" w:line="252" w:lineRule="auto"/>
            </w:pPr>
            <w:r>
              <w:rPr>
                <w:sz w:val="17"/>
              </w:rPr>
              <w:t>Inventur</w:t>
            </w:r>
          </w:p>
        </w:tc>
        <w:tc>
          <w:tcPr>
            <w:tcW w:type="dxa" w:w="5024"/>
          </w:tcPr>
          <w:p>
            <w:pPr>
              <w:spacing w:after="0" w:line="252" w:lineRule="auto"/>
            </w:pPr>
            <w:r>
              <w:rPr>
                <w:sz w:val="17"/>
              </w:rPr>
              <w:t>Zählaufträge</w:t>
            </w:r>
          </w:p>
        </w:tc>
        <w:tc>
          <w:tcPr>
            <w:tcW w:type="dxa" w:w="1465"/>
          </w:tcPr>
          <w:p>
            <w:pPr>
              <w:spacing w:after="0" w:line="252" w:lineRule="auto"/>
            </w:pPr>
            <w:r>
              <w:rPr>
                <w:sz w:val="17"/>
              </w:rPr>
              <w:t>Auftragsdialog</w:t>
            </w:r>
          </w:p>
        </w:tc>
      </w:tr>
      <w:tr>
        <w:tc>
          <w:tcPr>
            <w:tcW w:type="dxa" w:w="3035"/>
          </w:tcPr>
          <w:p>
            <w:pPr>
              <w:spacing w:after="0" w:line="252" w:lineRule="auto"/>
            </w:pPr>
            <w:r>
              <w:rPr>
                <w:b/>
                <w:sz w:val="17"/>
              </w:rPr>
              <w:t>Manuelle Vorgänge</w:t>
            </w:r>
          </w:p>
        </w:tc>
        <w:tc>
          <w:tcPr>
            <w:tcW w:type="dxa" w:w="5024"/>
          </w:tcPr>
          <w:p>
            <w:pPr>
              <w:spacing w:after="0" w:line="252" w:lineRule="auto"/>
            </w:pPr>
            <w:r>
              <w:rPr>
                <w:sz w:val="17"/>
              </w:rPr>
              <w:t>Tablar frei anfordern, Boxen und Bestand pflegen</w:t>
            </w:r>
          </w:p>
        </w:tc>
        <w:tc>
          <w:tcPr>
            <w:tcW w:type="dxa" w:w="1465"/>
          </w:tcPr>
          <w:p>
            <w:pPr>
              <w:spacing w:after="0" w:line="252" w:lineRule="auto"/>
            </w:pPr>
            <w:r>
              <w:rPr>
                <w:sz w:val="17"/>
              </w:rPr>
              <w:t>LM040 / LM002</w:t>
            </w:r>
          </w:p>
        </w:tc>
      </w:tr>
      <w:tr>
        <w:tc>
          <w:tcPr>
            <w:tcW w:type="dxa" w:w="3035"/>
          </w:tcPr>
          <w:p>
            <w:pPr>
              <w:spacing w:after="0" w:line="252" w:lineRule="auto"/>
            </w:pPr>
            <w:r>
              <w:rPr>
                <w:sz w:val="17"/>
              </w:rPr>
              <w:t>Übersicht Aufträge / Vorlagen</w:t>
            </w:r>
          </w:p>
        </w:tc>
        <w:tc>
          <w:tcPr>
            <w:tcW w:type="dxa" w:w="5024"/>
          </w:tcPr>
          <w:p>
            <w:pPr>
              <w:spacing w:after="0" w:line="252" w:lineRule="auto"/>
            </w:pPr>
            <w:r>
              <w:rPr>
                <w:sz w:val="17"/>
              </w:rPr>
              <w:t>Offene Aufträge, Tablarvorlagen</w:t>
            </w:r>
          </w:p>
        </w:tc>
        <w:tc>
          <w:tcPr>
            <w:tcW w:type="dxa" w:w="1465"/>
          </w:tcPr>
          <w:p>
            <w:pPr>
              <w:spacing w:after="0" w:line="252" w:lineRule="auto"/>
            </w:pPr>
            <w:r>
              <w:rPr>
                <w:sz w:val="17"/>
              </w:rPr>
              <w:t>Übersicht</w:t>
            </w:r>
          </w:p>
        </w:tc>
      </w:tr>
    </w:tbl>
    <w:p>
      <w:pPr>
        <w:pStyle w:val="BeschriftungSSI"/>
      </w:pPr>
      <w:r>
        <w:t>Tab. 1: Kacheln im Dashboard</w:t>
      </w:r>
    </w:p>
    <w:p>
      <w:pPr>
        <w:keepNext/>
      </w:pPr>
      <w:r>
        <w:drawing>
          <wp:inline xmlns:a="http://schemas.openxmlformats.org/drawingml/2006/main" xmlns:pic="http://schemas.openxmlformats.org/drawingml/2006/picture">
            <wp:extent cx="5040000" cy="2941312"/>
            <wp:docPr id="105" name="Picture 105"/>
            <wp:cNvGraphicFramePr>
              <a:graphicFrameLocks noChangeAspect="1"/>
            </wp:cNvGraphicFramePr>
            <a:graphic>
              <a:graphicData uri="http://schemas.openxmlformats.org/drawingml/2006/picture">
                <pic:pic>
                  <pic:nvPicPr>
                    <pic:cNvPr id="0" name="b02_dashboard.png"/>
                    <pic:cNvPicPr/>
                  </pic:nvPicPr>
                  <pic:blipFill>
                    <a:blip r:embed="rId15"/>
                    <a:stretch>
                      <a:fillRect/>
                    </a:stretch>
                  </pic:blipFill>
                  <pic:spPr>
                    <a:xfrm>
                      <a:off x="0" y="0"/>
                      <a:ext cx="5040000" cy="2941312"/>
                    </a:xfrm>
                    <a:prstGeom prst="rect"/>
                  </pic:spPr>
                </pic:pic>
              </a:graphicData>
            </a:graphic>
          </wp:inline>
        </w:drawing>
      </w:r>
    </w:p>
    <w:p>
      <w:pPr>
        <w:pStyle w:val="BeschriftungSSI"/>
      </w:pPr>
      <w:r>
        <w:t>Abb. 2: LM006 Dashboard mit den Kacheln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Zähler gelten für die ganze Zone</w:t>
            </w:r>
          </w:p>
          <w:p>
            <w:pPr>
              <w:spacing w:after="40"/>
            </w:pPr>
            <w:r>
              <w:rPr>
                <w:sz w:val="19"/>
              </w:rPr>
              <w:t>Die Zahlen auf den Kacheln zählen alle Aufträge der Zone, nicht nur die dieses LOGIMAT.</w:t>
            </w:r>
          </w:p>
        </w:tc>
      </w:tr>
    </w:tbl>
    <w:p>
      <w:pPr>
        <w:spacing w:after="40"/>
      </w:pPr>
    </w:p>
    <w:p>
      <w:r>
        <w:rPr>
          <w:b/>
        </w:rPr>
        <w:t>Abmelden:</w:t>
      </w:r>
      <w:r>
        <w:t xml:space="preserve"> Zahnrad oben rechts → Abmelden → Ja. Hängt der Bildschirm beim Abmelden, die Seite mit </w:t>
      </w:r>
      <w:r>
        <w:rPr>
          <w:b/>
        </w:rPr>
        <w:t>F5</w:t>
      </w:r>
      <w:r>
        <w:t xml:space="preserve"> neu laden.</w:t>
      </w:r>
    </w:p>
    <w:p>
      <w:pPr>
        <w:pStyle w:val="Quelle"/>
      </w:pPr>
      <w:r>
        <w:rPr>
          <w:b/>
        </w:rPr>
        <w:t xml:space="preserve">Quelle: </w:t>
      </w:r>
      <w:r>
        <w:rPr>
          <w:sz w:val="17"/>
        </w:rPr>
        <w:t>Testlog WAMAS Dev 14:22–14:44; Touch-Skill; LOGIMAT-Knowhow</w:t>
      </w:r>
    </w:p>
    <w:p>
      <w:pPr>
        <w:pStyle w:val="Heading1"/>
      </w:pPr>
      <w:r>
        <w:t>3 Tablar anfordern</w:t>
      </w:r>
    </w:p>
    <w:p>
      <w:pPr>
        <w:tabs>
          <w:tab w:pos="425" w:val="left"/>
        </w:tabs>
        <w:spacing w:after="60"/>
        <w:ind w:left="425" w:hanging="425"/>
      </w:pPr>
      <w:r>
        <w:rPr>
          <w:b/>
        </w:rPr>
        <w:t>1.</w:t>
        <w:tab/>
      </w:r>
      <w:r>
        <w:t xml:space="preserve">Kachel </w:t>
      </w:r>
      <w:r>
        <w:rPr>
          <w:b/>
        </w:rPr>
        <w:t>Manuelle Vorgänge</w:t>
      </w:r>
      <w:r>
        <w:t xml:space="preserve"> tippen.</w:t>
      </w:r>
    </w:p>
    <w:p>
      <w:pPr>
        <w:tabs>
          <w:tab w:pos="425" w:val="left"/>
        </w:tabs>
        <w:spacing w:after="60"/>
        <w:ind w:left="425" w:hanging="425"/>
      </w:pPr>
      <w:r>
        <w:rPr>
          <w:b/>
        </w:rPr>
        <w:t>2.</w:t>
        <w:tab/>
      </w:r>
      <w:r>
        <w:t xml:space="preserve">Reiter </w:t>
      </w:r>
      <w:r>
        <w:rPr>
          <w:b/>
        </w:rPr>
        <w:t>Übersicht Tablare</w:t>
      </w:r>
      <w:r>
        <w:t xml:space="preserve"> öffnen (LM040). Keinen Modus wählen, das Suchfeld leer lassen.</w:t>
      </w:r>
    </w:p>
    <w:p>
      <w:pPr>
        <w:tabs>
          <w:tab w:pos="425" w:val="left"/>
        </w:tabs>
        <w:spacing w:after="60"/>
        <w:ind w:left="425" w:hanging="425"/>
      </w:pPr>
      <w:r>
        <w:rPr>
          <w:b/>
        </w:rPr>
        <w:t>3.</w:t>
        <w:tab/>
      </w:r>
      <w:r>
        <w:t xml:space="preserve">Das gewünschte Tablar in der Liste antippen, z. B. Tablar </w:t>
      </w:r>
      <w:r>
        <w:rPr>
          <w:b/>
        </w:rPr>
        <w:t>5</w:t>
      </w:r>
      <w:r>
        <w:t>.</w:t>
      </w:r>
    </w:p>
    <w:p>
      <w:pPr>
        <w:tabs>
          <w:tab w:pos="425" w:val="left"/>
        </w:tabs>
        <w:spacing w:after="60"/>
        <w:ind w:left="425" w:hanging="425"/>
      </w:pPr>
      <w:r>
        <w:rPr>
          <w:b/>
        </w:rPr>
        <w:t>4.</w:t>
        <w:tab/>
      </w:r>
      <w:r>
        <w:rPr>
          <w:b/>
        </w:rPr>
        <w:t>Tablar anfordern</w:t>
      </w:r>
      <w:r>
        <w:t xml:space="preserve"> tippen. Der LOGIMAT fährt das Tablar in die Zugriffsöffnung.</w:t>
      </w:r>
    </w:p>
    <w:p>
      <w:pPr>
        <w:keepNext/>
      </w:pPr>
      <w:r>
        <w:drawing>
          <wp:inline xmlns:a="http://schemas.openxmlformats.org/drawingml/2006/main" xmlns:pic="http://schemas.openxmlformats.org/drawingml/2006/picture">
            <wp:extent cx="5040000" cy="2941312"/>
            <wp:docPr id="106" name="Picture 106"/>
            <wp:cNvGraphicFramePr>
              <a:graphicFrameLocks noChangeAspect="1"/>
            </wp:cNvGraphicFramePr>
            <a:graphic>
              <a:graphicData uri="http://schemas.openxmlformats.org/drawingml/2006/picture">
                <pic:pic>
                  <pic:nvPicPr>
                    <pic:cNvPr id="0" name="b03_lm040_uebersicht_tablare.png"/>
                    <pic:cNvPicPr/>
                  </pic:nvPicPr>
                  <pic:blipFill>
                    <a:blip r:embed="rId16"/>
                    <a:stretch>
                      <a:fillRect/>
                    </a:stretch>
                  </pic:blipFill>
                  <pic:spPr>
                    <a:xfrm>
                      <a:off x="0" y="0"/>
                      <a:ext cx="5040000" cy="2941312"/>
                    </a:xfrm>
                    <a:prstGeom prst="rect"/>
                  </pic:spPr>
                </pic:pic>
              </a:graphicData>
            </a:graphic>
          </wp:inline>
        </w:drawing>
      </w:r>
    </w:p>
    <w:p>
      <w:pPr>
        <w:pStyle w:val="BeschriftungSSI"/>
      </w:pPr>
      <w:r>
        <w:t>Abb. 3: LM040 Übersicht Tablare</w:t>
      </w:r>
    </w:p>
    <w:p>
      <w:r>
        <w:t xml:space="preserve">Ist das Tablar da, zeigt </w:t>
      </w:r>
      <w:r>
        <w:rPr>
          <w:b/>
        </w:rPr>
        <w:t>LM002</w:t>
      </w:r>
      <w:r>
        <w:t xml:space="preserve"> das Tablar von oben. Auf einem leeren Tablar steht „Box dem Tablar hinzufügen“.</w:t>
      </w:r>
    </w:p>
    <w:p>
      <w:pPr>
        <w:keepNext/>
      </w:pPr>
      <w:r>
        <w:drawing>
          <wp:inline xmlns:a="http://schemas.openxmlformats.org/drawingml/2006/main" xmlns:pic="http://schemas.openxmlformats.org/drawingml/2006/picture">
            <wp:extent cx="5040000" cy="2941312"/>
            <wp:docPr id="107" name="Picture 107"/>
            <wp:cNvGraphicFramePr>
              <a:graphicFrameLocks noChangeAspect="1"/>
            </wp:cNvGraphicFramePr>
            <a:graphic>
              <a:graphicData uri="http://schemas.openxmlformats.org/drawingml/2006/picture">
                <pic:pic>
                  <pic:nvPicPr>
                    <pic:cNvPr id="0" name="b04_lm002_leeres_tablar.png"/>
                    <pic:cNvPicPr/>
                  </pic:nvPicPr>
                  <pic:blipFill>
                    <a:blip r:embed="rId17"/>
                    <a:stretch>
                      <a:fillRect/>
                    </a:stretch>
                  </pic:blipFill>
                  <pic:spPr>
                    <a:xfrm>
                      <a:off x="0" y="0"/>
                      <a:ext cx="5040000" cy="2941312"/>
                    </a:xfrm>
                    <a:prstGeom prst="rect"/>
                  </pic:spPr>
                </pic:pic>
              </a:graphicData>
            </a:graphic>
          </wp:inline>
        </w:drawing>
      </w:r>
    </w:p>
    <w:p>
      <w:pPr>
        <w:pStyle w:val="BeschriftungSSI"/>
      </w:pPr>
      <w:r>
        <w:t>Abb. 4: LM002 – leeres Tablar in der Zugriffsöffnung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Suche über LE-ID</w:t>
            </w:r>
          </w:p>
          <w:p>
            <w:pPr>
              <w:spacing w:after="40"/>
            </w:pPr>
            <w:r>
              <w:rPr>
                <w:sz w:val="19"/>
              </w:rPr>
              <w:t>Die Tablarsuche über die LE-ID fand im Test nichts. Wählen Sie das Tablar direkt in der Liste. Die Spalte „Freie Kapazität 0“ ist irreführend und heißt nicht, dass das Tablar voll ist.</w:t>
            </w:r>
          </w:p>
        </w:tc>
      </w:tr>
    </w:tbl>
    <w:p>
      <w:pPr>
        <w:spacing w:after="40"/>
      </w:pPr>
    </w:p>
    <w:p>
      <w:r>
        <w:rPr>
          <w:b/>
        </w:rPr>
        <w:t>Übung 1:</w:t>
      </w:r>
      <w:r>
        <w:t xml:space="preserve"> Melden Sie sich an, wählen Sie Manuelle Vorgänge und fordern Sie Tablar 5 an. Welcher Text erscheint auf dem leeren Tablar?</w:t>
      </w:r>
    </w:p>
    <w:p>
      <w:pPr>
        <w:pStyle w:val="Quelle"/>
      </w:pPr>
      <w:r>
        <w:rPr>
          <w:b/>
        </w:rPr>
        <w:t xml:space="preserve">Quelle: </w:t>
      </w:r>
      <w:r>
        <w:rPr>
          <w:sz w:val="17"/>
        </w:rPr>
        <w:t>Touch-Skill; Testlog 14:22</w:t>
      </w:r>
    </w:p>
    <w:p>
      <w:pPr>
        <w:pStyle w:val="Heading1"/>
      </w:pPr>
      <w:r>
        <w:t>4 Boxen anlegen</w:t>
      </w:r>
    </w:p>
    <w:p>
      <w:pPr>
        <w:pStyle w:val="Heading2"/>
      </w:pPr>
      <w:r>
        <w:t>4.1 Box einzeln setzen</w:t>
      </w:r>
    </w:p>
    <w:p>
      <w:pPr>
        <w:tabs>
          <w:tab w:pos="425" w:val="left"/>
        </w:tabs>
        <w:spacing w:after="60"/>
        <w:ind w:left="425" w:hanging="425"/>
      </w:pPr>
      <w:r>
        <w:rPr>
          <w:b/>
        </w:rPr>
        <w:t>1.</w:t>
        <w:tab/>
      </w:r>
      <w:r>
        <w:t xml:space="preserve">In LM002 unten links </w:t>
      </w:r>
      <w:r>
        <w:rPr>
          <w:b/>
        </w:rPr>
        <w:t>Tablarlayout bearbeiten</w:t>
      </w:r>
      <w:r>
        <w:t xml:space="preserve"> tippen. Der Editor </w:t>
      </w:r>
      <w:r>
        <w:rPr>
          <w:b/>
        </w:rPr>
        <w:t>LM004</w:t>
      </w:r>
      <w:r>
        <w:t xml:space="preserve"> öffnet sich.</w:t>
      </w:r>
    </w:p>
    <w:p>
      <w:pPr>
        <w:tabs>
          <w:tab w:pos="425" w:val="left"/>
        </w:tabs>
        <w:spacing w:after="60"/>
        <w:ind w:left="425" w:hanging="425"/>
      </w:pPr>
      <w:r>
        <w:rPr>
          <w:b/>
        </w:rPr>
        <w:t>2.</w:t>
        <w:tab/>
      </w:r>
      <w:r>
        <w:t xml:space="preserve">Rechts in der Palette den Boxtyp wählen, z. B. </w:t>
      </w:r>
      <w:r>
        <w:rPr>
          <w:rFonts w:ascii="Consolas" w:hAnsi="Consolas" w:cs="Consolas" w:eastAsia="Consolas"/>
          <w:sz w:val="18"/>
        </w:rPr>
        <w:t>TEST_WD_BOX_A2</w:t>
      </w:r>
      <w:r>
        <w:t>.</w:t>
      </w:r>
    </w:p>
    <w:p>
      <w:pPr>
        <w:tabs>
          <w:tab w:pos="425" w:val="left"/>
        </w:tabs>
        <w:spacing w:after="60"/>
        <w:ind w:left="425" w:hanging="425"/>
      </w:pPr>
      <w:r>
        <w:rPr>
          <w:b/>
        </w:rPr>
        <w:t>3.</w:t>
        <w:tab/>
      </w:r>
      <w:r>
        <w:t xml:space="preserve">Die Box </w:t>
      </w:r>
      <w:r>
        <w:rPr>
          <w:b/>
        </w:rPr>
        <w:t>langsam</w:t>
      </w:r>
      <w:r>
        <w:t xml:space="preserve"> auf das Tablar ziehen. Sie rastet an der nächsten freien Stelle ein.</w:t>
      </w:r>
    </w:p>
    <w:p>
      <w:pPr>
        <w:tabs>
          <w:tab w:pos="425" w:val="left"/>
        </w:tabs>
        <w:spacing w:after="60"/>
        <w:ind w:left="425" w:hanging="425"/>
      </w:pPr>
      <w:r>
        <w:rPr>
          <w:b/>
        </w:rPr>
        <w:t>4.</w:t>
        <w:tab/>
      </w:r>
      <w:r>
        <w:rPr>
          <w:b/>
        </w:rPr>
        <w:t>Speichern</w:t>
      </w:r>
      <w:r>
        <w:t xml:space="preserve">. WAMAS vergibt die Box-IDs automatisch: </w:t>
      </w:r>
      <w:r>
        <w:rPr>
          <w:rFonts w:ascii="Consolas" w:hAnsi="Consolas" w:cs="Consolas" w:eastAsia="Consolas"/>
          <w:sz w:val="18"/>
        </w:rPr>
        <w:t>&lt;Tablar-LE&gt;-001</w:t>
      </w:r>
      <w:r>
        <w:t xml:space="preserve">, </w:t>
      </w:r>
      <w:r>
        <w:rPr>
          <w:rFonts w:ascii="Consolas" w:hAnsi="Consolas" w:cs="Consolas" w:eastAsia="Consolas"/>
          <w:sz w:val="18"/>
        </w:rPr>
        <w:t>-002</w:t>
      </w:r>
      <w:r>
        <w:t xml:space="preserve"> usw., z. B. </w:t>
      </w:r>
      <w:r>
        <w:rPr>
          <w:rFonts w:ascii="Consolas" w:hAnsi="Consolas" w:cs="Consolas" w:eastAsia="Consolas"/>
          <w:sz w:val="18"/>
        </w:rPr>
        <w:t>29464762005-001</w:t>
      </w:r>
      <w:r>
        <w:t>.</w:t>
      </w:r>
    </w:p>
    <w:p>
      <w:pPr>
        <w:keepNext/>
      </w:pPr>
      <w:r>
        <w:drawing>
          <wp:inline xmlns:a="http://schemas.openxmlformats.org/drawingml/2006/main" xmlns:pic="http://schemas.openxmlformats.org/drawingml/2006/picture">
            <wp:extent cx="5040000" cy="2941312"/>
            <wp:docPr id="108" name="Picture 108"/>
            <wp:cNvGraphicFramePr>
              <a:graphicFrameLocks noChangeAspect="1"/>
            </wp:cNvGraphicFramePr>
            <a:graphic>
              <a:graphicData uri="http://schemas.openxmlformats.org/drawingml/2006/picture">
                <pic:pic>
                  <pic:nvPicPr>
                    <pic:cNvPr id="0" name="b05_lm004_boxtyp_palette.png"/>
                    <pic:cNvPicPr/>
                  </pic:nvPicPr>
                  <pic:blipFill>
                    <a:blip r:embed="rId18"/>
                    <a:stretch>
                      <a:fillRect/>
                    </a:stretch>
                  </pic:blipFill>
                  <pic:spPr>
                    <a:xfrm>
                      <a:off x="0" y="0"/>
                      <a:ext cx="5040000" cy="2941312"/>
                    </a:xfrm>
                    <a:prstGeom prst="rect"/>
                  </pic:spPr>
                </pic:pic>
              </a:graphicData>
            </a:graphic>
          </wp:inline>
        </w:drawing>
      </w:r>
    </w:p>
    <w:p>
      <w:pPr>
        <w:pStyle w:val="BeschriftungSSI"/>
      </w:pPr>
      <w:r>
        <w:t>Abb. 5: LM004 mit der Boxtyp-Palette</w:t>
      </w:r>
    </w:p>
    <w:p>
      <w:pPr>
        <w:pStyle w:val="Heading2"/>
      </w:pPr>
      <w:r>
        <w:t>4.2 Tablar füllen</w:t>
      </w:r>
    </w:p>
    <w:p>
      <w:r>
        <w:t xml:space="preserve">Für viele gleiche Boxen gibt es </w:t>
      </w:r>
      <w:r>
        <w:rPr>
          <w:b/>
        </w:rPr>
        <w:t>Füllen</w:t>
      </w:r>
      <w:r>
        <w:t>: Boxtyp wählen, Füllen tippen – eine grüne Vorschau erscheint. Ein Tipp an das Ende der Vorschau legt die Boxen an. Auf einem A2-Tablar (4025 × 815 mm) entstehen so 20 Boxen 400 × 400 mm.</w:t>
      </w:r>
    </w:p>
    <w:p>
      <w:pPr>
        <w:keepNext/>
      </w:pPr>
      <w:r>
        <w:drawing>
          <wp:inline xmlns:a="http://schemas.openxmlformats.org/drawingml/2006/main" xmlns:pic="http://schemas.openxmlformats.org/drawingml/2006/picture">
            <wp:extent cx="5040000" cy="2941312"/>
            <wp:docPr id="109" name="Picture 109"/>
            <wp:cNvGraphicFramePr>
              <a:graphicFrameLocks noChangeAspect="1"/>
            </wp:cNvGraphicFramePr>
            <a:graphic>
              <a:graphicData uri="http://schemas.openxmlformats.org/drawingml/2006/picture">
                <pic:pic>
                  <pic:nvPicPr>
                    <pic:cNvPr id="0" name="b06_lm004_gefuellt.png"/>
                    <pic:cNvPicPr/>
                  </pic:nvPicPr>
                  <pic:blipFill>
                    <a:blip r:embed="rId19"/>
                    <a:stretch>
                      <a:fillRect/>
                    </a:stretch>
                  </pic:blipFill>
                  <pic:spPr>
                    <a:xfrm>
                      <a:off x="0" y="0"/>
                      <a:ext cx="5040000" cy="2941312"/>
                    </a:xfrm>
                    <a:prstGeom prst="rect"/>
                  </pic:spPr>
                </pic:pic>
              </a:graphicData>
            </a:graphic>
          </wp:inline>
        </w:drawing>
      </w:r>
    </w:p>
    <w:p>
      <w:pPr>
        <w:pStyle w:val="BeschriftungSSI"/>
      </w:pPr>
      <w:r>
        <w:t>Abb. 6: LM004 nach „Füllen“ – 20 Boxen</w:t>
      </w:r>
    </w:p>
    <w:p>
      <w:pPr>
        <w:pStyle w:val="Heading2"/>
      </w:pPr>
      <w:r>
        <w:t>4.3 Vorlage speichern und laden</w:t>
      </w:r>
    </w:p>
    <w:p>
      <w:r>
        <w:t xml:space="preserve">Ein fertiges Layout können Sie als </w:t>
      </w:r>
      <w:r>
        <w:rPr>
          <w:b/>
        </w:rPr>
        <w:t>Tablarvorlage</w:t>
      </w:r>
      <w:r>
        <w:t xml:space="preserve"> speichern (LM016), z. B. </w:t>
      </w:r>
      <w:r>
        <w:rPr>
          <w:rFonts w:ascii="Consolas" w:hAnsi="Consolas" w:cs="Consolas" w:eastAsia="Consolas"/>
          <w:sz w:val="18"/>
        </w:rPr>
        <w:t>TEST_WD_VORL_A2_400</w:t>
      </w:r>
      <w:r>
        <w:t xml:space="preserve">. Auf dem nächsten Tablar laden Sie es mit </w:t>
      </w:r>
      <w:r>
        <w:rPr>
          <w:b/>
        </w:rPr>
        <w:t>Vorlage laden</w:t>
      </w:r>
      <w:r>
        <w:t xml:space="preserve"> (LM015) und speichern.</w:t>
      </w:r>
    </w:p>
    <w:p>
      <w:pPr>
        <w:keepNext/>
      </w:pPr>
      <w:r>
        <w:drawing>
          <wp:inline xmlns:a="http://schemas.openxmlformats.org/drawingml/2006/main" xmlns:pic="http://schemas.openxmlformats.org/drawingml/2006/picture">
            <wp:extent cx="4320000" cy="2521125"/>
            <wp:docPr id="110" name="Picture 110"/>
            <wp:cNvGraphicFramePr>
              <a:graphicFrameLocks noChangeAspect="1"/>
            </wp:cNvGraphicFramePr>
            <a:graphic>
              <a:graphicData uri="http://schemas.openxmlformats.org/drawingml/2006/picture">
                <pic:pic>
                  <pic:nvPicPr>
                    <pic:cNvPr id="0" name="b07_lm016_vorlage_speichern.png"/>
                    <pic:cNvPicPr/>
                  </pic:nvPicPr>
                  <pic:blipFill>
                    <a:blip r:embed="rId20"/>
                    <a:stretch>
                      <a:fillRect/>
                    </a:stretch>
                  </pic:blipFill>
                  <pic:spPr>
                    <a:xfrm>
                      <a:off x="0" y="0"/>
                      <a:ext cx="4320000" cy="2521125"/>
                    </a:xfrm>
                    <a:prstGeom prst="rect"/>
                  </pic:spPr>
                </pic:pic>
              </a:graphicData>
            </a:graphic>
          </wp:inline>
        </w:drawing>
      </w:r>
    </w:p>
    <w:p>
      <w:pPr>
        <w:pStyle w:val="BeschriftungSSI"/>
      </w:pPr>
      <w:r>
        <w:t>Abb. 7: LM016 Tablarvorlage speichern</w:t>
      </w:r>
    </w:p>
    <w:p>
      <w:pPr>
        <w:keepNext/>
      </w:pPr>
      <w:r>
        <w:drawing>
          <wp:inline xmlns:a="http://schemas.openxmlformats.org/drawingml/2006/main" xmlns:pic="http://schemas.openxmlformats.org/drawingml/2006/picture">
            <wp:extent cx="4320000" cy="2521125"/>
            <wp:docPr id="111" name="Picture 111"/>
            <wp:cNvGraphicFramePr>
              <a:graphicFrameLocks noChangeAspect="1"/>
            </wp:cNvGraphicFramePr>
            <a:graphic>
              <a:graphicData uri="http://schemas.openxmlformats.org/drawingml/2006/picture">
                <pic:pic>
                  <pic:nvPicPr>
                    <pic:cNvPr id="0" name="b08_lm015_vorlage_laden.png"/>
                    <pic:cNvPicPr/>
                  </pic:nvPicPr>
                  <pic:blipFill>
                    <a:blip r:embed="rId21"/>
                    <a:stretch>
                      <a:fillRect/>
                    </a:stretch>
                  </pic:blipFill>
                  <pic:spPr>
                    <a:xfrm>
                      <a:off x="0" y="0"/>
                      <a:ext cx="4320000" cy="2521125"/>
                    </a:xfrm>
                    <a:prstGeom prst="rect"/>
                  </pic:spPr>
                </pic:pic>
              </a:graphicData>
            </a:graphic>
          </wp:inline>
        </w:drawing>
      </w:r>
    </w:p>
    <w:p>
      <w:pPr>
        <w:pStyle w:val="BeschriftungSSI"/>
      </w:pPr>
      <w:r>
        <w:t>Abb. 8: LM015 Tablarvorlage auswählen</w:t>
      </w:r>
    </w:p>
    <w:p>
      <w:r>
        <w:rPr>
          <w:b/>
        </w:rPr>
        <w:t>Übung 2:</w:t>
      </w:r>
      <w:r>
        <w:t xml:space="preserve"> Legen Sie auf Tablar 5 eine Box </w:t>
      </w:r>
      <w:r>
        <w:rPr>
          <w:rFonts w:ascii="Consolas" w:hAnsi="Consolas" w:cs="Consolas" w:eastAsia="Consolas"/>
          <w:sz w:val="18"/>
        </w:rPr>
        <w:t>TEST_WD_BOX_A2</w:t>
      </w:r>
      <w:r>
        <w:t xml:space="preserve"> an und speichern Sie. Welche Box-ID vergibt WAMAS?</w:t>
      </w:r>
    </w:p>
    <w:p>
      <w:pPr>
        <w:pStyle w:val="Quelle"/>
      </w:pPr>
      <w:r>
        <w:rPr>
          <w:b/>
        </w:rPr>
        <w:t xml:space="preserve">Quelle: </w:t>
      </w:r>
      <w:r>
        <w:rPr>
          <w:sz w:val="17"/>
        </w:rPr>
        <w:t>Testlog 14:22–14:36; LOGIMAT-Knowhow</w:t>
      </w:r>
    </w:p>
    <w:p>
      <w:pPr>
        <w:pStyle w:val="Heading1"/>
      </w:pPr>
      <w:r>
        <w:t>5 Artikel der Box zuordnen</w:t>
      </w:r>
    </w:p>
    <w:p>
      <w:pPr>
        <w:tabs>
          <w:tab w:pos="425" w:val="left"/>
        </w:tabs>
        <w:spacing w:after="60"/>
        <w:ind w:left="425" w:hanging="425"/>
      </w:pPr>
      <w:r>
        <w:rPr>
          <w:b/>
        </w:rPr>
        <w:t>1.</w:t>
        <w:tab/>
      </w:r>
      <w:r>
        <w:t>In LM002 die Box antippen.</w:t>
      </w:r>
    </w:p>
    <w:p>
      <w:pPr>
        <w:tabs>
          <w:tab w:pos="425" w:val="left"/>
        </w:tabs>
        <w:spacing w:after="60"/>
        <w:ind w:left="425" w:hanging="425"/>
      </w:pPr>
      <w:r>
        <w:rPr>
          <w:b/>
        </w:rPr>
        <w:t>2.</w:t>
        <w:tab/>
      </w:r>
      <w:r>
        <w:rPr>
          <w:b/>
        </w:rPr>
        <w:t>Der Box einen Artikel zuteilen</w:t>
      </w:r>
      <w:r>
        <w:t xml:space="preserve"> tippen.</w:t>
      </w:r>
    </w:p>
    <w:p>
      <w:pPr>
        <w:tabs>
          <w:tab w:pos="425" w:val="left"/>
        </w:tabs>
        <w:spacing w:after="60"/>
        <w:ind w:left="425" w:hanging="425"/>
      </w:pPr>
      <w:r>
        <w:rPr>
          <w:b/>
        </w:rPr>
        <w:t>3.</w:t>
        <w:tab/>
      </w:r>
      <w:r>
        <w:t xml:space="preserve">Im Feld Artikel die Nummer eingeben, z. B. </w:t>
      </w:r>
      <w:r>
        <w:rPr>
          <w:rFonts w:ascii="Consolas" w:hAnsi="Consolas" w:cs="Consolas" w:eastAsia="Consolas"/>
          <w:sz w:val="18"/>
        </w:rPr>
        <w:t>TEST_WD_ART_06</w:t>
      </w:r>
      <w:r>
        <w:t>, und suchen.</w:t>
      </w:r>
    </w:p>
    <w:p>
      <w:pPr>
        <w:tabs>
          <w:tab w:pos="425" w:val="left"/>
        </w:tabs>
        <w:spacing w:after="60"/>
        <w:ind w:left="425" w:hanging="425"/>
      </w:pPr>
      <w:r>
        <w:rPr>
          <w:b/>
        </w:rPr>
        <w:t>4.</w:t>
        <w:tab/>
      </w:r>
      <w:r>
        <w:t>Den Status prüfen:</w:t>
      </w:r>
    </w:p>
    <w:p>
      <w:pPr>
        <w:pStyle w:val="ListBullet2"/>
      </w:pPr>
      <w:r>
        <w:rPr>
          <w:b/>
        </w:rPr>
        <w:t>Kann zugeteilt werden</w:t>
      </w:r>
      <w:r>
        <w:t xml:space="preserve"> – alles gut. Die Maximalmenge wird angezeigt (z. B. 50).</w:t>
      </w:r>
    </w:p>
    <w:p>
      <w:pPr>
        <w:pStyle w:val="ListBullet2"/>
      </w:pPr>
      <w:r>
        <w:rPr>
          <w:b/>
        </w:rPr>
        <w:t>Kein Boxtyp zugeordnet</w:t>
      </w:r>
      <w:r>
        <w:t xml:space="preserve"> – für diesen Artikel und Boxtyp gibt es noch keine Zuordnung. Der Administrator legt sie in LM084 an. Bei LMB-Fächern kann sie direkt hier durch Eingabe der Maximalmenge entstehen.</w:t>
      </w:r>
    </w:p>
    <w:p>
      <w:pPr>
        <w:tabs>
          <w:tab w:pos="425" w:val="left"/>
        </w:tabs>
        <w:spacing w:after="60"/>
        <w:ind w:left="425" w:hanging="425"/>
      </w:pPr>
      <w:r>
        <w:rPr>
          <w:b/>
        </w:rPr>
        <w:t>5.</w:t>
        <w:tab/>
      </w:r>
      <w:r>
        <w:t xml:space="preserve">Maximalmenge prüfen und mit dem </w:t>
      </w:r>
      <w:r>
        <w:rPr>
          <w:b/>
        </w:rPr>
        <w:t>grünen Haken</w:t>
      </w:r>
      <w:r>
        <w:t xml:space="preserve"> bestätigen.</w:t>
      </w:r>
    </w:p>
    <w:p>
      <w:pPr>
        <w:keepNext/>
      </w:pPr>
      <w:r>
        <w:drawing>
          <wp:inline xmlns:a="http://schemas.openxmlformats.org/drawingml/2006/main" xmlns:pic="http://schemas.openxmlformats.org/drawingml/2006/picture">
            <wp:extent cx="5040000" cy="2941312"/>
            <wp:docPr id="112" name="Picture 112"/>
            <wp:cNvGraphicFramePr>
              <a:graphicFrameLocks noChangeAspect="1"/>
            </wp:cNvGraphicFramePr>
            <a:graphic>
              <a:graphicData uri="http://schemas.openxmlformats.org/drawingml/2006/picture">
                <pic:pic>
                  <pic:nvPicPr>
                    <pic:cNvPr id="0" name="b09_lm002_artikel_zuteilen.png"/>
                    <pic:cNvPicPr/>
                  </pic:nvPicPr>
                  <pic:blipFill>
                    <a:blip r:embed="rId22"/>
                    <a:stretch>
                      <a:fillRect/>
                    </a:stretch>
                  </pic:blipFill>
                  <pic:spPr>
                    <a:xfrm>
                      <a:off x="0" y="0"/>
                      <a:ext cx="5040000" cy="2941312"/>
                    </a:xfrm>
                    <a:prstGeom prst="rect"/>
                  </pic:spPr>
                </pic:pic>
              </a:graphicData>
            </a:graphic>
          </wp:inline>
        </w:drawing>
      </w:r>
    </w:p>
    <w:p>
      <w:pPr>
        <w:pStyle w:val="BeschriftungSSI"/>
      </w:pPr>
      <w:r>
        <w:t>Abb. 9: Der Box einen Artikel zuteilen – Status „Kann zugeteilt werden“</w:t>
      </w:r>
    </w:p>
    <w:p>
      <w:r>
        <w:rPr>
          <w:b/>
        </w:rPr>
        <w:t>Übung 3:</w:t>
      </w:r>
      <w:r>
        <w:t xml:space="preserve"> Ordnen Sie </w:t>
      </w:r>
      <w:r>
        <w:rPr>
          <w:rFonts w:ascii="Consolas" w:hAnsi="Consolas" w:cs="Consolas" w:eastAsia="Consolas"/>
          <w:sz w:val="18"/>
        </w:rPr>
        <w:t>TEST_WD_ART_06</w:t>
      </w:r>
      <w:r>
        <w:t xml:space="preserve"> der neuen Box zu. Welche Maximalmenge schlägt WAMAS vor?</w:t>
      </w:r>
    </w:p>
    <w:p>
      <w:pPr>
        <w:pStyle w:val="Quelle"/>
      </w:pPr>
      <w:r>
        <w:rPr>
          <w:b/>
        </w:rPr>
        <w:t xml:space="preserve">Quelle: </w:t>
      </w:r>
      <w:r>
        <w:rPr>
          <w:sz w:val="17"/>
        </w:rPr>
        <w:t>Touch-Skill; Testlog 13:05–13:29 und 14:24</w:t>
      </w:r>
    </w:p>
    <w:p>
      <w:pPr>
        <w:pStyle w:val="Heading1"/>
      </w:pPr>
      <w:r>
        <w:t>6 Ware einlagern</w:t>
      </w:r>
    </w:p>
    <w:p>
      <w:pPr>
        <w:tabs>
          <w:tab w:pos="425" w:val="left"/>
        </w:tabs>
        <w:spacing w:after="60"/>
        <w:ind w:left="425" w:hanging="425"/>
      </w:pPr>
      <w:r>
        <w:rPr>
          <w:b/>
        </w:rPr>
        <w:t>1.</w:t>
        <w:tab/>
      </w:r>
      <w:r>
        <w:t xml:space="preserve">Die Box mit dem Artikel antippen und </w:t>
      </w:r>
      <w:r>
        <w:rPr>
          <w:b/>
        </w:rPr>
        <w:t>Lagern</w:t>
      </w:r>
      <w:r>
        <w:t xml:space="preserve"> wählen. Die Anzeige zeigt Ist- und Maximalmenge, z. B. „0 PCS / 50“.</w:t>
      </w:r>
    </w:p>
    <w:p>
      <w:pPr>
        <w:tabs>
          <w:tab w:pos="425" w:val="left"/>
        </w:tabs>
        <w:spacing w:after="60"/>
        <w:ind w:left="425" w:hanging="425"/>
      </w:pPr>
      <w:r>
        <w:rPr>
          <w:b/>
        </w:rPr>
        <w:t>2.</w:t>
        <w:tab/>
      </w:r>
      <w:r>
        <w:t xml:space="preserve">Die Menge eingeben, z. B. </w:t>
      </w:r>
      <w:r>
        <w:rPr>
          <w:rFonts w:ascii="Consolas" w:hAnsi="Consolas" w:cs="Consolas" w:eastAsia="Consolas"/>
          <w:sz w:val="18"/>
        </w:rPr>
        <w:t>40</w:t>
      </w:r>
      <w:r>
        <w:t xml:space="preserve">, mit </w:t>
      </w:r>
      <w:r>
        <w:rPr>
          <w:b/>
        </w:rPr>
        <w:t>Tab</w:t>
      </w:r>
      <w:r>
        <w:t xml:space="preserve"> übernehmen und den grünen Haken tippen.</w:t>
      </w:r>
    </w:p>
    <w:p>
      <w:pPr>
        <w:tabs>
          <w:tab w:pos="425" w:val="left"/>
        </w:tabs>
        <w:spacing w:after="60"/>
        <w:ind w:left="425" w:hanging="425"/>
      </w:pPr>
      <w:r>
        <w:rPr>
          <w:b/>
        </w:rPr>
        <w:t>3.</w:t>
        <w:tab/>
      </w:r>
      <w:r>
        <w:t xml:space="preserve">Im Dialog </w:t>
      </w:r>
      <w:r>
        <w:rPr>
          <w:b/>
        </w:rPr>
        <w:t>LM101</w:t>
      </w:r>
      <w:r>
        <w:t xml:space="preserve"> den Buchungsschlüssel </w:t>
      </w:r>
      <w:r>
        <w:rPr>
          <w:b/>
        </w:rPr>
        <w:t>Inventory</w:t>
      </w:r>
      <w:r>
        <w:t xml:space="preserve"> wählen und einen </w:t>
      </w:r>
      <w:r>
        <w:rPr>
          <w:b/>
        </w:rPr>
        <w:t>Grund</w:t>
      </w:r>
      <w:r>
        <w:t xml:space="preserve"> eintragen. Der Grund ist Pflicht.</w:t>
      </w:r>
    </w:p>
    <w:p>
      <w:pPr>
        <w:tabs>
          <w:tab w:pos="425" w:val="left"/>
        </w:tabs>
        <w:spacing w:after="60"/>
        <w:ind w:left="425" w:hanging="425"/>
      </w:pPr>
      <w:r>
        <w:rPr>
          <w:b/>
        </w:rPr>
        <w:t>4.</w:t>
        <w:tab/>
      </w:r>
      <w:r>
        <w:t>Mit dem grünen Haken buchen.</w:t>
      </w:r>
    </w:p>
    <w:p>
      <w:pPr>
        <w:keepNext/>
      </w:pPr>
      <w:r>
        <w:drawing>
          <wp:inline xmlns:a="http://schemas.openxmlformats.org/drawingml/2006/main" xmlns:pic="http://schemas.openxmlformats.org/drawingml/2006/picture">
            <wp:extent cx="5040000" cy="2941312"/>
            <wp:docPr id="113" name="Picture 113"/>
            <wp:cNvGraphicFramePr>
              <a:graphicFrameLocks noChangeAspect="1"/>
            </wp:cNvGraphicFramePr>
            <a:graphic>
              <a:graphicData uri="http://schemas.openxmlformats.org/drawingml/2006/picture">
                <pic:pic>
                  <pic:nvPicPr>
                    <pic:cNvPr id="0" name="b10_lm002_lagern.png"/>
                    <pic:cNvPicPr/>
                  </pic:nvPicPr>
                  <pic:blipFill>
                    <a:blip r:embed="rId23"/>
                    <a:stretch>
                      <a:fillRect/>
                    </a:stretch>
                  </pic:blipFill>
                  <pic:spPr>
                    <a:xfrm>
                      <a:off x="0" y="0"/>
                      <a:ext cx="5040000" cy="2941312"/>
                    </a:xfrm>
                    <a:prstGeom prst="rect"/>
                  </pic:spPr>
                </pic:pic>
              </a:graphicData>
            </a:graphic>
          </wp:inline>
        </w:drawing>
      </w:r>
    </w:p>
    <w:p>
      <w:pPr>
        <w:pStyle w:val="BeschriftungSSI"/>
      </w:pPr>
      <w:r>
        <w:t>Abb. 10: Lagern – Menge eingeben</w:t>
      </w:r>
    </w:p>
    <w:p>
      <w:pPr>
        <w:keepNext/>
      </w:pPr>
      <w:r>
        <w:drawing>
          <wp:inline xmlns:a="http://schemas.openxmlformats.org/drawingml/2006/main" xmlns:pic="http://schemas.openxmlformats.org/drawingml/2006/picture">
            <wp:extent cx="5040000" cy="2941312"/>
            <wp:docPr id="114" name="Picture 114"/>
            <wp:cNvGraphicFramePr>
              <a:graphicFrameLocks noChangeAspect="1"/>
            </wp:cNvGraphicFramePr>
            <a:graphic>
              <a:graphicData uri="http://schemas.openxmlformats.org/drawingml/2006/picture">
                <pic:pic>
                  <pic:nvPicPr>
                    <pic:cNvPr id="0" name="b11_lm101_buchungsschluessel.png"/>
                    <pic:cNvPicPr/>
                  </pic:nvPicPr>
                  <pic:blipFill>
                    <a:blip r:embed="rId24"/>
                    <a:stretch>
                      <a:fillRect/>
                    </a:stretch>
                  </pic:blipFill>
                  <pic:spPr>
                    <a:xfrm>
                      <a:off x="0" y="0"/>
                      <a:ext cx="5040000" cy="2941312"/>
                    </a:xfrm>
                    <a:prstGeom prst="rect"/>
                  </pic:spPr>
                </pic:pic>
              </a:graphicData>
            </a:graphic>
          </wp:inline>
        </w:drawing>
      </w:r>
    </w:p>
    <w:p>
      <w:pPr>
        <w:pStyle w:val="BeschriftungSSI"/>
      </w:pPr>
      <w:r>
        <w:t>Abb. 11: LM101 – Buchungsschlüssel und Grund</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Manuelles Lagern ist eine Bestandskorrektur</w:t>
            </w:r>
          </w:p>
          <w:p>
            <w:pPr>
              <w:spacing w:after="40"/>
            </w:pPr>
            <w:r>
              <w:rPr>
                <w:sz w:val="19"/>
              </w:rPr>
              <w:t xml:space="preserve">Ohne Auftrag bucht WAMAS das Einlagern und Entnehmen als Bestandskorrektur (Inventory). Für echte Wareneingänge nutzen Sie die Kachel </w:t>
            </w:r>
            <w:r>
              <w:rPr>
                <w:b/>
                <w:sz w:val="19"/>
              </w:rPr>
              <w:t>Einlagerung</w:t>
            </w:r>
            <w:r>
              <w:rPr>
                <w:sz w:val="19"/>
              </w:rPr>
              <w:t xml:space="preserve"> mit Auftrag (Kapitel 9).</w:t>
            </w:r>
          </w:p>
        </w:tc>
      </w:tr>
    </w:tbl>
    <w:p>
      <w:pPr>
        <w:spacing w:after="40"/>
      </w:pPr>
    </w:p>
    <w:p>
      <w:r>
        <w:rPr>
          <w:b/>
        </w:rPr>
        <w:t>Übung 4:</w:t>
      </w:r>
      <w:r>
        <w:t xml:space="preserve"> Lagern Sie 40 Stück </w:t>
      </w:r>
      <w:r>
        <w:rPr>
          <w:rFonts w:ascii="Consolas" w:hAnsi="Consolas" w:cs="Consolas" w:eastAsia="Consolas"/>
          <w:sz w:val="18"/>
        </w:rPr>
        <w:t>TEST_WD_ART_06</w:t>
      </w:r>
      <w:r>
        <w:t xml:space="preserve"> ein. Welcher Buchungsschlüssel ist nötig, und was passiert ohne Grund?</w:t>
      </w:r>
    </w:p>
    <w:p>
      <w:pPr>
        <w:pStyle w:val="Quelle"/>
      </w:pPr>
      <w:r>
        <w:rPr>
          <w:b/>
        </w:rPr>
        <w:t xml:space="preserve">Quelle: </w:t>
      </w:r>
      <w:r>
        <w:rPr>
          <w:sz w:val="17"/>
        </w:rPr>
        <w:t>Touch-Skill; Testlog 14:25</w:t>
      </w:r>
    </w:p>
    <w:p>
      <w:pPr>
        <w:pStyle w:val="Heading1"/>
      </w:pPr>
      <w:r>
        <w:t>7 Tablar zurückschicken</w:t>
      </w:r>
    </w:p>
    <w:p>
      <w:r>
        <w:t xml:space="preserve">Ein manuell angefordertes Tablar fährt </w:t>
      </w:r>
      <w:r>
        <w:rPr>
          <w:b/>
        </w:rPr>
        <w:t>nicht</w:t>
      </w:r>
      <w:r>
        <w:t xml:space="preserve"> von selbst zurück.</w:t>
      </w:r>
    </w:p>
    <w:p>
      <w:pPr>
        <w:tabs>
          <w:tab w:pos="425" w:val="left"/>
        </w:tabs>
        <w:spacing w:after="60"/>
        <w:ind w:left="425" w:hanging="425"/>
      </w:pPr>
      <w:r>
        <w:rPr>
          <w:b/>
        </w:rPr>
        <w:t>1.</w:t>
        <w:tab/>
      </w:r>
      <w:r>
        <w:t xml:space="preserve">Unten rechts </w:t>
      </w:r>
      <w:r>
        <w:rPr>
          <w:b/>
        </w:rPr>
        <w:t>Tablar retournieren</w:t>
      </w:r>
      <w:r>
        <w:t xml:space="preserve"> tippen.</w:t>
      </w:r>
    </w:p>
    <w:p>
      <w:pPr>
        <w:tabs>
          <w:tab w:pos="425" w:val="left"/>
        </w:tabs>
        <w:spacing w:after="60"/>
        <w:ind w:left="425" w:hanging="425"/>
      </w:pPr>
      <w:r>
        <w:rPr>
          <w:b/>
        </w:rPr>
        <w:t>2.</w:t>
        <w:tab/>
      </w:r>
      <w:r>
        <w:t>Das Tablar fährt ein. Die Anzeige meldet „In der Zugriffsöffnung ist kein Tablar vorhanden.“</w:t>
      </w:r>
    </w:p>
    <w:p>
      <w:pPr>
        <w:keepNext/>
      </w:pPr>
      <w:r>
        <w:drawing>
          <wp:inline xmlns:a="http://schemas.openxmlformats.org/drawingml/2006/main" xmlns:pic="http://schemas.openxmlformats.org/drawingml/2006/picture">
            <wp:extent cx="5040000" cy="2941312"/>
            <wp:docPr id="115" name="Picture 115"/>
            <wp:cNvGraphicFramePr>
              <a:graphicFrameLocks noChangeAspect="1"/>
            </wp:cNvGraphicFramePr>
            <a:graphic>
              <a:graphicData uri="http://schemas.openxmlformats.org/drawingml/2006/picture">
                <pic:pic>
                  <pic:nvPicPr>
                    <pic:cNvPr id="0" name="b12_tablar_retournieren.png"/>
                    <pic:cNvPicPr/>
                  </pic:nvPicPr>
                  <pic:blipFill>
                    <a:blip r:embed="rId25"/>
                    <a:stretch>
                      <a:fillRect/>
                    </a:stretch>
                  </pic:blipFill>
                  <pic:spPr>
                    <a:xfrm>
                      <a:off x="0" y="0"/>
                      <a:ext cx="5040000" cy="2941312"/>
                    </a:xfrm>
                    <a:prstGeom prst="rect"/>
                  </pic:spPr>
                </pic:pic>
              </a:graphicData>
            </a:graphic>
          </wp:inline>
        </w:drawing>
      </w:r>
    </w:p>
    <w:p>
      <w:pPr>
        <w:pStyle w:val="BeschriftungSSI"/>
      </w:pPr>
      <w:r>
        <w:t>Abb. 12: Knopf „Tablar retournieren“ (Tooltip)</w:t>
      </w:r>
    </w:p>
    <w:p>
      <w:pPr>
        <w:keepNext/>
      </w:pPr>
      <w:r>
        <w:drawing>
          <wp:inline xmlns:a="http://schemas.openxmlformats.org/drawingml/2006/main" xmlns:pic="http://schemas.openxmlformats.org/drawingml/2006/picture">
            <wp:extent cx="5040000" cy="2941312"/>
            <wp:docPr id="116" name="Picture 116"/>
            <wp:cNvGraphicFramePr>
              <a:graphicFrameLocks noChangeAspect="1"/>
            </wp:cNvGraphicFramePr>
            <a:graphic>
              <a:graphicData uri="http://schemas.openxmlformats.org/drawingml/2006/picture">
                <pic:pic>
                  <pic:nvPicPr>
                    <pic:cNvPr id="0" name="b13_kein_tablar.png"/>
                    <pic:cNvPicPr/>
                  </pic:nvPicPr>
                  <pic:blipFill>
                    <a:blip r:embed="rId26"/>
                    <a:stretch>
                      <a:fillRect/>
                    </a:stretch>
                  </pic:blipFill>
                  <pic:spPr>
                    <a:xfrm>
                      <a:off x="0" y="0"/>
                      <a:ext cx="5040000" cy="2941312"/>
                    </a:xfrm>
                    <a:prstGeom prst="rect"/>
                  </pic:spPr>
                </pic:pic>
              </a:graphicData>
            </a:graphic>
          </wp:inline>
        </w:drawing>
      </w:r>
    </w:p>
    <w:p>
      <w:pPr>
        <w:pStyle w:val="BeschriftungSSI"/>
      </w:pPr>
      <w:r>
        <w:t>Abb. 13: Zugriffsöffnung leer</w:t>
      </w:r>
    </w:p>
    <w:p>
      <w:pPr>
        <w:pStyle w:val="Quelle"/>
      </w:pPr>
      <w:r>
        <w:rPr>
          <w:b/>
        </w:rPr>
        <w:t xml:space="preserve">Quelle: </w:t>
      </w:r>
      <w:r>
        <w:rPr>
          <w:sz w:val="17"/>
        </w:rPr>
        <w:t>Touch-Skill; Testlog 14:35</w:t>
      </w:r>
    </w:p>
    <w:p>
      <w:pPr>
        <w:pStyle w:val="Heading1"/>
      </w:pPr>
      <w:r>
        <w:t>8 Kontrolle</w:t>
      </w:r>
    </w:p>
    <w:p>
      <w:r>
        <w:t>Prüfen Sie nach dem Einlagern den Bestand:</w:t>
      </w:r>
    </w:p>
    <w:p>
      <w:pPr>
        <w:pStyle w:val="ListBullet"/>
      </w:pPr>
      <w:r>
        <w:rPr>
          <w:b/>
        </w:rPr>
        <w:t>Touch LM040</w:t>
      </w:r>
      <w:r>
        <w:t xml:space="preserve">: Artikel suchen → Tablar, Menge und Anzahl Boxen erscheinen (z. B. </w:t>
      </w:r>
      <w:r>
        <w:rPr>
          <w:rFonts w:ascii="Consolas" w:hAnsi="Consolas" w:cs="Consolas" w:eastAsia="Consolas"/>
          <w:sz w:val="18"/>
        </w:rPr>
        <w:t>TEST_WD_ART_06</w:t>
      </w:r>
      <w:r>
        <w:t>, Tablar 5, 30 PCS).</w:t>
      </w:r>
    </w:p>
    <w:p>
      <w:pPr>
        <w:pStyle w:val="ListBullet"/>
      </w:pPr>
      <w:r>
        <w:rPr>
          <w:b/>
        </w:rPr>
        <w:t>SM022</w:t>
      </w:r>
      <w:r>
        <w:t xml:space="preserve"> am Desktop-Client.</w:t>
      </w:r>
    </w:p>
    <w:p>
      <w:pPr>
        <w:pStyle w:val="ListBullet"/>
      </w:pPr>
      <w:r>
        <w:rPr>
          <w:b/>
        </w:rPr>
        <w:t>Mobile</w:t>
      </w:r>
      <w:r>
        <w:t>: LE- oder Lagerplatz-Scan. Der Artikelscan zeigt nur Stammdaten, keinen Bestand.</w:t>
      </w:r>
    </w:p>
    <w:p>
      <w:pPr>
        <w:keepNext/>
      </w:pPr>
      <w:r>
        <w:drawing>
          <wp:inline xmlns:a="http://schemas.openxmlformats.org/drawingml/2006/main" xmlns:pic="http://schemas.openxmlformats.org/drawingml/2006/picture">
            <wp:extent cx="5040000" cy="2941312"/>
            <wp:docPr id="117" name="Picture 117"/>
            <wp:cNvGraphicFramePr>
              <a:graphicFrameLocks noChangeAspect="1"/>
            </wp:cNvGraphicFramePr>
            <a:graphic>
              <a:graphicData uri="http://schemas.openxmlformats.org/drawingml/2006/picture">
                <pic:pic>
                  <pic:nvPicPr>
                    <pic:cNvPr id="0" name="b14_lm040_kontrolle.png"/>
                    <pic:cNvPicPr/>
                  </pic:nvPicPr>
                  <pic:blipFill>
                    <a:blip r:embed="rId27"/>
                    <a:stretch>
                      <a:fillRect/>
                    </a:stretch>
                  </pic:blipFill>
                  <pic:spPr>
                    <a:xfrm>
                      <a:off x="0" y="0"/>
                      <a:ext cx="5040000" cy="2941312"/>
                    </a:xfrm>
                    <a:prstGeom prst="rect"/>
                  </pic:spPr>
                </pic:pic>
              </a:graphicData>
            </a:graphic>
          </wp:inline>
        </w:drawing>
      </w:r>
    </w:p>
    <w:p>
      <w:pPr>
        <w:pStyle w:val="BeschriftungSSI"/>
      </w:pPr>
      <w:r>
        <w:t>Abb. 14: LM040 – Kontrolle des Bestands</w:t>
      </w:r>
    </w:p>
    <w:p>
      <w:r>
        <w:rPr>
          <w:b/>
        </w:rPr>
        <w:t>Übung 5:</w:t>
      </w:r>
      <w:r>
        <w:t xml:space="preserve"> Prüfen Sie in LM040, auf welchem Tablar </w:t>
      </w:r>
      <w:r>
        <w:rPr>
          <w:rFonts w:ascii="Consolas" w:hAnsi="Consolas" w:cs="Consolas" w:eastAsia="Consolas"/>
          <w:sz w:val="18"/>
        </w:rPr>
        <w:t>TEST_WD_ART_06</w:t>
      </w:r>
      <w:r>
        <w:t xml:space="preserve"> liegt und wie viel.</w:t>
      </w:r>
    </w:p>
    <w:p>
      <w:pPr>
        <w:pStyle w:val="Quelle"/>
      </w:pPr>
      <w:r>
        <w:rPr>
          <w:b/>
        </w:rPr>
        <w:t xml:space="preserve">Quelle: </w:t>
      </w:r>
      <w:r>
        <w:rPr>
          <w:sz w:val="17"/>
        </w:rPr>
        <w:t>Testlog 14:36; Mobile-Knowhow</w:t>
      </w:r>
    </w:p>
    <w:p>
      <w:pPr>
        <w:pStyle w:val="Heading1"/>
      </w:pPr>
      <w:r>
        <w:t>9 Ausblick: Arbeiten mit Aufträgen</w:t>
      </w:r>
    </w:p>
    <w:p>
      <w:r>
        <w:t>Mit Auftrag ist der Ablauf kürzer, weil WAMAS Tablar, Box und Menge vorgibt:</w:t>
      </w:r>
    </w:p>
    <w:p>
      <w:pPr>
        <w:pStyle w:val="ListBullet"/>
      </w:pPr>
      <w:r>
        <w:rPr>
          <w:b/>
        </w:rPr>
        <w:t>Einlagerung</w:t>
      </w:r>
      <w:r>
        <w:t xml:space="preserve"> (LM035): Das Tablar kommt automatisch, die Box ist markiert, die Menge wird vorgeschlagen (z. B. </w:t>
      </w:r>
      <w:r>
        <w:rPr>
          <w:rFonts w:ascii="Consolas" w:hAnsi="Consolas" w:cs="Consolas" w:eastAsia="Consolas"/>
          <w:sz w:val="18"/>
        </w:rPr>
        <w:t>SD_P2_01</w:t>
      </w:r>
      <w:r>
        <w:t xml:space="preserve">, 4 PCS). Bestätigen – das Tablar fährt danach </w:t>
      </w:r>
      <w:r>
        <w:rPr>
          <w:b/>
        </w:rPr>
        <w:t>von selbst</w:t>
      </w:r>
      <w:r>
        <w:t xml:space="preserve"> zurück.</w:t>
      </w:r>
    </w:p>
    <w:p>
      <w:pPr>
        <w:pStyle w:val="ListBullet"/>
      </w:pPr>
      <w:r>
        <w:rPr>
          <w:b/>
        </w:rPr>
        <w:t>Kommissionierung</w:t>
      </w:r>
      <w:r>
        <w:t xml:space="preserve">: Bei jedem Kommissionierauftrag fragt </w:t>
      </w:r>
      <w:r>
        <w:rPr>
          <w:b/>
        </w:rPr>
        <w:t>LM108</w:t>
      </w:r>
      <w:r>
        <w:t xml:space="preserve"> eine </w:t>
      </w:r>
      <w:r>
        <w:rPr>
          <w:b/>
        </w:rPr>
        <w:t>externe LE-ID</w:t>
      </w:r>
      <w:r>
        <w:t xml:space="preserve"> ab. Das Feld ist Pflicht.</w:t>
      </w:r>
    </w:p>
    <w:p>
      <w:pPr>
        <w:keepNext/>
      </w:pPr>
      <w:r>
        <w:drawing>
          <wp:inline xmlns:a="http://schemas.openxmlformats.org/drawingml/2006/main" xmlns:pic="http://schemas.openxmlformats.org/drawingml/2006/picture">
            <wp:extent cx="5040000" cy="2941312"/>
            <wp:docPr id="118" name="Picture 118"/>
            <wp:cNvGraphicFramePr>
              <a:graphicFrameLocks noChangeAspect="1"/>
            </wp:cNvGraphicFramePr>
            <a:graphic>
              <a:graphicData uri="http://schemas.openxmlformats.org/drawingml/2006/picture">
                <pic:pic>
                  <pic:nvPicPr>
                    <pic:cNvPr id="0" name="b15_lm035_einlagerung_auftrag.png"/>
                    <pic:cNvPicPr/>
                  </pic:nvPicPr>
                  <pic:blipFill>
                    <a:blip r:embed="rId28"/>
                    <a:stretch>
                      <a:fillRect/>
                    </a:stretch>
                  </pic:blipFill>
                  <pic:spPr>
                    <a:xfrm>
                      <a:off x="0" y="0"/>
                      <a:ext cx="5040000" cy="2941312"/>
                    </a:xfrm>
                    <a:prstGeom prst="rect"/>
                  </pic:spPr>
                </pic:pic>
              </a:graphicData>
            </a:graphic>
          </wp:inline>
        </w:drawing>
      </w:r>
    </w:p>
    <w:p>
      <w:pPr>
        <w:pStyle w:val="BeschriftungSSI"/>
      </w:pPr>
      <w:r>
        <w:t>Abb. 15: LM035 – auftragsbezogene Einlagerung</w:t>
      </w:r>
    </w:p>
    <w:p>
      <w:pPr>
        <w:keepNext/>
      </w:pPr>
      <w:r>
        <w:drawing>
          <wp:inline xmlns:a="http://schemas.openxmlformats.org/drawingml/2006/main" xmlns:pic="http://schemas.openxmlformats.org/drawingml/2006/picture">
            <wp:extent cx="5040000" cy="2941312"/>
            <wp:docPr id="119" name="Picture 119"/>
            <wp:cNvGraphicFramePr>
              <a:graphicFrameLocks noChangeAspect="1"/>
            </wp:cNvGraphicFramePr>
            <a:graphic>
              <a:graphicData uri="http://schemas.openxmlformats.org/drawingml/2006/picture">
                <pic:pic>
                  <pic:nvPicPr>
                    <pic:cNvPr id="0" name="b16_lm108_externe_le.png"/>
                    <pic:cNvPicPr/>
                  </pic:nvPicPr>
                  <pic:blipFill>
                    <a:blip r:embed="rId29"/>
                    <a:stretch>
                      <a:fillRect/>
                    </a:stretch>
                  </pic:blipFill>
                  <pic:spPr>
                    <a:xfrm>
                      <a:off x="0" y="0"/>
                      <a:ext cx="5040000" cy="2941312"/>
                    </a:xfrm>
                    <a:prstGeom prst="rect"/>
                  </pic:spPr>
                </pic:pic>
              </a:graphicData>
            </a:graphic>
          </wp:inline>
        </w:drawing>
      </w:r>
    </w:p>
    <w:p>
      <w:pPr>
        <w:pStyle w:val="BeschriftungSSI"/>
      </w:pPr>
      <w:r>
        <w:t>Abb. 16: LM108 – Externe LE-ID</w:t>
      </w:r>
    </w:p>
    <w:p>
      <w:pPr>
        <w:pStyle w:val="Quelle"/>
      </w:pPr>
      <w:r>
        <w:rPr>
          <w:b/>
        </w:rPr>
        <w:t xml:space="preserve">Quelle: </w:t>
      </w:r>
      <w:r>
        <w:rPr>
          <w:sz w:val="17"/>
        </w:rPr>
        <w:t>Testlog 14:37–15:00</w:t>
      </w:r>
    </w:p>
    <w:p>
      <w:pPr>
        <w:pStyle w:val="Heading1"/>
      </w:pPr>
      <w:r>
        <w:t>10 Stolperfallen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Das passiert in der Praxis</w:t>
            </w:r>
          </w:p>
          <w:p>
            <w:pPr>
              <w:spacing w:after="40"/>
            </w:pPr>
            <w:r>
              <w:rPr>
                <w:sz w:val="19"/>
              </w:rPr>
              <w:t>- Tablar nach manuellem Arbeiten nicht retourniert – es bleibt in der Öffnung stehen.</w:t>
            </w:r>
          </w:p>
          <w:p>
            <w:pPr>
              <w:spacing w:after="40"/>
            </w:pPr>
            <w:r>
              <w:rPr>
                <w:sz w:val="19"/>
              </w:rPr>
              <w:t>- Box zu schnell gezogen – sie rastet nicht ein. Langsam ziehen.</w:t>
            </w:r>
          </w:p>
          <w:p>
            <w:pPr>
              <w:spacing w:after="40"/>
            </w:pPr>
            <w:r>
              <w:rPr>
                <w:sz w:val="19"/>
              </w:rPr>
              <w:t>- Zahl eingetippt und gleich Haken gedrückt – Zeichen fehlen. Erst Tab.</w:t>
            </w:r>
          </w:p>
          <w:p>
            <w:pPr>
              <w:spacing w:after="40"/>
            </w:pPr>
            <w:r>
              <w:rPr>
                <w:sz w:val="19"/>
              </w:rPr>
              <w:t>- „Kein Boxtyp zugeordnet“ – Zuordnung fehlt in LM084, Administrator fragen.</w:t>
            </w:r>
          </w:p>
          <w:p>
            <w:pPr>
              <w:spacing w:after="40"/>
            </w:pPr>
            <w:r>
              <w:rPr>
                <w:sz w:val="19"/>
              </w:rPr>
              <w:t>- Grund in LM101 leer – Buchung geht nicht.</w:t>
            </w:r>
          </w:p>
          <w:p>
            <w:pPr>
              <w:spacing w:after="40"/>
            </w:pPr>
            <w:r>
              <w:rPr>
                <w:sz w:val="19"/>
              </w:rPr>
              <w:t>- Abmelden hängt – F5 drücken.</w:t>
            </w:r>
          </w:p>
          <w:p>
            <w:pPr>
              <w:spacing w:after="40"/>
            </w:pPr>
            <w:r>
              <w:rPr>
                <w:sz w:val="19"/>
              </w:rPr>
              <w:t>- Bei Kommissionierung LM108 übersehen – externe LE-ID ist Pflicht.</w:t>
            </w:r>
          </w:p>
        </w:tc>
      </w:tr>
    </w:tbl>
    <w:p>
      <w:pPr>
        <w:spacing w:after="40"/>
      </w:pPr>
    </w:p>
    <w:p>
      <w:pPr>
        <w:pStyle w:val="Heading1"/>
      </w:pPr>
      <w:r>
        <w:t>11 Praxisbeispiel: Neue Box mit Ware</w:t>
      </w:r>
    </w:p>
    <w:p>
      <w:r>
        <w:rPr>
          <w:b/>
        </w:rPr>
        <w:t>Aufgabe:</w:t>
      </w:r>
      <w:r>
        <w:t xml:space="preserve"> Auf Tablar 5 des LOGIMAT A2 kommt eine neue Box für </w:t>
      </w:r>
      <w:r>
        <w:rPr>
          <w:rFonts w:ascii="Consolas" w:hAnsi="Consolas" w:cs="Consolas" w:eastAsia="Consolas"/>
          <w:sz w:val="18"/>
        </w:rPr>
        <w:t>TEST_WD_ART_06</w:t>
      </w:r>
      <w:r>
        <w:t xml:space="preserve"> (Zylinderschraube) mit 40 Stück.</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33"/>
        <w:gridCol w:w="1547"/>
        <w:gridCol w:w="7144"/>
      </w:tblGrid>
      <w:tr>
        <w:trPr>
          <w:tblHeader w:val="true"/>
        </w:trPr>
        <w:tc>
          <w:tcPr>
            <w:tcW w:type="dxa" w:w="833"/>
            <w:shd w:val="clear" w:color="auto" w:fill="FEEE19"/>
          </w:tcPr>
          <w:p>
            <w:pPr>
              <w:spacing w:after="0"/>
            </w:pPr>
            <w:r>
              <w:rPr>
                <w:b/>
                <w:sz w:val="17"/>
              </w:rPr>
              <w:t>Schritt</w:t>
            </w:r>
          </w:p>
        </w:tc>
        <w:tc>
          <w:tcPr>
            <w:tcW w:type="dxa" w:w="1548"/>
            <w:shd w:val="clear" w:color="auto" w:fill="FEEE19"/>
          </w:tcPr>
          <w:p>
            <w:pPr>
              <w:spacing w:after="0"/>
            </w:pPr>
            <w:r>
              <w:rPr>
                <w:b/>
                <w:sz w:val="17"/>
              </w:rPr>
              <w:t>Dialog</w:t>
            </w:r>
          </w:p>
        </w:tc>
        <w:tc>
          <w:tcPr>
            <w:tcW w:type="dxa" w:w="7143"/>
            <w:shd w:val="clear" w:color="auto" w:fill="FEEE19"/>
          </w:tcPr>
          <w:p>
            <w:pPr>
              <w:spacing w:after="0"/>
            </w:pPr>
            <w:r>
              <w:rPr>
                <w:b/>
                <w:sz w:val="17"/>
              </w:rPr>
              <w:t>Aktion</w:t>
            </w:r>
          </w:p>
        </w:tc>
      </w:tr>
      <w:tr>
        <w:tc>
          <w:tcPr>
            <w:tcW w:type="dxa" w:w="833"/>
          </w:tcPr>
          <w:p>
            <w:pPr>
              <w:spacing w:after="0" w:line="252" w:lineRule="auto"/>
            </w:pPr>
            <w:r>
              <w:rPr>
                <w:sz w:val="17"/>
              </w:rPr>
              <w:t>1</w:t>
            </w:r>
          </w:p>
        </w:tc>
        <w:tc>
          <w:tcPr>
            <w:tcW w:type="dxa" w:w="1548"/>
          </w:tcPr>
          <w:p>
            <w:pPr>
              <w:spacing w:after="0" w:line="252" w:lineRule="auto"/>
            </w:pPr>
            <w:r>
              <w:rPr>
                <w:sz w:val="17"/>
              </w:rPr>
              <w:t>LM006</w:t>
            </w:r>
          </w:p>
        </w:tc>
        <w:tc>
          <w:tcPr>
            <w:tcW w:type="dxa" w:w="7143"/>
          </w:tcPr>
          <w:p>
            <w:pPr>
              <w:spacing w:after="0" w:line="252" w:lineRule="auto"/>
            </w:pPr>
            <w:r>
              <w:rPr>
                <w:sz w:val="17"/>
              </w:rPr>
              <w:t>Kachel Manuelle Vorgänge</w:t>
            </w:r>
          </w:p>
        </w:tc>
      </w:tr>
      <w:tr>
        <w:tc>
          <w:tcPr>
            <w:tcW w:type="dxa" w:w="833"/>
          </w:tcPr>
          <w:p>
            <w:pPr>
              <w:spacing w:after="0" w:line="252" w:lineRule="auto"/>
            </w:pPr>
            <w:r>
              <w:rPr>
                <w:sz w:val="17"/>
              </w:rPr>
              <w:t>2</w:t>
            </w:r>
          </w:p>
        </w:tc>
        <w:tc>
          <w:tcPr>
            <w:tcW w:type="dxa" w:w="1548"/>
          </w:tcPr>
          <w:p>
            <w:pPr>
              <w:spacing w:after="0" w:line="252" w:lineRule="auto"/>
            </w:pPr>
            <w:r>
              <w:rPr>
                <w:sz w:val="17"/>
              </w:rPr>
              <w:t>LM040</w:t>
            </w:r>
          </w:p>
        </w:tc>
        <w:tc>
          <w:tcPr>
            <w:tcW w:type="dxa" w:w="7143"/>
          </w:tcPr>
          <w:p>
            <w:pPr>
              <w:spacing w:after="0" w:line="252" w:lineRule="auto"/>
            </w:pPr>
            <w:r>
              <w:rPr>
                <w:sz w:val="17"/>
              </w:rPr>
              <w:t>Tablar 5 wählen, Tablar anfordern</w:t>
            </w:r>
          </w:p>
        </w:tc>
      </w:tr>
      <w:tr>
        <w:tc>
          <w:tcPr>
            <w:tcW w:type="dxa" w:w="833"/>
          </w:tcPr>
          <w:p>
            <w:pPr>
              <w:spacing w:after="0" w:line="252" w:lineRule="auto"/>
            </w:pPr>
            <w:r>
              <w:rPr>
                <w:sz w:val="17"/>
              </w:rPr>
              <w:t>3</w:t>
            </w:r>
          </w:p>
        </w:tc>
        <w:tc>
          <w:tcPr>
            <w:tcW w:type="dxa" w:w="1548"/>
          </w:tcPr>
          <w:p>
            <w:pPr>
              <w:spacing w:after="0" w:line="252" w:lineRule="auto"/>
            </w:pPr>
            <w:r>
              <w:rPr>
                <w:sz w:val="17"/>
              </w:rPr>
              <w:t>LM004</w:t>
            </w:r>
          </w:p>
        </w:tc>
        <w:tc>
          <w:tcPr>
            <w:tcW w:type="dxa" w:w="7143"/>
          </w:tcPr>
          <w:p>
            <w:pPr>
              <w:spacing w:after="0" w:line="252" w:lineRule="auto"/>
            </w:pPr>
            <w:r>
              <w:rPr>
                <w:sz w:val="17"/>
              </w:rPr>
              <w:t xml:space="preserve">Tablarlayout bearbeiten, </w:t>
            </w:r>
            <w:r>
              <w:rPr>
                <w:rFonts w:ascii="Consolas" w:hAnsi="Consolas" w:cs="Consolas" w:eastAsia="Consolas"/>
                <w:sz w:val="15"/>
              </w:rPr>
              <w:t>TEST_WD_BOX_A2</w:t>
            </w:r>
            <w:r>
              <w:rPr>
                <w:sz w:val="17"/>
              </w:rPr>
              <w:t xml:space="preserve"> ziehen, Speichern</w:t>
            </w:r>
          </w:p>
        </w:tc>
      </w:tr>
      <w:tr>
        <w:tc>
          <w:tcPr>
            <w:tcW w:type="dxa" w:w="833"/>
          </w:tcPr>
          <w:p>
            <w:pPr>
              <w:spacing w:after="0" w:line="252" w:lineRule="auto"/>
            </w:pPr>
            <w:r>
              <w:rPr>
                <w:sz w:val="17"/>
              </w:rPr>
              <w:t>4</w:t>
            </w:r>
          </w:p>
        </w:tc>
        <w:tc>
          <w:tcPr>
            <w:tcW w:type="dxa" w:w="1548"/>
          </w:tcPr>
          <w:p>
            <w:pPr>
              <w:spacing w:after="0" w:line="252" w:lineRule="auto"/>
            </w:pPr>
            <w:r>
              <w:rPr>
                <w:sz w:val="17"/>
              </w:rPr>
              <w:t>LM002</w:t>
            </w:r>
          </w:p>
        </w:tc>
        <w:tc>
          <w:tcPr>
            <w:tcW w:type="dxa" w:w="7143"/>
          </w:tcPr>
          <w:p>
            <w:pPr>
              <w:spacing w:after="0" w:line="252" w:lineRule="auto"/>
            </w:pPr>
            <w:r>
              <w:rPr>
                <w:sz w:val="17"/>
              </w:rPr>
              <w:t xml:space="preserve">Box antippen, Der Box einen Artikel zuteilen, </w:t>
            </w:r>
            <w:r>
              <w:rPr>
                <w:rFonts w:ascii="Consolas" w:hAnsi="Consolas" w:cs="Consolas" w:eastAsia="Consolas"/>
                <w:sz w:val="15"/>
              </w:rPr>
              <w:t>TEST_WD_ART_06</w:t>
            </w:r>
            <w:r>
              <w:rPr>
                <w:sz w:val="17"/>
              </w:rPr>
              <w:t>, Haken</w:t>
            </w:r>
          </w:p>
        </w:tc>
      </w:tr>
      <w:tr>
        <w:tc>
          <w:tcPr>
            <w:tcW w:type="dxa" w:w="833"/>
          </w:tcPr>
          <w:p>
            <w:pPr>
              <w:spacing w:after="0" w:line="252" w:lineRule="auto"/>
            </w:pPr>
            <w:r>
              <w:rPr>
                <w:sz w:val="17"/>
              </w:rPr>
              <w:t>5</w:t>
            </w:r>
          </w:p>
        </w:tc>
        <w:tc>
          <w:tcPr>
            <w:tcW w:type="dxa" w:w="1548"/>
          </w:tcPr>
          <w:p>
            <w:pPr>
              <w:spacing w:after="0" w:line="252" w:lineRule="auto"/>
            </w:pPr>
            <w:r>
              <w:rPr>
                <w:sz w:val="17"/>
              </w:rPr>
              <w:t>LM002 / LM101</w:t>
            </w:r>
          </w:p>
        </w:tc>
        <w:tc>
          <w:tcPr>
            <w:tcW w:type="dxa" w:w="7143"/>
          </w:tcPr>
          <w:p>
            <w:pPr>
              <w:spacing w:after="0" w:line="252" w:lineRule="auto"/>
            </w:pPr>
            <w:r>
              <w:rPr>
                <w:sz w:val="17"/>
              </w:rPr>
              <w:t>Lagern, 40, Tab, Haken, Inventory + Grund, Haken</w:t>
            </w:r>
          </w:p>
        </w:tc>
      </w:tr>
      <w:tr>
        <w:tc>
          <w:tcPr>
            <w:tcW w:type="dxa" w:w="833"/>
          </w:tcPr>
          <w:p>
            <w:pPr>
              <w:spacing w:after="0" w:line="252" w:lineRule="auto"/>
            </w:pPr>
            <w:r>
              <w:rPr>
                <w:sz w:val="17"/>
              </w:rPr>
              <w:t>6</w:t>
            </w:r>
          </w:p>
        </w:tc>
        <w:tc>
          <w:tcPr>
            <w:tcW w:type="dxa" w:w="1548"/>
          </w:tcPr>
          <w:p>
            <w:pPr>
              <w:spacing w:after="0" w:line="252" w:lineRule="auto"/>
            </w:pPr>
            <w:r>
              <w:rPr>
                <w:sz w:val="17"/>
              </w:rPr>
              <w:t>LM002</w:t>
            </w:r>
          </w:p>
        </w:tc>
        <w:tc>
          <w:tcPr>
            <w:tcW w:type="dxa" w:w="7143"/>
          </w:tcPr>
          <w:p>
            <w:pPr>
              <w:spacing w:after="0" w:line="252" w:lineRule="auto"/>
            </w:pPr>
            <w:r>
              <w:rPr>
                <w:sz w:val="17"/>
              </w:rPr>
              <w:t>Tablar retournieren</w:t>
            </w:r>
          </w:p>
        </w:tc>
      </w:tr>
      <w:tr>
        <w:tc>
          <w:tcPr>
            <w:tcW w:type="dxa" w:w="833"/>
          </w:tcPr>
          <w:p>
            <w:pPr>
              <w:spacing w:after="0" w:line="252" w:lineRule="auto"/>
            </w:pPr>
            <w:r>
              <w:rPr>
                <w:sz w:val="17"/>
              </w:rPr>
              <w:t>7</w:t>
            </w:r>
          </w:p>
        </w:tc>
        <w:tc>
          <w:tcPr>
            <w:tcW w:type="dxa" w:w="1548"/>
          </w:tcPr>
          <w:p>
            <w:pPr>
              <w:spacing w:after="0" w:line="252" w:lineRule="auto"/>
            </w:pPr>
            <w:r>
              <w:rPr>
                <w:sz w:val="17"/>
              </w:rPr>
              <w:t>LM040</w:t>
            </w:r>
          </w:p>
        </w:tc>
        <w:tc>
          <w:tcPr>
            <w:tcW w:type="dxa" w:w="7143"/>
          </w:tcPr>
          <w:p>
            <w:pPr>
              <w:spacing w:after="0" w:line="252" w:lineRule="auto"/>
            </w:pPr>
            <w:r>
              <w:rPr>
                <w:sz w:val="17"/>
              </w:rPr>
              <w:t>Kontrolle: Tablar 5, 40 PCS</w:t>
            </w:r>
          </w:p>
        </w:tc>
      </w:tr>
    </w:tbl>
    <w:p>
      <w:pPr>
        <w:pStyle w:val="BeschriftungSSI"/>
      </w:pPr>
      <w:r>
        <w:t>Tab. 2: Ablauf im Überblick</w:t>
      </w:r>
    </w:p>
    <w:p>
      <w:pPr>
        <w:pStyle w:val="Heading1"/>
      </w:pPr>
      <w:r>
        <w:t>12 Offene Punkte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Artikelbild erscheint im Touch (LM053) noch nicht.</w:t>
            </w:r>
          </w:p>
          <w:p>
            <w:pPr>
              <w:spacing w:after="40"/>
            </w:pPr>
            <w:r>
              <w:rPr>
                <w:sz w:val="19"/>
              </w:rPr>
              <w:t>- Spracheinstellung des Touch-Clients (Deutsch/Englisch) klären.</w:t>
            </w:r>
          </w:p>
          <w:p>
            <w:pPr>
              <w:spacing w:after="40"/>
            </w:pPr>
            <w:r>
              <w:rPr>
                <w:sz w:val="19"/>
              </w:rPr>
              <w:t>- Box-Zuordnung am Touch bei „Kein Boxtyp zugeordnet“ für normale Boxen (nicht LMB) bestätigen.</w:t>
            </w:r>
          </w:p>
          <w:p>
            <w:pPr>
              <w:spacing w:after="40"/>
            </w:pPr>
            <w:r>
              <w:rPr>
                <w:sz w:val="19"/>
              </w:rPr>
              <w:t>- Entfernen einer Box mit Bestand am Touch nicht getestet.</w:t>
            </w:r>
          </w:p>
        </w:tc>
      </w:tr>
    </w:tbl>
    <w:p>
      <w:pPr>
        <w:spacing w:after="40"/>
      </w:pPr>
    </w:p>
    <w:p>
      <w:pPr>
        <w:pStyle w:val="Heading1"/>
      </w:pPr>
      <w:r>
        <w:t>13 Quellenverzeichnis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85"/>
        <w:gridCol w:w="8540"/>
      </w:tblGrid>
      <w:tr>
        <w:trPr>
          <w:tblHeader w:val="true"/>
        </w:trPr>
        <w:tc>
          <w:tcPr>
            <w:tcW w:type="dxa" w:w="985"/>
            <w:shd w:val="clear" w:color="auto" w:fill="FEEE19"/>
          </w:tcPr>
          <w:p>
            <w:pPr>
              <w:spacing w:after="0"/>
            </w:pPr>
            <w:r>
              <w:rPr>
                <w:b/>
                <w:sz w:val="17"/>
              </w:rPr>
              <w:t>Kürzel</w:t>
            </w:r>
          </w:p>
        </w:tc>
        <w:tc>
          <w:tcPr>
            <w:tcW w:type="dxa" w:w="8539"/>
            <w:shd w:val="clear" w:color="auto" w:fill="FEEE19"/>
          </w:tcPr>
          <w:p>
            <w:pPr>
              <w:spacing w:after="0"/>
            </w:pPr>
            <w:r>
              <w:rPr>
                <w:b/>
                <w:sz w:val="17"/>
              </w:rPr>
              <w:t>Dokument</w:t>
            </w:r>
          </w:p>
        </w:tc>
      </w:tr>
      <w:tr>
        <w:tc>
          <w:tcPr>
            <w:tcW w:type="dxa" w:w="985"/>
          </w:tcPr>
          <w:p>
            <w:pPr>
              <w:spacing w:after="0" w:line="252" w:lineRule="auto"/>
            </w:pPr>
            <w:r>
              <w:rPr>
                <w:sz w:val="17"/>
              </w:rPr>
              <w:t>TL</w:t>
            </w:r>
          </w:p>
        </w:tc>
        <w:tc>
          <w:tcPr>
            <w:tcW w:type="dxa" w:w="8539"/>
          </w:tcPr>
          <w:p>
            <w:pPr>
              <w:spacing w:after="0" w:line="252" w:lineRule="auto"/>
            </w:pPr>
            <w:r>
              <w:rPr>
                <w:sz w:val="17"/>
              </w:rPr>
              <w:t>Testlog WAMAS Dev, Testsystem WLS 2.8.0, 17.10.2026</w:t>
            </w:r>
          </w:p>
        </w:tc>
      </w:tr>
      <w:tr>
        <w:tc>
          <w:tcPr>
            <w:tcW w:type="dxa" w:w="985"/>
          </w:tcPr>
          <w:p>
            <w:pPr>
              <w:spacing w:after="0" w:line="252" w:lineRule="auto"/>
            </w:pPr>
            <w:r>
              <w:rPr>
                <w:sz w:val="17"/>
              </w:rPr>
              <w:t>TS</w:t>
            </w:r>
          </w:p>
        </w:tc>
        <w:tc>
          <w:tcPr>
            <w:tcW w:type="dxa" w:w="8539"/>
          </w:tcPr>
          <w:p>
            <w:pPr>
              <w:spacing w:after="0" w:line="252" w:lineRule="auto"/>
            </w:pPr>
            <w:r>
              <w:rPr>
                <w:sz w:val="17"/>
              </w:rPr>
              <w:t>Workflow „WAMAS Touch LOGIMAT Bedienung“ (WAMAS Dev)</w:t>
            </w:r>
          </w:p>
        </w:tc>
      </w:tr>
      <w:tr>
        <w:tc>
          <w:tcPr>
            <w:tcW w:type="dxa" w:w="985"/>
          </w:tcPr>
          <w:p>
            <w:pPr>
              <w:spacing w:after="0" w:line="252" w:lineRule="auto"/>
            </w:pPr>
            <w:r>
              <w:rPr>
                <w:sz w:val="17"/>
              </w:rPr>
              <w:t>KH</w:t>
            </w:r>
          </w:p>
        </w:tc>
        <w:tc>
          <w:tcPr>
            <w:tcW w:type="dxa" w:w="8539"/>
          </w:tcPr>
          <w:p>
            <w:pPr>
              <w:spacing w:after="0" w:line="252" w:lineRule="auto"/>
            </w:pPr>
            <w:r>
              <w:rPr>
                <w:sz w:val="17"/>
              </w:rPr>
              <w:t>Knowhow LOGIMAT-Bedienung und WAMAS Mobile</w:t>
            </w:r>
          </w:p>
        </w:tc>
      </w:tr>
    </w:tbl>
    <w:p>
      <w:pPr>
        <w:pStyle w:val="BeschriftungSSI"/>
      </w:pPr>
      <w:r>
        <w:t>Tab. 3: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Schulungsunterlage V 1.0</w:t>
          </w:r>
        </w:p>
        <w:p>
          <w:pPr>
            <w:spacing w:after="0" w:line="240" w:lineRule="auto"/>
          </w:pPr>
          <w:r>
            <w:rPr>
              <w:sz w:val="13"/>
            </w:rPr>
            <w:t>Intern</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Schulungsunterlage</w:t>
    </w:r>
  </w:p>
  <w:p>
    <w:pPr>
      <w:jc w:val="right"/>
      <w:pBdr>
        <w:bottom w:val="single" w:sz="4" w:space="4" w:color="000000"/>
      </w:pBdr>
    </w:pPr>
    <w:r>
      <w:rPr>
        <w:b/>
        <w:sz w:val="22"/>
      </w:rPr>
      <w:t>Schulung Touch LOGIMAT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Schulung Touch LOGIMAT</dc:title>
  <dc:subject>Tablar anfordern, Boxen anlegen, Artikel zuordnen, einlagern, Tablar zurück</dc:subject>
  <dc:creator>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