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Kundenanleitung</w:t>
            </w:r>
          </w:p>
          <w:p>
            <w:pPr>
              <w:spacing w:after="120"/>
            </w:pPr>
            <w:r>
              <w:rPr>
                <w:b/>
                <w:sz w:val="48"/>
              </w:rPr>
              <w:t>Artikel anlegen und importieren (ohne Schnittstelle)</w:t>
            </w:r>
          </w:p>
          <w:p>
            <w:pPr>
              <w:spacing w:after="360"/>
            </w:pPr>
            <w:r>
              <w:rPr>
                <w:b w:val="0"/>
                <w:sz w:val="32"/>
              </w:rPr>
              <w:t>WAMAS Lift &amp; Store 2.7 / 2.8</w:t>
            </w:r>
          </w:p>
          <w:p>
            <w:pPr>
              <w:spacing w:after="0"/>
            </w:pPr>
            <w:r>
              <w:rPr>
                <w:b w:val="0"/>
                <w:sz w:val="22"/>
              </w:rPr>
              <w:t>Kundendokument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Artikelstamm manuell am Desktop und Touch-Client pflegen, Artikeletiketten drucken und Artikel per Datei- bzw. Excel-Import übernehmen</w:t>
            </w:r>
          </w:p>
          <w:p>
            <w:pPr>
              <w:spacing w:after="0"/>
            </w:pPr>
            <w:r>
              <w:rPr>
                <w:b w:val="0"/>
                <w:color w:val="555555"/>
                <w:sz w:val="18"/>
              </w:rPr>
              <w:t>SSI SCHÄFER</w:t>
            </w:r>
          </w:p>
        </w:tc>
      </w:tr>
    </w:tbl>
    <w:p>
      <w:pPr>
        <w:spacing w:before="8617"/>
      </w:pPr>
      <w:r>
        <w:rPr>
          <w:sz w:val="18"/>
        </w:rPr>
        <w:t>V 1.0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Begriffe</w:t>
        <w:tab/>
        <w:t>5</w:t>
      </w:r>
    </w:p>
    <w:p>
      <w:pPr>
        <w:pStyle w:val="TOC2"/>
        <w:tabs>
          <w:tab w:pos="9524" w:val="right" w:leader="dot"/>
        </w:tabs>
      </w:pPr>
      <w:r>
        <w:t>1.4 Dokumentinformationen</w:t>
        <w:tab/>
        <w:t>5</w:t>
      </w:r>
    </w:p>
    <w:p>
      <w:pPr>
        <w:pStyle w:val="TOC1"/>
        <w:tabs>
          <w:tab w:pos="9524" w:val="right" w:leader="dot"/>
        </w:tabs>
      </w:pPr>
      <w:r>
        <w:t>2 Überblick: Wege zum Artikelstamm</w:t>
        <w:tab/>
        <w:t>7</w:t>
      </w:r>
    </w:p>
    <w:p>
      <w:pPr>
        <w:pStyle w:val="TOC1"/>
        <w:tabs>
          <w:tab w:pos="9524" w:val="right" w:leader="dot"/>
        </w:tabs>
      </w:pPr>
      <w:r>
        <w:t>3 Grundlagen und Voraussetzungen</w:t>
        <w:tab/>
        <w:t>8</w:t>
      </w:r>
    </w:p>
    <w:p>
      <w:pPr>
        <w:pStyle w:val="TOC2"/>
        <w:tabs>
          <w:tab w:pos="9524" w:val="right" w:leader="dot"/>
        </w:tabs>
      </w:pPr>
      <w:r>
        <w:t>3.1 Aufbau eines Artikels</w:t>
        <w:tab/>
        <w:t>8</w:t>
      </w:r>
    </w:p>
    <w:p>
      <w:pPr>
        <w:pStyle w:val="TOC2"/>
        <w:tabs>
          <w:tab w:pos="9524" w:val="right" w:leader="dot"/>
        </w:tabs>
      </w:pPr>
      <w:r>
        <w:t>3.2 Stammdaten, die vorher vorhanden sein müssen</w:t>
        <w:tab/>
        <w:t>8</w:t>
      </w:r>
    </w:p>
    <w:p>
      <w:pPr>
        <w:pStyle w:val="TOC2"/>
        <w:tabs>
          <w:tab w:pos="9524" w:val="right" w:leader="dot"/>
        </w:tabs>
      </w:pPr>
      <w:r>
        <w:t>3.3 Systemweite Vorgaben für neue Artikel</w:t>
        <w:tab/>
        <w:t>8</w:t>
      </w:r>
    </w:p>
    <w:p>
      <w:pPr>
        <w:pStyle w:val="TOC2"/>
        <w:tabs>
          <w:tab w:pos="9524" w:val="right" w:leader="dot"/>
        </w:tabs>
      </w:pPr>
      <w:r>
        <w:t>3.4 Berechtigungen</w:t>
        <w:tab/>
        <w:t>9</w:t>
      </w:r>
    </w:p>
    <w:p>
      <w:pPr>
        <w:pStyle w:val="TOC1"/>
        <w:tabs>
          <w:tab w:pos="9524" w:val="right" w:leader="dot"/>
        </w:tabs>
      </w:pPr>
      <w:r>
        <w:t>4 Artikel am Desktop anlegen (MD002)</w:t>
        <w:tab/>
        <w:t>10</w:t>
      </w:r>
    </w:p>
    <w:p>
      <w:pPr>
        <w:pStyle w:val="TOC2"/>
        <w:tabs>
          <w:tab w:pos="9524" w:val="right" w:leader="dot"/>
        </w:tabs>
      </w:pPr>
      <w:r>
        <w:t>4.1 Ablauf im Überblick</w:t>
        <w:tab/>
        <w:t>10</w:t>
      </w:r>
    </w:p>
    <w:p>
      <w:pPr>
        <w:pStyle w:val="TOC2"/>
        <w:tabs>
          <w:tab w:pos="9524" w:val="right" w:leader="dot"/>
        </w:tabs>
      </w:pPr>
      <w:r>
        <w:t>4.2 Registerkarte „Artikel“</w:t>
        <w:tab/>
        <w:t>10</w:t>
      </w:r>
    </w:p>
    <w:p>
      <w:pPr>
        <w:pStyle w:val="TOC2"/>
        <w:tabs>
          <w:tab w:pos="9524" w:val="right" w:leader="dot"/>
        </w:tabs>
      </w:pPr>
      <w:r>
        <w:t>4.3 Registerkarte „Verpackungsversion“: Einheiten, Abmessungen, Gewicht</w:t>
        <w:tab/>
        <w:t>11</w:t>
      </w:r>
    </w:p>
    <w:p>
      <w:pPr>
        <w:pStyle w:val="TOC2"/>
        <w:tabs>
          <w:tab w:pos="9524" w:val="right" w:leader="dot"/>
        </w:tabs>
      </w:pPr>
      <w:r>
        <w:t>4.4 Charge, MHD, Produktionsdatum und Seriennummer</w:t>
        <w:tab/>
        <w:t>12</w:t>
      </w:r>
    </w:p>
    <w:p>
      <w:pPr>
        <w:pStyle w:val="TOC2"/>
        <w:tabs>
          <w:tab w:pos="9524" w:val="right" w:leader="dot"/>
        </w:tabs>
      </w:pPr>
      <w:r>
        <w:t>4.5 Barcodes, EAN/GTIN und Artikel-Alias</w:t>
        <w:tab/>
        <w:t>12</w:t>
      </w:r>
    </w:p>
    <w:p>
      <w:pPr>
        <w:pStyle w:val="TOC2"/>
        <w:tabs>
          <w:tab w:pos="9524" w:val="right" w:leader="dot"/>
        </w:tabs>
      </w:pPr>
      <w:r>
        <w:t>4.6 Artikelbilder</w:t>
        <w:tab/>
        <w:t>12</w:t>
      </w:r>
    </w:p>
    <w:p>
      <w:pPr>
        <w:pStyle w:val="TOC2"/>
        <w:tabs>
          <w:tab w:pos="9524" w:val="right" w:leader="dot"/>
        </w:tabs>
      </w:pPr>
      <w:r>
        <w:t>4.7 ABC-Klassifizierung</w:t>
        <w:tab/>
        <w:t>13</w:t>
      </w:r>
    </w:p>
    <w:p>
      <w:pPr>
        <w:pStyle w:val="TOC2"/>
        <w:tabs>
          <w:tab w:pos="9524" w:val="right" w:leader="dot"/>
        </w:tabs>
      </w:pPr>
      <w:r>
        <w:t>4.8 Registerkarte „WLS Artikel“</w:t>
        <w:tab/>
        <w:t>13</w:t>
      </w:r>
    </w:p>
    <w:p>
      <w:pPr>
        <w:pStyle w:val="TOC2"/>
        <w:tabs>
          <w:tab w:pos="9524" w:val="right" w:leader="dot"/>
        </w:tabs>
      </w:pPr>
      <w:r>
        <w:t>4.9 Vereinfachte Pflege (MD089)</w:t>
        <w:tab/>
        <w:t>13</w:t>
      </w:r>
    </w:p>
    <w:p>
      <w:pPr>
        <w:pStyle w:val="TOC2"/>
        <w:tabs>
          <w:tab w:pos="9524" w:val="right" w:leader="dot"/>
        </w:tabs>
      </w:pPr>
      <w:r>
        <w:t>4.10 Boxtyp-Zuordnung (wo darf der Artikel liegen?)</w:t>
        <w:tab/>
        <w:t>14</w:t>
      </w:r>
    </w:p>
    <w:p>
      <w:pPr>
        <w:pStyle w:val="TOC2"/>
        <w:tabs>
          <w:tab w:pos="9524" w:val="right" w:leader="dot"/>
        </w:tabs>
      </w:pPr>
      <w:r>
        <w:t>4.11 Zusammenfassung: Pflicht- und Kannfelder</w:t>
        <w:tab/>
        <w:t>14</w:t>
      </w:r>
    </w:p>
    <w:p>
      <w:pPr>
        <w:pStyle w:val="TOC1"/>
        <w:tabs>
          <w:tab w:pos="9524" w:val="right" w:leader="dot"/>
        </w:tabs>
      </w:pPr>
      <w:r>
        <w:t>5 Artikel am Touch-Client anlegen</w:t>
        <w:tab/>
        <w:t>15</w:t>
      </w:r>
    </w:p>
    <w:p>
      <w:pPr>
        <w:pStyle w:val="TOC2"/>
        <w:tabs>
          <w:tab w:pos="9524" w:val="right" w:leader="dot"/>
        </w:tabs>
      </w:pPr>
      <w:r>
        <w:t>5.1 Artikel pflegen (LM007 / LM011)</w:t>
        <w:tab/>
        <w:t>15</w:t>
      </w:r>
    </w:p>
    <w:p>
      <w:pPr>
        <w:pStyle w:val="TOC2"/>
        <w:tabs>
          <w:tab w:pos="9524" w:val="right" w:leader="dot"/>
        </w:tabs>
      </w:pPr>
      <w:r>
        <w:t>5.2 Schnellanlage während der Arbeit (LM041)</w:t>
        <w:tab/>
        <w:t>15</w:t>
      </w:r>
    </w:p>
    <w:p>
      <w:pPr>
        <w:pStyle w:val="TOC1"/>
        <w:tabs>
          <w:tab w:pos="9524" w:val="right" w:leader="dot"/>
        </w:tabs>
      </w:pPr>
      <w:r>
        <w:t>6 Artikel ändern, kopieren, stilllegen und löschen</w:t>
        <w:tab/>
        <w:t>17</w:t>
      </w:r>
    </w:p>
    <w:p>
      <w:pPr>
        <w:pStyle w:val="TOC2"/>
        <w:tabs>
          <w:tab w:pos="9524" w:val="right" w:leader="dot"/>
        </w:tabs>
      </w:pPr>
      <w:r>
        <w:t>6.1 Ändern</w:t>
        <w:tab/>
        <w:t>17</w:t>
      </w:r>
    </w:p>
    <w:p>
      <w:pPr>
        <w:pStyle w:val="TOC2"/>
        <w:tabs>
          <w:tab w:pos="9524" w:val="right" w:leader="dot"/>
        </w:tabs>
      </w:pPr>
      <w:r>
        <w:t>6.2 Kopieren (Datensatz duplizieren)</w:t>
        <w:tab/>
        <w:t>17</w:t>
      </w:r>
    </w:p>
    <w:p>
      <w:pPr>
        <w:pStyle w:val="TOC2"/>
        <w:tabs>
          <w:tab w:pos="9524" w:val="right" w:leader="dot"/>
        </w:tabs>
      </w:pPr>
      <w:r>
        <w:t>6.3 Stilllegen über den Stammdatenstatus</w:t>
        <w:tab/>
        <w:t>17</w:t>
      </w:r>
    </w:p>
    <w:p>
      <w:pPr>
        <w:pStyle w:val="TOC2"/>
        <w:tabs>
          <w:tab w:pos="9524" w:val="right" w:leader="dot"/>
        </w:tabs>
      </w:pPr>
      <w:r>
        <w:t>6.4 Löschen</w:t>
        <w:tab/>
        <w:t>17</w:t>
      </w:r>
    </w:p>
    <w:p>
      <w:pPr>
        <w:pStyle w:val="TOC1"/>
        <w:tabs>
          <w:tab w:pos="9524" w:val="right" w:leader="dot"/>
        </w:tabs>
      </w:pPr>
      <w:r>
        <w:t>7 Artikeletiketten drucken</w:t>
        <w:tab/>
        <w:t>19</w:t>
      </w:r>
    </w:p>
    <w:p>
      <w:pPr>
        <w:pStyle w:val="TOC2"/>
        <w:tabs>
          <w:tab w:pos="9524" w:val="right" w:leader="dot"/>
        </w:tabs>
      </w:pPr>
      <w:r>
        <w:t>7.1 Am Desktop</w:t>
        <w:tab/>
        <w:t>19</w:t>
      </w:r>
    </w:p>
    <w:p>
      <w:pPr>
        <w:pStyle w:val="TOC2"/>
        <w:tabs>
          <w:tab w:pos="9524" w:val="right" w:leader="dot"/>
        </w:tabs>
      </w:pPr>
      <w:r>
        <w:t>7.2 Am Touch-Client</w:t>
        <w:tab/>
        <w:t>19</w:t>
      </w:r>
    </w:p>
    <w:p>
      <w:pPr>
        <w:pStyle w:val="TOC1"/>
        <w:tabs>
          <w:tab w:pos="9524" w:val="right" w:leader="dot"/>
        </w:tabs>
      </w:pPr>
      <w:r>
        <w:t>8 Artikel importieren ohne Hostschnittstelle</w:t>
        <w:tab/>
        <w:t>20</w:t>
      </w:r>
    </w:p>
    <w:p>
      <w:pPr>
        <w:pStyle w:val="TOC2"/>
        <w:tabs>
          <w:tab w:pos="9524" w:val="right" w:leader="dot"/>
        </w:tabs>
      </w:pPr>
      <w:r>
        <w:t>8.1 Überblick nach Version</w:t>
        <w:tab/>
        <w:t>20</w:t>
      </w:r>
    </w:p>
    <w:p>
      <w:pPr>
        <w:pStyle w:val="TOC2"/>
        <w:tabs>
          <w:tab w:pos="9524" w:val="right" w:leader="dot"/>
        </w:tabs>
      </w:pPr>
      <w:r>
        <w:t>8.2 Prinzip: Jeder Import ist eine Systempartnernachricht</w:t>
        <w:tab/>
        <w:t>20</w:t>
      </w:r>
    </w:p>
    <w:p>
      <w:pPr>
        <w:pStyle w:val="TOC2"/>
        <w:tabs>
          <w:tab w:pos="9524" w:val="right" w:leader="dot"/>
        </w:tabs>
      </w:pPr>
      <w:r>
        <w:t>8.3 [2.8] Excel-Import mit Zuordnungsprofil</w:t>
        <w:tab/>
        <w:t>20</w:t>
      </w:r>
    </w:p>
    <w:p>
      <w:pPr>
        <w:pStyle w:val="TOC2"/>
        <w:tabs>
          <w:tab w:pos="9524" w:val="right" w:leader="dot"/>
        </w:tabs>
      </w:pPr>
      <w:r>
        <w:t>8.4 Initialer Artikelstammimport per Datei (2.7 und 2.8)</w:t>
        <w:tab/>
        <w:t>22</w:t>
      </w:r>
    </w:p>
    <w:p>
      <w:pPr>
        <w:pStyle w:val="TOC2"/>
        <w:tabs>
          <w:tab w:pos="9524" w:val="right" w:leader="dot"/>
        </w:tabs>
      </w:pPr>
      <w:r>
        <w:t>8.5 Aufbau einer Artikelstamm-Datei (Schnittstellenformat)</w:t>
        <w:tab/>
        <w:t>22</w:t>
      </w:r>
    </w:p>
    <w:p>
      <w:pPr>
        <w:pStyle w:val="TOC2"/>
        <w:tabs>
          <w:tab w:pos="9524" w:val="right" w:leader="dot"/>
        </w:tabs>
      </w:pPr>
      <w:r>
        <w:t>8.6 Importergebnis prüfen und Fehler beheben (DI002)</w:t>
        <w:tab/>
        <w:t>23</w:t>
      </w:r>
    </w:p>
    <w:p>
      <w:pPr>
        <w:pStyle w:val="TOC2"/>
        <w:tabs>
          <w:tab w:pos="9524" w:val="right" w:leader="dot"/>
        </w:tabs>
      </w:pPr>
      <w:r>
        <w:t>8.7 Weitere Hilfsmittel</w:t>
        <w:tab/>
        <w:t>24</w:t>
      </w:r>
    </w:p>
    <w:p>
      <w:pPr>
        <w:pStyle w:val="TOC1"/>
        <w:tabs>
          <w:tab w:pos="9524" w:val="right" w:leader="dot"/>
        </w:tabs>
      </w:pPr>
      <w:r>
        <w:t>9 Was nicht möglich ist</w:t>
        <w:tab/>
        <w:t>25</w:t>
      </w:r>
    </w:p>
    <w:p>
      <w:pPr>
        <w:pStyle w:val="TOC1"/>
        <w:tabs>
          <w:tab w:pos="9524" w:val="right" w:leader="dot"/>
        </w:tabs>
      </w:pPr>
      <w:r>
        <w:t>10 Stolperfallen</w:t>
        <w:tab/>
        <w:t>26</w:t>
      </w:r>
    </w:p>
    <w:p>
      <w:pPr>
        <w:pStyle w:val="TOC1"/>
        <w:tabs>
          <w:tab w:pos="9524" w:val="right" w:leader="dot"/>
        </w:tabs>
      </w:pPr>
      <w:r>
        <w:t>11 Praxisbeispiele</w:t>
        <w:tab/>
        <w:t>27</w:t>
      </w:r>
    </w:p>
    <w:p>
      <w:pPr>
        <w:pStyle w:val="TOC2"/>
        <w:tabs>
          <w:tab w:pos="9524" w:val="right" w:leader="dot"/>
        </w:tabs>
      </w:pPr>
      <w:r>
        <w:t>11.1 Artikel mit Karton-Einheit und EAN am Desktop anlegen und Etikett drucken</w:t>
        <w:tab/>
      </w:r>
    </w:p>
    <w:p>
      <w:pPr>
        <w:pStyle w:val="TOC2"/>
        <w:tabs>
          <w:tab w:pos="9524" w:val="right" w:leader="dot"/>
        </w:tabs>
      </w:pPr>
      <w:r>
        <w:t>11.2 Erstbefüllung: 350 Artikel aus Excel übernehmen [2.8]</w:t>
        <w:tab/>
        <w:t>27</w:t>
      </w:r>
    </w:p>
    <w:p>
      <w:pPr>
        <w:pStyle w:val="TOC1"/>
        <w:tabs>
          <w:tab w:pos="9524" w:val="right" w:leader="dot"/>
        </w:tabs>
      </w:pPr>
      <w:r>
        <w:t>12 Schulungsteil</w:t>
        <w:tab/>
        <w:t>29</w:t>
      </w:r>
    </w:p>
    <w:p>
      <w:pPr>
        <w:pStyle w:val="TOC2"/>
        <w:tabs>
          <w:tab w:pos="9524" w:val="right" w:leader="dot"/>
        </w:tabs>
      </w:pPr>
      <w:r>
        <w:t>12.1 Lernziele</w:t>
        <w:tab/>
        <w:t>29</w:t>
      </w:r>
    </w:p>
    <w:p>
      <w:pPr>
        <w:pStyle w:val="TOC2"/>
        <w:tabs>
          <w:tab w:pos="9524" w:val="right" w:leader="dot"/>
        </w:tabs>
      </w:pPr>
      <w:r>
        <w:t>12.2 Übungen</w:t>
        <w:tab/>
        <w:t>29</w:t>
      </w:r>
    </w:p>
    <w:p>
      <w:pPr>
        <w:pStyle w:val="TOC2"/>
        <w:tabs>
          <w:tab w:pos="9524" w:val="right" w:leader="dot"/>
        </w:tabs>
      </w:pPr>
      <w:r>
        <w:t>12.3 Checkliste „Neuer Artikel“</w:t>
        <w:tab/>
        <w:t>29</w:t>
      </w:r>
    </w:p>
    <w:p>
      <w:pPr>
        <w:pStyle w:val="TOC2"/>
        <w:tabs>
          <w:tab w:pos="9524" w:val="right" w:leader="dot"/>
        </w:tabs>
      </w:pPr>
      <w:r>
        <w:t>12.4 Checkliste „Import“</w:t>
        <w:tab/>
        <w:t>30</w:t>
      </w:r>
    </w:p>
    <w:p>
      <w:pPr>
        <w:pStyle w:val="TOC2"/>
        <w:tabs>
          <w:tab w:pos="9524" w:val="right" w:leader="dot"/>
        </w:tabs>
      </w:pPr>
      <w:r>
        <w:t>12.5 Kontrollfragen</w:t>
        <w:tab/>
        <w:t>30</w:t>
      </w:r>
    </w:p>
    <w:p>
      <w:pPr>
        <w:pStyle w:val="TOC1"/>
        <w:tabs>
          <w:tab w:pos="9524" w:val="right" w:leader="dot"/>
        </w:tabs>
      </w:pPr>
      <w:r>
        <w:t>13 Dokumentationslücken und offene Fragen</w:t>
        <w:tab/>
        <w:t>31</w:t>
      </w:r>
    </w:p>
    <w:p>
      <w:pPr>
        <w:pStyle w:val="TOC1"/>
        <w:tabs>
          <w:tab w:pos="9524" w:val="right" w:leader="dot"/>
        </w:tabs>
      </w:pPr>
      <w:r>
        <w:t>14 Quellenverzeichnis</w:t>
        <w:tab/>
        <w:t>32</w:t>
      </w:r>
      <w:r>
        <w:fldChar w:fldCharType="end"/>
      </w:r>
    </w:p>
    <w:p>
      <w:pPr>
        <w:pStyle w:val="Heading1"/>
      </w:pPr>
      <w:r>
        <w:t>1 Über dieses Dokument</w:t>
      </w:r>
    </w:p>
    <w:p>
      <w:pPr>
        <w:pStyle w:val="Heading2"/>
      </w:pPr>
      <w:r>
        <w:t>1.1 Zweck</w:t>
      </w:r>
    </w:p>
    <w:p>
      <w:r>
        <w:t xml:space="preserve">Diese Anleitung zeigt, wie Sie in </w:t>
      </w:r>
      <w:r>
        <w:rPr>
          <w:b/>
        </w:rPr>
        <w:t>WAMAS Lift &amp; Store</w:t>
      </w:r>
      <w:r>
        <w:t xml:space="preserve"> Artikel anlegen und pflegen, wenn </w:t>
      </w:r>
      <w:r>
        <w:rPr>
          <w:b/>
        </w:rPr>
        <w:t>keine Hostschnittstelle</w:t>
      </w:r>
      <w:r>
        <w:t xml:space="preserve"> (ERP) die Artikelstammdaten liefert. Sie erfahren:</w:t>
      </w:r>
    </w:p>
    <w:p>
      <w:pPr>
        <w:pStyle w:val="ListBullet"/>
      </w:pPr>
      <w:r>
        <w:t>wie ein Artikel aufgebaut ist und welche Stammdaten vorher vorhanden sein müssen,</w:t>
      </w:r>
    </w:p>
    <w:p>
      <w:pPr>
        <w:pStyle w:val="ListBullet"/>
      </w:pPr>
      <w:r>
        <w:t xml:space="preserve">wie Sie Artikel am </w:t>
      </w:r>
      <w:r>
        <w:rPr>
          <w:b/>
        </w:rPr>
        <w:t>Desktop</w:t>
      </w:r>
      <w:r>
        <w:t xml:space="preserve"> (Dialog </w:t>
      </w:r>
      <w:r>
        <w:rPr>
          <w:b/>
        </w:rPr>
        <w:t>MD002 Artikel pflegen</w:t>
      </w:r>
      <w:r>
        <w:t xml:space="preserve"> bzw. </w:t>
      </w:r>
      <w:r>
        <w:rPr>
          <w:b/>
        </w:rPr>
        <w:t>MD089 Artikel pflegen (vereinfacht)</w:t>
      </w:r>
      <w:r>
        <w:t xml:space="preserve">) und am </w:t>
      </w:r>
      <w:r>
        <w:rPr>
          <w:b/>
        </w:rPr>
        <w:t>Touch-Client</w:t>
      </w:r>
      <w:r>
        <w:t xml:space="preserve"> (Dialoge </w:t>
      </w:r>
      <w:r>
        <w:rPr>
          <w:b/>
        </w:rPr>
        <w:t>LM011</w:t>
      </w:r>
      <w:r>
        <w:t xml:space="preserve"> und </w:t>
      </w:r>
      <w:r>
        <w:rPr>
          <w:b/>
        </w:rPr>
        <w:t>LM041</w:t>
      </w:r>
      <w:r>
        <w:t>) anlegen,</w:t>
      </w:r>
    </w:p>
    <w:p>
      <w:pPr>
        <w:pStyle w:val="ListBullet"/>
      </w:pPr>
      <w:r>
        <w:t>welche Felder Pflicht und welche optional sind,</w:t>
      </w:r>
    </w:p>
    <w:p>
      <w:pPr>
        <w:pStyle w:val="ListBullet"/>
      </w:pPr>
      <w:r>
        <w:t>wie Sie Artikel ändern, kopieren, stilllegen und Teile davon löschen,</w:t>
      </w:r>
    </w:p>
    <w:p>
      <w:pPr>
        <w:pStyle w:val="ListBullet"/>
      </w:pPr>
      <w:r>
        <w:t>wie Sie Artikeletiketten drucken,</w:t>
      </w:r>
    </w:p>
    <w:p>
      <w:pPr>
        <w:pStyle w:val="ListBullet"/>
      </w:pPr>
      <w:r>
        <w:t xml:space="preserve">wie Sie viele Artikel auf einmal </w:t>
      </w:r>
      <w:r>
        <w:rPr>
          <w:b/>
        </w:rPr>
        <w:t>per Datei importieren</w:t>
      </w:r>
      <w:r>
        <w:t xml:space="preserve"> – in Version 2.8 auch direkt </w:t>
      </w:r>
      <w:r>
        <w:rPr>
          <w:b/>
        </w:rPr>
        <w:t>aus Excel</w:t>
      </w:r>
      <w:r>
        <w:t>,</w:t>
      </w:r>
    </w:p>
    <w:p>
      <w:pPr>
        <w:pStyle w:val="ListBullet"/>
      </w:pPr>
      <w:r>
        <w:t>was nicht möglich ist und worauf Sie achten sollten.</w:t>
      </w:r>
    </w:p>
    <w:p>
      <w:r>
        <w:t>Ein Schulungsteil mit Übungen und Checklisten (Kapitel 12) macht das Dokument auch für Einweisungen nutzbar.</w:t>
      </w:r>
    </w:p>
    <w:p>
      <w:pPr>
        <w:pStyle w:val="Heading2"/>
      </w:pPr>
      <w:r>
        <w:t>1.2 Lesehinweise</w:t>
      </w:r>
    </w:p>
    <w:p>
      <w:pPr>
        <w:pStyle w:val="ListBullet"/>
      </w:pPr>
      <w:r>
        <w:t xml:space="preserve">Die Anleitung gilt für </w:t>
      </w:r>
      <w:r>
        <w:rPr>
          <w:b/>
        </w:rPr>
        <w:t>Version 2.7 und 2.8</w:t>
      </w:r>
      <w:r>
        <w:t xml:space="preserve">. Wo sich die Versionen unterscheiden, steht ein Hinweis mit </w:t>
      </w:r>
      <w:r>
        <w:rPr>
          <w:b/>
        </w:rPr>
        <w:t>[2.7]</w:t>
      </w:r>
      <w:r>
        <w:t xml:space="preserve"> bzw. </w:t>
      </w:r>
      <w:r>
        <w:rPr>
          <w:b/>
        </w:rPr>
        <w:t>[2.8]</w:t>
      </w:r>
      <w:r>
        <w:t>.</w:t>
      </w:r>
    </w:p>
    <w:p>
      <w:pPr>
        <w:pStyle w:val="ListBullet"/>
      </w:pPr>
      <w:r>
        <w:t xml:space="preserve">Dialognamen, Icons, Buttons und Feldnamen sind </w:t>
      </w:r>
      <w:r>
        <w:rPr>
          <w:b/>
        </w:rPr>
        <w:t>fett</w:t>
      </w:r>
      <w:r>
        <w:t xml:space="preserve"> gesetzt, Werte und Dateiinhalte in </w:t>
      </w:r>
      <w:r>
        <w:rPr>
          <w:rFonts w:ascii="Consolas" w:hAnsi="Consolas" w:cs="Consolas" w:eastAsia="Consolas"/>
          <w:sz w:val="18"/>
        </w:rPr>
        <w:t>Code</w:t>
      </w:r>
      <w:r>
        <w:t>-Schrift.</w:t>
      </w:r>
    </w:p>
    <w:p>
      <w:pPr>
        <w:pStyle w:val="ListBullet"/>
      </w:pPr>
      <w:r>
        <w:t>Die deutschen Bezeichnungen stammen aus dem Handbuch 2.7. Für Funktionen, die es nur in 2.8 gibt, ist der englische Originalbegriff in Klammern angegeben, da für 2.8 nur englische Handbücher vorliegen. Die Beschriftung in Ihrer Oberfläche kann abweichen.</w:t>
      </w:r>
    </w:p>
    <w:p>
      <w:pPr>
        <w:pStyle w:val="ListBullet"/>
      </w:pPr>
      <w:r>
        <w:t>Unter jedem Abschnitt nennt eine Quellenzeile das Kapitel im Handbuch.</w:t>
      </w:r>
    </w:p>
    <w:p>
      <w:pPr>
        <w:pStyle w:val="ListBullet"/>
      </w:pPr>
      <w:r>
        <w:t xml:space="preserve">Punkte, die in der Produktdokumentation nicht eindeutig beschrieben sind, sind als </w:t>
      </w:r>
      <w:r>
        <w:rPr>
          <w:b/>
        </w:rPr>
        <w:t>Dokumentationslücke</w:t>
      </w:r>
      <w:r>
        <w:t xml:space="preserve"> markiert. Bitte prüfen Sie diese in Ihrem System oder klären Sie sie mit Ihrem SSI SCHÄFER Ansprechpartner.</w:t>
      </w:r>
    </w:p>
    <w:p>
      <w:pPr>
        <w:pStyle w:val="Heading2"/>
      </w:pPr>
      <w:r>
        <w:t>1.3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30"/>
        <w:gridCol w:w="6494"/>
      </w:tblGrid>
      <w:tr>
        <w:trPr>
          <w:tblHeader w:val="true"/>
        </w:trPr>
        <w:tc>
          <w:tcPr>
            <w:tcW w:type="dxa" w:w="3030"/>
            <w:shd w:val="clear" w:color="auto" w:fill="FEEE19"/>
          </w:tcPr>
          <w:p>
            <w:pPr>
              <w:spacing w:after="0"/>
            </w:pPr>
            <w:r>
              <w:rPr>
                <w:b/>
                <w:sz w:val="17"/>
              </w:rPr>
              <w:t>Begriff</w:t>
            </w:r>
          </w:p>
        </w:tc>
        <w:tc>
          <w:tcPr>
            <w:tcW w:type="dxa" w:w="6494"/>
            <w:shd w:val="clear" w:color="auto" w:fill="FEEE19"/>
          </w:tcPr>
          <w:p>
            <w:pPr>
              <w:spacing w:after="0"/>
            </w:pPr>
            <w:r>
              <w:rPr>
                <w:b/>
                <w:sz w:val="17"/>
              </w:rPr>
              <w:t>Bedeutung</w:t>
            </w:r>
          </w:p>
        </w:tc>
      </w:tr>
      <w:tr>
        <w:tc>
          <w:tcPr>
            <w:tcW w:type="dxa" w:w="3030"/>
          </w:tcPr>
          <w:p>
            <w:pPr>
              <w:spacing w:after="0" w:line="252" w:lineRule="auto"/>
            </w:pPr>
            <w:r>
              <w:rPr>
                <w:sz w:val="17"/>
              </w:rPr>
              <w:t>Artikel</w:t>
            </w:r>
          </w:p>
        </w:tc>
        <w:tc>
          <w:tcPr>
            <w:tcW w:type="dxa" w:w="6494"/>
          </w:tcPr>
          <w:p>
            <w:pPr>
              <w:spacing w:after="0" w:line="252" w:lineRule="auto"/>
            </w:pPr>
            <w:r>
              <w:rPr>
                <w:sz w:val="17"/>
              </w:rPr>
              <w:t xml:space="preserve">Eindeutig bestimmt durch </w:t>
            </w:r>
            <w:r>
              <w:rPr>
                <w:b/>
                <w:sz w:val="17"/>
              </w:rPr>
              <w:t>Klient</w:t>
            </w:r>
            <w:r>
              <w:rPr>
                <w:sz w:val="17"/>
              </w:rPr>
              <w:t xml:space="preserve">, </w:t>
            </w:r>
            <w:r>
              <w:rPr>
                <w:b/>
                <w:sz w:val="17"/>
              </w:rPr>
              <w:t>Artikelnummer</w:t>
            </w:r>
            <w:r>
              <w:rPr>
                <w:sz w:val="17"/>
              </w:rPr>
              <w:t xml:space="preserve"> und </w:t>
            </w:r>
            <w:r>
              <w:rPr>
                <w:b/>
                <w:sz w:val="17"/>
              </w:rPr>
              <w:t>Variante</w:t>
            </w:r>
          </w:p>
        </w:tc>
      </w:tr>
      <w:tr>
        <w:tc>
          <w:tcPr>
            <w:tcW w:type="dxa" w:w="3030"/>
          </w:tcPr>
          <w:p>
            <w:pPr>
              <w:spacing w:after="0" w:line="252" w:lineRule="auto"/>
            </w:pPr>
            <w:r>
              <w:rPr>
                <w:sz w:val="17"/>
              </w:rPr>
              <w:t>Variante</w:t>
            </w:r>
          </w:p>
        </w:tc>
        <w:tc>
          <w:tcPr>
            <w:tcW w:type="dxa" w:w="6494"/>
          </w:tcPr>
          <w:p>
            <w:pPr>
              <w:spacing w:after="0" w:line="252" w:lineRule="auto"/>
            </w:pPr>
            <w:r>
              <w:rPr>
                <w:sz w:val="17"/>
              </w:rPr>
              <w:t>Derselbe Artikel in anderer Größe, Farbe usw.</w:t>
            </w:r>
          </w:p>
        </w:tc>
      </w:tr>
      <w:tr>
        <w:tc>
          <w:tcPr>
            <w:tcW w:type="dxa" w:w="3030"/>
          </w:tcPr>
          <w:p>
            <w:pPr>
              <w:spacing w:after="0" w:line="252" w:lineRule="auto"/>
            </w:pPr>
            <w:r>
              <w:rPr>
                <w:sz w:val="17"/>
              </w:rPr>
              <w:t>Basismengeneinheit (BME)</w:t>
            </w:r>
          </w:p>
        </w:tc>
        <w:tc>
          <w:tcPr>
            <w:tcW w:type="dxa" w:w="6494"/>
          </w:tcPr>
          <w:p>
            <w:pPr>
              <w:spacing w:after="0" w:line="252" w:lineRule="auto"/>
            </w:pPr>
            <w:r>
              <w:rPr>
                <w:sz w:val="17"/>
              </w:rPr>
              <w:t>Kleinste Einheit des Artikels, z. B. Stück; alle Bestände werden darin gerechnet</w:t>
            </w:r>
          </w:p>
        </w:tc>
      </w:tr>
      <w:tr>
        <w:tc>
          <w:tcPr>
            <w:tcW w:type="dxa" w:w="3030"/>
          </w:tcPr>
          <w:p>
            <w:pPr>
              <w:spacing w:after="0" w:line="252" w:lineRule="auto"/>
            </w:pPr>
            <w:r>
              <w:rPr>
                <w:sz w:val="17"/>
              </w:rPr>
              <w:t>Artikelmengeneinheit</w:t>
            </w:r>
          </w:p>
        </w:tc>
        <w:tc>
          <w:tcPr>
            <w:tcW w:type="dxa" w:w="6494"/>
          </w:tcPr>
          <w:p>
            <w:pPr>
              <w:spacing w:after="0" w:line="252" w:lineRule="auto"/>
            </w:pPr>
            <w:r>
              <w:rPr>
                <w:sz w:val="17"/>
              </w:rPr>
              <w:t>Eine Verpackungsstufe, z. B. Karton = 10 Stück</w:t>
            </w:r>
          </w:p>
        </w:tc>
      </w:tr>
      <w:tr>
        <w:tc>
          <w:tcPr>
            <w:tcW w:type="dxa" w:w="3030"/>
          </w:tcPr>
          <w:p>
            <w:pPr>
              <w:spacing w:after="0" w:line="252" w:lineRule="auto"/>
            </w:pPr>
            <w:r>
              <w:rPr>
                <w:sz w:val="17"/>
              </w:rPr>
              <w:t>Verpackungsversion</w:t>
            </w:r>
          </w:p>
        </w:tc>
        <w:tc>
          <w:tcPr>
            <w:tcW w:type="dxa" w:w="6494"/>
          </w:tcPr>
          <w:p>
            <w:pPr>
              <w:spacing w:after="0" w:line="252" w:lineRule="auto"/>
            </w:pPr>
            <w:r>
              <w:rPr>
                <w:sz w:val="17"/>
              </w:rPr>
              <w:t>Kombination aus einer oder mehreren Artikelmengeneinheiten; jeder Artikel braucht mindestens eine</w:t>
            </w:r>
          </w:p>
        </w:tc>
      </w:tr>
      <w:tr>
        <w:tc>
          <w:tcPr>
            <w:tcW w:type="dxa" w:w="3030"/>
          </w:tcPr>
          <w:p>
            <w:pPr>
              <w:spacing w:after="0" w:line="252" w:lineRule="auto"/>
            </w:pPr>
            <w:r>
              <w:rPr>
                <w:sz w:val="17"/>
              </w:rPr>
              <w:t>Lagermengeneinheit (LME)</w:t>
            </w:r>
          </w:p>
        </w:tc>
        <w:tc>
          <w:tcPr>
            <w:tcW w:type="dxa" w:w="6494"/>
          </w:tcPr>
          <w:p>
            <w:pPr>
              <w:spacing w:after="0" w:line="252" w:lineRule="auto"/>
            </w:pPr>
            <w:r>
              <w:rPr>
                <w:sz w:val="17"/>
              </w:rPr>
              <w:t>Einheit, in der der Artikel im Lager üblicherweise geführt wird</w:t>
            </w:r>
          </w:p>
        </w:tc>
      </w:tr>
      <w:tr>
        <w:tc>
          <w:tcPr>
            <w:tcW w:type="dxa" w:w="3030"/>
          </w:tcPr>
          <w:p>
            <w:pPr>
              <w:spacing w:after="0" w:line="252" w:lineRule="auto"/>
            </w:pPr>
            <w:r>
              <w:rPr>
                <w:sz w:val="17"/>
              </w:rPr>
              <w:t>Artikel-Alias / GTIN</w:t>
            </w:r>
          </w:p>
        </w:tc>
        <w:tc>
          <w:tcPr>
            <w:tcW w:type="dxa" w:w="6494"/>
          </w:tcPr>
          <w:p>
            <w:pPr>
              <w:spacing w:after="0" w:line="252" w:lineRule="auto"/>
            </w:pPr>
            <w:r>
              <w:rPr>
                <w:sz w:val="17"/>
              </w:rPr>
              <w:t>Alternative Nummer bzw. Barcode (z. B. EAN) zur Identifikation des Artikels</w:t>
            </w:r>
          </w:p>
        </w:tc>
      </w:tr>
      <w:tr>
        <w:tc>
          <w:tcPr>
            <w:tcW w:type="dxa" w:w="3030"/>
          </w:tcPr>
          <w:p>
            <w:pPr>
              <w:spacing w:after="0" w:line="252" w:lineRule="auto"/>
            </w:pPr>
            <w:r>
              <w:rPr>
                <w:sz w:val="17"/>
              </w:rPr>
              <w:t>BIA / ABIA</w:t>
            </w:r>
          </w:p>
        </w:tc>
        <w:tc>
          <w:tcPr>
            <w:tcW w:type="dxa" w:w="6494"/>
          </w:tcPr>
          <w:p>
            <w:pPr>
              <w:spacing w:after="0" w:line="252" w:lineRule="auto"/>
            </w:pPr>
            <w:r>
              <w:rPr>
                <w:sz w:val="17"/>
              </w:rPr>
              <w:t>(Anpassbares) bestandsidentifizierendes Attribut, z. B. Charge, MHD, Seriennummer</w:t>
            </w:r>
          </w:p>
        </w:tc>
      </w:tr>
      <w:tr>
        <w:tc>
          <w:tcPr>
            <w:tcW w:type="dxa" w:w="3030"/>
          </w:tcPr>
          <w:p>
            <w:pPr>
              <w:spacing w:after="0" w:line="252" w:lineRule="auto"/>
            </w:pPr>
            <w:r>
              <w:rPr>
                <w:sz w:val="17"/>
              </w:rPr>
              <w:t>Stammdatenstatus</w:t>
            </w:r>
          </w:p>
        </w:tc>
        <w:tc>
          <w:tcPr>
            <w:tcW w:type="dxa" w:w="6494"/>
          </w:tcPr>
          <w:p>
            <w:pPr>
              <w:spacing w:after="0" w:line="252" w:lineRule="auto"/>
            </w:pPr>
            <w:r>
              <w:rPr>
                <w:sz w:val="17"/>
              </w:rPr>
              <w:t>Normal, Auslaufend, Gesperrt oder Unvollständig</w:t>
            </w:r>
          </w:p>
        </w:tc>
      </w:tr>
      <w:tr>
        <w:tc>
          <w:tcPr>
            <w:tcW w:type="dxa" w:w="3030"/>
          </w:tcPr>
          <w:p>
            <w:pPr>
              <w:spacing w:after="0" w:line="252" w:lineRule="auto"/>
            </w:pPr>
            <w:r>
              <w:rPr>
                <w:sz w:val="17"/>
              </w:rPr>
              <w:t>Systempartner</w:t>
            </w:r>
          </w:p>
        </w:tc>
        <w:tc>
          <w:tcPr>
            <w:tcW w:type="dxa" w:w="6494"/>
          </w:tcPr>
          <w:p>
            <w:pPr>
              <w:spacing w:after="0" w:line="252" w:lineRule="auto"/>
            </w:pPr>
            <w:r>
              <w:rPr>
                <w:sz w:val="17"/>
              </w:rPr>
              <w:t>Fremdsystem, mit dem WAMAS Nachrichten austauscht; auch Importe laufen über Systempartnernachrichten</w:t>
            </w:r>
          </w:p>
        </w:tc>
      </w:tr>
      <w:tr>
        <w:tc>
          <w:tcPr>
            <w:tcW w:type="dxa" w:w="3030"/>
          </w:tcPr>
          <w:p>
            <w:pPr>
              <w:spacing w:after="0" w:line="252" w:lineRule="auto"/>
            </w:pPr>
            <w:r>
              <w:rPr>
                <w:sz w:val="17"/>
              </w:rPr>
              <w:t>Systempartnernachricht (SPM)</w:t>
            </w:r>
          </w:p>
        </w:tc>
        <w:tc>
          <w:tcPr>
            <w:tcW w:type="dxa" w:w="6494"/>
          </w:tcPr>
          <w:p>
            <w:pPr>
              <w:spacing w:after="0" w:line="252" w:lineRule="auto"/>
            </w:pPr>
            <w:r>
              <w:rPr>
                <w:sz w:val="17"/>
              </w:rPr>
              <w:t xml:space="preserve">Datensatz mit Daten von bzw. an einen Systempartner, sichtbar in </w:t>
            </w:r>
            <w:r>
              <w:rPr>
                <w:b/>
                <w:sz w:val="17"/>
              </w:rPr>
              <w:t>DI002</w:t>
            </w:r>
          </w:p>
        </w:tc>
      </w:tr>
    </w:tbl>
    <w:p>
      <w:pPr>
        <w:pStyle w:val="BeschriftungSSI"/>
      </w:pPr>
      <w:r>
        <w:t>Tab. 1: Begriffe</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Artikel anlegen und importieren (ohne Schnittstelle)</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 /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Key-User, Stammdatenverantwortliche und Administratoren; auch als Schulungsunterlage</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Administratorhandbuch und Benutzerhandbuch 2.7 (deDE), Administrator Manual und User Manual 2.8 (enUS), Schnittstellenhandbuch WLS–ERP 2.7/2.8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96"/>
        <w:gridCol w:w="1496"/>
        <w:gridCol w:w="6531"/>
      </w:tblGrid>
      <w:tr>
        <w:trPr>
          <w:tblHeader w:val="true"/>
        </w:trPr>
        <w:tc>
          <w:tcPr>
            <w:tcW w:type="dxa" w:w="1497"/>
            <w:shd w:val="clear" w:color="auto" w:fill="FEEE19"/>
          </w:tcPr>
          <w:p>
            <w:pPr>
              <w:spacing w:after="0"/>
            </w:pPr>
            <w:r>
              <w:rPr>
                <w:b/>
                <w:sz w:val="17"/>
              </w:rPr>
              <w:t>Version</w:t>
            </w:r>
          </w:p>
        </w:tc>
        <w:tc>
          <w:tcPr>
            <w:tcW w:type="dxa" w:w="1497"/>
            <w:shd w:val="clear" w:color="auto" w:fill="FEEE19"/>
          </w:tcPr>
          <w:p>
            <w:pPr>
              <w:spacing w:after="0"/>
            </w:pPr>
            <w:r>
              <w:rPr>
                <w:b/>
                <w:sz w:val="17"/>
              </w:rPr>
              <w:t>Datum</w:t>
            </w:r>
          </w:p>
        </w:tc>
        <w:tc>
          <w:tcPr>
            <w:tcW w:type="dxa" w:w="6531"/>
            <w:shd w:val="clear" w:color="auto" w:fill="FEEE19"/>
          </w:tcPr>
          <w:p>
            <w:pPr>
              <w:spacing w:after="0"/>
            </w:pPr>
            <w:r>
              <w:rPr>
                <w:b/>
                <w:sz w:val="17"/>
              </w:rPr>
              <w:t>Änderung</w:t>
            </w:r>
          </w:p>
        </w:tc>
      </w:tr>
      <w:tr>
        <w:tc>
          <w:tcPr>
            <w:tcW w:type="dxa" w:w="1497"/>
          </w:tcPr>
          <w:p>
            <w:pPr>
              <w:spacing w:after="0" w:line="252" w:lineRule="auto"/>
            </w:pPr>
            <w:r>
              <w:rPr>
                <w:sz w:val="17"/>
              </w:rPr>
              <w:t>1.0</w:t>
            </w:r>
          </w:p>
        </w:tc>
        <w:tc>
          <w:tcPr>
            <w:tcW w:type="dxa" w:w="1497"/>
          </w:tcPr>
          <w:p>
            <w:pPr>
              <w:spacing w:after="0" w:line="252" w:lineRule="auto"/>
            </w:pPr>
            <w:r>
              <w:rPr>
                <w:sz w:val="17"/>
              </w:rPr>
              <w:t>15.10.2026</w:t>
            </w:r>
          </w:p>
        </w:tc>
        <w:tc>
          <w:tcPr>
            <w:tcW w:type="dxa" w:w="6531"/>
          </w:tcPr>
          <w:p>
            <w:pPr>
              <w:spacing w:after="0" w:line="252" w:lineRule="auto"/>
            </w:pPr>
            <w:r>
              <w:rPr>
                <w:sz w:val="17"/>
              </w:rPr>
              <w:t>Erstausgabe auf Basis der Handbücher 2.7 und 2.8</w:t>
            </w:r>
          </w:p>
        </w:tc>
      </w:tr>
    </w:tbl>
    <w:p>
      <w:pPr>
        <w:pStyle w:val="BeschriftungSSI"/>
      </w:pPr>
      <w:r>
        <w:t>Tab. 2: Änderungshistorie</w:t>
      </w:r>
    </w:p>
    <w:p>
      <w:pPr>
        <w:pStyle w:val="Heading1"/>
      </w:pPr>
      <w:r>
        <w:t>2 Überblick: Wege zum Artikelstamm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76"/>
        <w:gridCol w:w="659"/>
        <w:gridCol w:w="2995"/>
        <w:gridCol w:w="3594"/>
      </w:tblGrid>
      <w:tr>
        <w:trPr>
          <w:tblHeader w:val="true"/>
        </w:trPr>
        <w:tc>
          <w:tcPr>
            <w:tcW w:type="dxa" w:w="2276"/>
            <w:shd w:val="clear" w:color="auto" w:fill="FEEE19"/>
          </w:tcPr>
          <w:p>
            <w:pPr>
              <w:spacing w:after="0"/>
            </w:pPr>
            <w:r>
              <w:rPr>
                <w:b/>
                <w:sz w:val="17"/>
              </w:rPr>
              <w:t>Weg</w:t>
            </w:r>
          </w:p>
        </w:tc>
        <w:tc>
          <w:tcPr>
            <w:tcW w:type="dxa" w:w="659"/>
            <w:shd w:val="clear" w:color="auto" w:fill="FEEE19"/>
          </w:tcPr>
          <w:p>
            <w:pPr>
              <w:spacing w:after="0"/>
            </w:pPr>
            <w:r>
              <w:rPr>
                <w:b/>
                <w:sz w:val="17"/>
              </w:rPr>
              <w:t>Version</w:t>
            </w:r>
          </w:p>
        </w:tc>
        <w:tc>
          <w:tcPr>
            <w:tcW w:type="dxa" w:w="2995"/>
            <w:shd w:val="clear" w:color="auto" w:fill="FEEE19"/>
          </w:tcPr>
          <w:p>
            <w:pPr>
              <w:spacing w:after="0"/>
            </w:pPr>
            <w:r>
              <w:rPr>
                <w:b/>
                <w:sz w:val="17"/>
              </w:rPr>
              <w:t>Dialog</w:t>
            </w:r>
          </w:p>
        </w:tc>
        <w:tc>
          <w:tcPr>
            <w:tcW w:type="dxa" w:w="3594"/>
            <w:shd w:val="clear" w:color="auto" w:fill="FEEE19"/>
          </w:tcPr>
          <w:p>
            <w:pPr>
              <w:spacing w:after="0"/>
            </w:pPr>
            <w:r>
              <w:rPr>
                <w:b/>
                <w:sz w:val="17"/>
              </w:rPr>
              <w:t>Geeignet für</w:t>
            </w:r>
          </w:p>
        </w:tc>
      </w:tr>
      <w:tr>
        <w:tc>
          <w:tcPr>
            <w:tcW w:type="dxa" w:w="2276"/>
          </w:tcPr>
          <w:p>
            <w:pPr>
              <w:spacing w:after="0" w:line="252" w:lineRule="auto"/>
            </w:pPr>
            <w:r>
              <w:rPr>
                <w:sz w:val="17"/>
              </w:rPr>
              <w:t>Vollständige Pflege am Desktop</w:t>
            </w:r>
          </w:p>
        </w:tc>
        <w:tc>
          <w:tcPr>
            <w:tcW w:type="dxa" w:w="659"/>
          </w:tcPr>
          <w:p>
            <w:pPr>
              <w:spacing w:after="0" w:line="252" w:lineRule="auto"/>
            </w:pPr>
            <w:r>
              <w:rPr>
                <w:sz w:val="17"/>
              </w:rPr>
              <w:t>2.7, 2.8</w:t>
            </w:r>
          </w:p>
        </w:tc>
        <w:tc>
          <w:tcPr>
            <w:tcW w:type="dxa" w:w="2995"/>
          </w:tcPr>
          <w:p>
            <w:pPr>
              <w:spacing w:after="0" w:line="252" w:lineRule="auto"/>
            </w:pPr>
            <w:r>
              <w:rPr>
                <w:b/>
                <w:sz w:val="17"/>
              </w:rPr>
              <w:t>MD001</w:t>
            </w:r>
            <w:r>
              <w:rPr>
                <w:sz w:val="17"/>
              </w:rPr>
              <w:t xml:space="preserve"> → </w:t>
            </w:r>
            <w:r>
              <w:rPr>
                <w:b/>
                <w:sz w:val="17"/>
              </w:rPr>
              <w:t>MD002</w:t>
            </w:r>
          </w:p>
        </w:tc>
        <w:tc>
          <w:tcPr>
            <w:tcW w:type="dxa" w:w="3594"/>
          </w:tcPr>
          <w:p>
            <w:pPr>
              <w:spacing w:after="0" w:line="252" w:lineRule="auto"/>
            </w:pPr>
            <w:r>
              <w:rPr>
                <w:sz w:val="17"/>
              </w:rPr>
              <w:t>Alle Artikel, alle Felder, mehrere Verpackungsversionen</w:t>
            </w:r>
          </w:p>
        </w:tc>
      </w:tr>
      <w:tr>
        <w:tc>
          <w:tcPr>
            <w:tcW w:type="dxa" w:w="2276"/>
          </w:tcPr>
          <w:p>
            <w:pPr>
              <w:spacing w:after="0" w:line="252" w:lineRule="auto"/>
            </w:pPr>
            <w:r>
              <w:rPr>
                <w:sz w:val="17"/>
              </w:rPr>
              <w:t>Vereinfachte Pflege am Desktop</w:t>
            </w:r>
          </w:p>
        </w:tc>
        <w:tc>
          <w:tcPr>
            <w:tcW w:type="dxa" w:w="659"/>
          </w:tcPr>
          <w:p>
            <w:pPr>
              <w:spacing w:after="0" w:line="252" w:lineRule="auto"/>
            </w:pPr>
            <w:r>
              <w:rPr>
                <w:sz w:val="17"/>
              </w:rPr>
              <w:t>2.7, 2.8</w:t>
            </w:r>
          </w:p>
        </w:tc>
        <w:tc>
          <w:tcPr>
            <w:tcW w:type="dxa" w:w="2995"/>
          </w:tcPr>
          <w:p>
            <w:pPr>
              <w:spacing w:after="0" w:line="252" w:lineRule="auto"/>
            </w:pPr>
            <w:r>
              <w:rPr>
                <w:b/>
                <w:sz w:val="17"/>
              </w:rPr>
              <w:t>MD089</w:t>
            </w:r>
          </w:p>
        </w:tc>
        <w:tc>
          <w:tcPr>
            <w:tcW w:type="dxa" w:w="3594"/>
          </w:tcPr>
          <w:p>
            <w:pPr>
              <w:spacing w:after="0" w:line="252" w:lineRule="auto"/>
            </w:pPr>
            <w:r>
              <w:rPr>
                <w:sz w:val="17"/>
              </w:rPr>
              <w:t>Einfache Artikel mit nur einer Verpackungsversion</w:t>
            </w:r>
          </w:p>
        </w:tc>
      </w:tr>
      <w:tr>
        <w:tc>
          <w:tcPr>
            <w:tcW w:type="dxa" w:w="2276"/>
          </w:tcPr>
          <w:p>
            <w:pPr>
              <w:spacing w:after="0" w:line="252" w:lineRule="auto"/>
            </w:pPr>
            <w:r>
              <w:rPr>
                <w:sz w:val="17"/>
              </w:rPr>
              <w:t>Pflege am Touch-Client</w:t>
            </w:r>
          </w:p>
        </w:tc>
        <w:tc>
          <w:tcPr>
            <w:tcW w:type="dxa" w:w="659"/>
          </w:tcPr>
          <w:p>
            <w:pPr>
              <w:spacing w:after="0" w:line="252" w:lineRule="auto"/>
            </w:pPr>
            <w:r>
              <w:rPr>
                <w:sz w:val="17"/>
              </w:rPr>
              <w:t>2.7, 2.8</w:t>
            </w:r>
          </w:p>
        </w:tc>
        <w:tc>
          <w:tcPr>
            <w:tcW w:type="dxa" w:w="2995"/>
          </w:tcPr>
          <w:p>
            <w:pPr>
              <w:spacing w:after="0" w:line="252" w:lineRule="auto"/>
            </w:pPr>
            <w:r>
              <w:rPr>
                <w:b/>
                <w:sz w:val="17"/>
              </w:rPr>
              <w:t>LM007</w:t>
            </w:r>
            <w:r>
              <w:rPr>
                <w:sz w:val="17"/>
              </w:rPr>
              <w:t xml:space="preserve"> → </w:t>
            </w:r>
            <w:r>
              <w:rPr>
                <w:b/>
                <w:sz w:val="17"/>
              </w:rPr>
              <w:t>LM011</w:t>
            </w:r>
          </w:p>
        </w:tc>
        <w:tc>
          <w:tcPr>
            <w:tcW w:type="dxa" w:w="3594"/>
          </w:tcPr>
          <w:p>
            <w:pPr>
              <w:spacing w:after="0" w:line="252" w:lineRule="auto"/>
            </w:pPr>
            <w:r>
              <w:rPr>
                <w:sz w:val="17"/>
              </w:rPr>
              <w:t>Pflege direkt am SSI LOGIMAT</w:t>
            </w:r>
          </w:p>
        </w:tc>
      </w:tr>
      <w:tr>
        <w:tc>
          <w:tcPr>
            <w:tcW w:type="dxa" w:w="2276"/>
          </w:tcPr>
          <w:p>
            <w:pPr>
              <w:spacing w:after="0" w:line="252" w:lineRule="auto"/>
            </w:pPr>
            <w:r>
              <w:rPr>
                <w:sz w:val="17"/>
              </w:rPr>
              <w:t>Schnellanlage am Touch-Client</w:t>
            </w:r>
          </w:p>
        </w:tc>
        <w:tc>
          <w:tcPr>
            <w:tcW w:type="dxa" w:w="659"/>
          </w:tcPr>
          <w:p>
            <w:pPr>
              <w:spacing w:after="0" w:line="252" w:lineRule="auto"/>
            </w:pPr>
            <w:r>
              <w:rPr>
                <w:sz w:val="17"/>
              </w:rPr>
              <w:t>2.7, 2.8</w:t>
            </w:r>
          </w:p>
        </w:tc>
        <w:tc>
          <w:tcPr>
            <w:tcW w:type="dxa" w:w="2995"/>
          </w:tcPr>
          <w:p>
            <w:pPr>
              <w:spacing w:after="0" w:line="252" w:lineRule="auto"/>
            </w:pPr>
            <w:r>
              <w:rPr>
                <w:b/>
                <w:sz w:val="17"/>
              </w:rPr>
              <w:t>LM041</w:t>
            </w:r>
            <w:r>
              <w:rPr>
                <w:sz w:val="17"/>
              </w:rPr>
              <w:t xml:space="preserve"> (aus </w:t>
            </w:r>
            <w:r>
              <w:rPr>
                <w:b/>
                <w:sz w:val="17"/>
              </w:rPr>
              <w:t>LM002</w:t>
            </w:r>
            <w:r>
              <w:rPr>
                <w:sz w:val="17"/>
              </w:rPr>
              <w:t xml:space="preserve"> oder </w:t>
            </w:r>
            <w:r>
              <w:rPr>
                <w:b/>
                <w:sz w:val="17"/>
              </w:rPr>
              <w:t>LM133</w:t>
            </w:r>
            <w:r>
              <w:rPr>
                <w:sz w:val="17"/>
              </w:rPr>
              <w:t>)</w:t>
            </w:r>
          </w:p>
        </w:tc>
        <w:tc>
          <w:tcPr>
            <w:tcW w:type="dxa" w:w="3594"/>
          </w:tcPr>
          <w:p>
            <w:pPr>
              <w:spacing w:after="0" w:line="252" w:lineRule="auto"/>
            </w:pPr>
            <w:r>
              <w:rPr>
                <w:sz w:val="17"/>
              </w:rPr>
              <w:t>Neuer Artikel während Box-Zuordnung oder Einlagerung eines großen Artikels</w:t>
            </w:r>
          </w:p>
        </w:tc>
      </w:tr>
      <w:tr>
        <w:tc>
          <w:tcPr>
            <w:tcW w:type="dxa" w:w="2276"/>
          </w:tcPr>
          <w:p>
            <w:pPr>
              <w:spacing w:after="0" w:line="252" w:lineRule="auto"/>
            </w:pPr>
            <w:r>
              <w:rPr>
                <w:sz w:val="17"/>
              </w:rPr>
              <w:t>Initialer Artikelstammimport per Datei</w:t>
            </w:r>
          </w:p>
        </w:tc>
        <w:tc>
          <w:tcPr>
            <w:tcW w:type="dxa" w:w="659"/>
          </w:tcPr>
          <w:p>
            <w:pPr>
              <w:spacing w:after="0" w:line="252" w:lineRule="auto"/>
            </w:pPr>
            <w:r>
              <w:rPr>
                <w:sz w:val="17"/>
              </w:rPr>
              <w:t>2.7, 2.8</w:t>
            </w:r>
          </w:p>
        </w:tc>
        <w:tc>
          <w:tcPr>
            <w:tcW w:type="dxa" w:w="2995"/>
          </w:tcPr>
          <w:p>
            <w:pPr>
              <w:spacing w:after="0" w:line="252" w:lineRule="auto"/>
            </w:pPr>
            <w:r>
              <w:rPr>
                <w:b/>
                <w:sz w:val="17"/>
              </w:rPr>
              <w:t>DI002</w:t>
            </w:r>
            <w:r>
              <w:rPr>
                <w:sz w:val="17"/>
              </w:rPr>
              <w:t xml:space="preserve"> → </w:t>
            </w:r>
            <w:r>
              <w:rPr>
                <w:b/>
                <w:sz w:val="17"/>
              </w:rPr>
              <w:t>DI014</w:t>
            </w:r>
          </w:p>
        </w:tc>
        <w:tc>
          <w:tcPr>
            <w:tcW w:type="dxa" w:w="3594"/>
          </w:tcPr>
          <w:p>
            <w:pPr>
              <w:spacing w:after="0" w:line="252" w:lineRule="auto"/>
            </w:pPr>
            <w:r>
              <w:rPr>
                <w:sz w:val="17"/>
              </w:rPr>
              <w:t>Erstbefüllung oder einmalige Übernahme vieler Artikel</w:t>
            </w:r>
          </w:p>
        </w:tc>
      </w:tr>
      <w:tr>
        <w:tc>
          <w:tcPr>
            <w:tcW w:type="dxa" w:w="2276"/>
          </w:tcPr>
          <w:p>
            <w:pPr>
              <w:spacing w:after="0" w:line="252" w:lineRule="auto"/>
            </w:pPr>
            <w:r>
              <w:rPr>
                <w:sz w:val="17"/>
              </w:rPr>
              <w:t>Excel-Import mit Zuordnungsprofil</w:t>
            </w:r>
          </w:p>
        </w:tc>
        <w:tc>
          <w:tcPr>
            <w:tcW w:type="dxa" w:w="659"/>
          </w:tcPr>
          <w:p>
            <w:pPr>
              <w:spacing w:after="0" w:line="252" w:lineRule="auto"/>
            </w:pPr>
            <w:r>
              <w:rPr>
                <w:sz w:val="17"/>
              </w:rPr>
              <w:t>nur 2.8</w:t>
            </w:r>
          </w:p>
        </w:tc>
        <w:tc>
          <w:tcPr>
            <w:tcW w:type="dxa" w:w="2995"/>
          </w:tcPr>
          <w:p>
            <w:pPr>
              <w:spacing w:after="0" w:line="252" w:lineRule="auto"/>
            </w:pPr>
            <w:r>
              <w:rPr>
                <w:b/>
                <w:sz w:val="17"/>
              </w:rPr>
              <w:t>LM161</w:t>
            </w:r>
            <w:r>
              <w:rPr>
                <w:sz w:val="17"/>
              </w:rPr>
              <w:t xml:space="preserve"> (Profil), </w:t>
            </w:r>
            <w:r>
              <w:rPr>
                <w:b/>
                <w:sz w:val="17"/>
              </w:rPr>
              <w:t>MD001</w:t>
            </w:r>
            <w:r>
              <w:rPr>
                <w:sz w:val="17"/>
              </w:rPr>
              <w:t xml:space="preserve"> → </w:t>
            </w:r>
            <w:r>
              <w:rPr>
                <w:b/>
                <w:sz w:val="17"/>
              </w:rPr>
              <w:t>LM163</w:t>
            </w:r>
            <w:r>
              <w:rPr>
                <w:sz w:val="17"/>
              </w:rPr>
              <w:t xml:space="preserve"> (Import)</w:t>
            </w:r>
          </w:p>
        </w:tc>
        <w:tc>
          <w:tcPr>
            <w:tcW w:type="dxa" w:w="3594"/>
          </w:tcPr>
          <w:p>
            <w:pPr>
              <w:spacing w:after="0" w:line="252" w:lineRule="auto"/>
            </w:pPr>
            <w:r>
              <w:rPr>
                <w:sz w:val="17"/>
              </w:rPr>
              <w:t>Wiederkehrende Übernahme aus Excel-Listen, Neuanlage und Aktualisierung</w:t>
            </w:r>
          </w:p>
        </w:tc>
      </w:tr>
    </w:tbl>
    <w:p>
      <w:pPr>
        <w:pStyle w:val="BeschriftungSSI"/>
      </w:pPr>
      <w:r>
        <w:t>Tab. 3: Wege zum Artikelstamm</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Empfehlung</w:t>
            </w:r>
          </w:p>
          <w:p>
            <w:pPr>
              <w:spacing w:after="40"/>
            </w:pPr>
            <w:r>
              <w:rPr>
                <w:sz w:val="19"/>
              </w:rPr>
              <w:t xml:space="preserve">Legen Sie einzelne Artikel am Desktop in </w:t>
            </w:r>
            <w:r>
              <w:rPr>
                <w:b/>
                <w:sz w:val="19"/>
              </w:rPr>
              <w:t>MD002</w:t>
            </w:r>
            <w:r>
              <w:rPr>
                <w:sz w:val="19"/>
              </w:rPr>
              <w:t xml:space="preserve"> oder am Touch-Client an. Für mehr als etwa 20 Artikel lohnt sich ein Import. Testen Sie jeden Import zuerst mit wenigen Zeilen.</w:t>
            </w:r>
          </w:p>
        </w:tc>
      </w:tr>
    </w:tbl>
    <w:p>
      <w:pPr>
        <w:spacing w:after="40"/>
      </w:pPr>
    </w:p>
    <w:p>
      <w:pPr>
        <w:pStyle w:val="Quelle"/>
      </w:pPr>
      <w:r>
        <w:rPr>
          <w:b/>
        </w:rPr>
        <w:t xml:space="preserve">Quelle: </w:t>
      </w:r>
      <w:r>
        <w:rPr>
          <w:sz w:val="17"/>
        </w:rPr>
        <w:t>Administratorhandbuch 2.7, Kap. 3.5.5.1.5, 3.6.3, 3.6.5; Benutzerhandbuch 2.7, Kap. 5.1, 5.6.1; Administrator Manual 2.8, Kap. 3.5.5, 3.5.6</w:t>
      </w:r>
    </w:p>
    <w:p>
      <w:pPr>
        <w:pStyle w:val="Heading1"/>
      </w:pPr>
      <w:r>
        <w:t>3 Grundlagen und Voraussetzungen</w:t>
      </w:r>
    </w:p>
    <w:p>
      <w:pPr>
        <w:pStyle w:val="Heading2"/>
      </w:pPr>
      <w:r>
        <w:t>3.1 Aufbau eines Artikels</w:t>
      </w:r>
    </w:p>
    <w:p>
      <w:r>
        <w:t xml:space="preserve">Jeder Artikel ist durch </w:t>
      </w:r>
      <w:r>
        <w:rPr>
          <w:b/>
        </w:rPr>
        <w:t>Klient</w:t>
      </w:r>
      <w:r>
        <w:t xml:space="preserve">, </w:t>
      </w:r>
      <w:r>
        <w:rPr>
          <w:b/>
        </w:rPr>
        <w:t>Artikelnummer</w:t>
      </w:r>
      <w:r>
        <w:t xml:space="preserve"> und </w:t>
      </w:r>
      <w:r>
        <w:rPr>
          <w:b/>
        </w:rPr>
        <w:t>Variante</w:t>
      </w:r>
      <w:r>
        <w:t xml:space="preserve"> eindeutig bestimmt. Für jeden Artikel müssen</w:t>
      </w:r>
    </w:p>
    <w:p>
      <w:pPr>
        <w:pStyle w:val="ListBullet"/>
      </w:pPr>
      <w:r>
        <w:t xml:space="preserve">eine </w:t>
      </w:r>
      <w:r>
        <w:rPr>
          <w:b/>
        </w:rPr>
        <w:t>Basismengeneinheit</w:t>
      </w:r>
      <w:r>
        <w:t xml:space="preserve"> und</w:t>
      </w:r>
    </w:p>
    <w:p>
      <w:pPr>
        <w:pStyle w:val="ListBullet"/>
      </w:pPr>
      <w:r>
        <w:t xml:space="preserve">eine </w:t>
      </w:r>
      <w:r>
        <w:rPr>
          <w:b/>
        </w:rPr>
        <w:t>Standardverpackungsversion</w:t>
      </w:r>
    </w:p>
    <w:p>
      <w:r>
        <w:t xml:space="preserve">festgelegt werden. Zudem muss der Artikel einem </w:t>
      </w:r>
      <w:r>
        <w:rPr>
          <w:b/>
        </w:rPr>
        <w:t>Artikeltyp</w:t>
      </w:r>
      <w:r>
        <w:t xml:space="preserve"> und einem </w:t>
      </w:r>
      <w:r>
        <w:rPr>
          <w:b/>
        </w:rPr>
        <w:t>Systempartner</w:t>
      </w:r>
      <w:r>
        <w:t xml:space="preserve"> zugeordnet sein.</w:t>
      </w:r>
    </w:p>
    <w:p>
      <w:r>
        <w:t xml:space="preserve">Eine Verpackungsversion besteht aus einer oder mehreren </w:t>
      </w:r>
      <w:r>
        <w:rPr>
          <w:b/>
        </w:rPr>
        <w:t>Artikelmengeneinheiten</w:t>
      </w:r>
      <w:r>
        <w:t xml:space="preserve">. Die Basismengeneinheit erhält immer den Zähler </w:t>
      </w:r>
      <w:r>
        <w:rPr>
          <w:rFonts w:ascii="Consolas" w:hAnsi="Consolas" w:cs="Consolas" w:eastAsia="Consolas"/>
          <w:sz w:val="18"/>
        </w:rPr>
        <w:t>1</w:t>
      </w:r>
      <w:r>
        <w:t xml:space="preserve"> und keine Referenzmengeneinheit. Jede weitere Einheit verweist auf die nächstkleinere Einheit.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Verpackungsversion 1 (Standard), Lagermengeneinheit = KRT</w:t>
            </w:r>
          </w:p>
          <w:p>
            <w:pPr>
              <w:pStyle w:val="Code"/>
            </w:pPr>
            <w:r>
              <w:t xml:space="preserve">  STK  Zähler 1                    (Basismengeneinheit)</w:t>
            </w:r>
          </w:p>
          <w:p>
            <w:pPr>
              <w:pStyle w:val="Code"/>
            </w:pPr>
            <w:r>
              <w:t xml:space="preserve">  KRT  Zähler 10, Referenz STK     (1 Karton = 10 Stück)</w:t>
            </w:r>
          </w:p>
          <w:p>
            <w:pPr>
              <w:pStyle w:val="Code"/>
            </w:pPr>
            <w:r>
              <w:t xml:space="preserve">  PAL  Zähler 48, Referenz KRT     (1 Palette = 48 Kartons, Ganz-Ladeeinheit)</w:t>
            </w:r>
          </w:p>
        </w:tc>
      </w:tr>
    </w:tbl>
    <w:p>
      <w:pPr>
        <w:pStyle w:val="BeschriftungSSI"/>
      </w:pPr>
      <w:r>
        <w:t>Abb. 1: Beispiel einer Verpackungsversion</w:t>
      </w:r>
    </w:p>
    <w:p>
      <w:pPr>
        <w:pStyle w:val="Quelle"/>
      </w:pPr>
      <w:r>
        <w:rPr>
          <w:b/>
        </w:rPr>
        <w:t xml:space="preserve">Quelle: </w:t>
      </w:r>
      <w:r>
        <w:rPr>
          <w:sz w:val="17"/>
        </w:rPr>
        <w:t>Administratorhandbuch 2.7, Kap. 3.6.3 und 3.6.3.2 (S. 116–121)</w:t>
      </w:r>
    </w:p>
    <w:p>
      <w:pPr>
        <w:pStyle w:val="Heading2"/>
      </w:pPr>
      <w:r>
        <w:t>3.2 Stammdaten, die vorher vorhanden sein müssen</w:t>
      </w:r>
    </w:p>
    <w:p>
      <w:r>
        <w:t xml:space="preserve">Viele Felder im Artikel sind Auswahllisten, deren Werte je </w:t>
      </w:r>
      <w:r>
        <w:rPr>
          <w:b/>
        </w:rPr>
        <w:t>Klient</w:t>
      </w:r>
      <w:r>
        <w:t xml:space="preserve"> im Dialog </w:t>
      </w:r>
      <w:r>
        <w:rPr>
          <w:b/>
        </w:rPr>
        <w:t>MD017 Klient pflegen</w:t>
      </w:r>
      <w:r>
        <w:t xml:space="preserve"> gepflegt werden. Legen Sie diese Werte an, bevor Sie Artikel anlegen oder importieren.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25"/>
        <w:gridCol w:w="4500"/>
        <w:gridCol w:w="3000"/>
      </w:tblGrid>
      <w:tr>
        <w:trPr>
          <w:tblHeader w:val="true"/>
        </w:trPr>
        <w:tc>
          <w:tcPr>
            <w:tcW w:type="dxa" w:w="2025"/>
            <w:shd w:val="clear" w:color="auto" w:fill="FEEE19"/>
          </w:tcPr>
          <w:p>
            <w:pPr>
              <w:spacing w:after="0"/>
            </w:pPr>
            <w:r>
              <w:rPr>
                <w:b/>
                <w:sz w:val="17"/>
              </w:rPr>
              <w:t>Registerkarte in MD017</w:t>
            </w:r>
          </w:p>
        </w:tc>
        <w:tc>
          <w:tcPr>
            <w:tcW w:type="dxa" w:w="4500"/>
            <w:shd w:val="clear" w:color="auto" w:fill="FEEE19"/>
          </w:tcPr>
          <w:p>
            <w:pPr>
              <w:spacing w:after="0"/>
            </w:pPr>
            <w:r>
              <w:rPr>
                <w:b/>
                <w:sz w:val="17"/>
              </w:rPr>
              <w:t>Inhalt</w:t>
            </w:r>
          </w:p>
        </w:tc>
        <w:tc>
          <w:tcPr>
            <w:tcW w:type="dxa" w:w="3000"/>
            <w:shd w:val="clear" w:color="auto" w:fill="FEEE19"/>
          </w:tcPr>
          <w:p>
            <w:pPr>
              <w:spacing w:after="0"/>
            </w:pPr>
            <w:r>
              <w:rPr>
                <w:b/>
                <w:sz w:val="17"/>
              </w:rPr>
              <w:t>Für Artikel benötigt</w:t>
            </w:r>
          </w:p>
        </w:tc>
      </w:tr>
      <w:tr>
        <w:tc>
          <w:tcPr>
            <w:tcW w:type="dxa" w:w="2025"/>
          </w:tcPr>
          <w:p>
            <w:pPr>
              <w:spacing w:after="0" w:line="252" w:lineRule="auto"/>
            </w:pPr>
            <w:r>
              <w:rPr>
                <w:b/>
                <w:sz w:val="17"/>
              </w:rPr>
              <w:t>Artikeltyp</w:t>
            </w:r>
          </w:p>
        </w:tc>
        <w:tc>
          <w:tcPr>
            <w:tcW w:type="dxa" w:w="4500"/>
          </w:tcPr>
          <w:p>
            <w:pPr>
              <w:spacing w:after="0" w:line="252" w:lineRule="auto"/>
            </w:pPr>
            <w:r>
              <w:rPr>
                <w:sz w:val="17"/>
              </w:rPr>
              <w:t>z. B. Handelsware (Standard), Leergut, Ladehilfsmittel, Verbrauchsmaterial, Virtueller Artikel</w:t>
            </w:r>
          </w:p>
        </w:tc>
        <w:tc>
          <w:tcPr>
            <w:tcW w:type="dxa" w:w="3000"/>
          </w:tcPr>
          <w:p>
            <w:pPr>
              <w:spacing w:after="0" w:line="252" w:lineRule="auto"/>
            </w:pPr>
            <w:r>
              <w:rPr>
                <w:sz w:val="17"/>
              </w:rPr>
              <w:t>Pflicht</w:t>
            </w:r>
          </w:p>
        </w:tc>
      </w:tr>
      <w:tr>
        <w:tc>
          <w:tcPr>
            <w:tcW w:type="dxa" w:w="2025"/>
          </w:tcPr>
          <w:p>
            <w:pPr>
              <w:spacing w:after="0" w:line="252" w:lineRule="auto"/>
            </w:pPr>
            <w:r>
              <w:rPr>
                <w:b/>
                <w:sz w:val="17"/>
              </w:rPr>
              <w:t>Mengeneinheit</w:t>
            </w:r>
          </w:p>
        </w:tc>
        <w:tc>
          <w:tcPr>
            <w:tcW w:type="dxa" w:w="4500"/>
          </w:tcPr>
          <w:p>
            <w:pPr>
              <w:spacing w:after="0" w:line="252" w:lineRule="auto"/>
            </w:pPr>
            <w:r>
              <w:rPr>
                <w:sz w:val="17"/>
              </w:rPr>
              <w:t xml:space="preserve">Einheiten wie Stück, Karton, kg; Checkbox </w:t>
            </w:r>
            <w:r>
              <w:rPr>
                <w:b/>
                <w:sz w:val="17"/>
              </w:rPr>
              <w:t>Ganzzahl</w:t>
            </w:r>
          </w:p>
        </w:tc>
        <w:tc>
          <w:tcPr>
            <w:tcW w:type="dxa" w:w="3000"/>
          </w:tcPr>
          <w:p>
            <w:pPr>
              <w:spacing w:after="0" w:line="252" w:lineRule="auto"/>
            </w:pPr>
            <w:r>
              <w:rPr>
                <w:sz w:val="17"/>
              </w:rPr>
              <w:t>Pflicht (Basismengeneinheit)</w:t>
            </w:r>
          </w:p>
        </w:tc>
      </w:tr>
      <w:tr>
        <w:tc>
          <w:tcPr>
            <w:tcW w:type="dxa" w:w="2025"/>
          </w:tcPr>
          <w:p>
            <w:pPr>
              <w:spacing w:after="0" w:line="252" w:lineRule="auto"/>
            </w:pPr>
            <w:r>
              <w:rPr>
                <w:b/>
                <w:sz w:val="17"/>
              </w:rPr>
              <w:t>Warengruppe</w:t>
            </w:r>
          </w:p>
        </w:tc>
        <w:tc>
          <w:tcPr>
            <w:tcW w:type="dxa" w:w="4500"/>
          </w:tcPr>
          <w:p>
            <w:pPr>
              <w:spacing w:after="0" w:line="252" w:lineRule="auto"/>
            </w:pPr>
            <w:r>
              <w:rPr>
                <w:sz w:val="17"/>
              </w:rPr>
              <w:t>Gruppierung, Überwachungs- und GTIN-Prüfungsart, Lagerreservierungsstrategie</w:t>
            </w:r>
          </w:p>
        </w:tc>
        <w:tc>
          <w:tcPr>
            <w:tcW w:type="dxa" w:w="3000"/>
          </w:tcPr>
          <w:p>
            <w:pPr>
              <w:spacing w:after="0" w:line="252" w:lineRule="auto"/>
            </w:pPr>
            <w:r>
              <w:rPr>
                <w:sz w:val="17"/>
              </w:rPr>
              <w:t>Optional</w:t>
            </w:r>
          </w:p>
        </w:tc>
      </w:tr>
      <w:tr>
        <w:tc>
          <w:tcPr>
            <w:tcW w:type="dxa" w:w="2025"/>
          </w:tcPr>
          <w:p>
            <w:pPr>
              <w:spacing w:after="0" w:line="252" w:lineRule="auto"/>
            </w:pPr>
            <w:r>
              <w:rPr>
                <w:b/>
                <w:sz w:val="17"/>
              </w:rPr>
              <w:t>Sortiment</w:t>
            </w:r>
          </w:p>
        </w:tc>
        <w:tc>
          <w:tcPr>
            <w:tcW w:type="dxa" w:w="4500"/>
          </w:tcPr>
          <w:p>
            <w:pPr>
              <w:spacing w:after="0" w:line="252" w:lineRule="auto"/>
            </w:pPr>
            <w:r>
              <w:rPr>
                <w:sz w:val="17"/>
              </w:rPr>
              <w:t>Zusammenfassung von Warengruppen</w:t>
            </w:r>
          </w:p>
        </w:tc>
        <w:tc>
          <w:tcPr>
            <w:tcW w:type="dxa" w:w="3000"/>
          </w:tcPr>
          <w:p>
            <w:pPr>
              <w:spacing w:after="0" w:line="252" w:lineRule="auto"/>
            </w:pPr>
            <w:r>
              <w:rPr>
                <w:sz w:val="17"/>
              </w:rPr>
              <w:t>Optional</w:t>
            </w:r>
          </w:p>
        </w:tc>
      </w:tr>
      <w:tr>
        <w:tc>
          <w:tcPr>
            <w:tcW w:type="dxa" w:w="2025"/>
          </w:tcPr>
          <w:p>
            <w:pPr>
              <w:spacing w:after="0" w:line="252" w:lineRule="auto"/>
            </w:pPr>
            <w:r>
              <w:rPr>
                <w:b/>
                <w:sz w:val="17"/>
              </w:rPr>
              <w:t>Anpassbare BIA</w:t>
            </w:r>
          </w:p>
        </w:tc>
        <w:tc>
          <w:tcPr>
            <w:tcW w:type="dxa" w:w="4500"/>
          </w:tcPr>
          <w:p>
            <w:pPr>
              <w:spacing w:after="0" w:line="252" w:lineRule="auto"/>
            </w:pPr>
            <w:r>
              <w:rPr>
                <w:sz w:val="17"/>
              </w:rPr>
              <w:t>Eigene Attribute, z. B. Seriennummer</w:t>
            </w:r>
          </w:p>
        </w:tc>
        <w:tc>
          <w:tcPr>
            <w:tcW w:type="dxa" w:w="3000"/>
          </w:tcPr>
          <w:p>
            <w:pPr>
              <w:spacing w:after="0" w:line="252" w:lineRule="auto"/>
            </w:pPr>
            <w:r>
              <w:rPr>
                <w:sz w:val="17"/>
              </w:rPr>
              <w:t>Nur bei Bedarf</w:t>
            </w:r>
          </w:p>
        </w:tc>
      </w:tr>
      <w:tr>
        <w:tc>
          <w:tcPr>
            <w:tcW w:type="dxa" w:w="2025"/>
          </w:tcPr>
          <w:p>
            <w:pPr>
              <w:spacing w:after="0" w:line="252" w:lineRule="auto"/>
            </w:pPr>
            <w:r>
              <w:rPr>
                <w:b/>
                <w:sz w:val="17"/>
              </w:rPr>
              <w:t>Bestandsklassifizierung</w:t>
            </w:r>
          </w:p>
        </w:tc>
        <w:tc>
          <w:tcPr>
            <w:tcW w:type="dxa" w:w="4500"/>
          </w:tcPr>
          <w:p>
            <w:pPr>
              <w:spacing w:after="0" w:line="252" w:lineRule="auto"/>
            </w:pPr>
            <w:r>
              <w:rPr>
                <w:sz w:val="17"/>
              </w:rPr>
              <w:t>Bestandsstatus, z. B. normal, gesperrt, zu prüfen</w:t>
            </w:r>
          </w:p>
        </w:tc>
        <w:tc>
          <w:tcPr>
            <w:tcW w:type="dxa" w:w="3000"/>
          </w:tcPr>
          <w:p>
            <w:pPr>
              <w:spacing w:after="0" w:line="252" w:lineRule="auto"/>
            </w:pPr>
            <w:r>
              <w:rPr>
                <w:sz w:val="17"/>
              </w:rPr>
              <w:t>Gilt für Bestände, nicht für den Artikel</w:t>
            </w:r>
          </w:p>
        </w:tc>
      </w:tr>
    </w:tbl>
    <w:p>
      <w:pPr>
        <w:pStyle w:val="BeschriftungSSI"/>
      </w:pPr>
      <w:r>
        <w:t>Tab. 4: Vorab benötigte Klientenstammdaten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Mengeneinheit „Ganzzahl“</w:t>
            </w:r>
          </w:p>
          <w:p>
            <w:pPr>
              <w:spacing w:after="40"/>
            </w:pPr>
            <w:r>
              <w:rPr>
                <w:sz w:val="19"/>
              </w:rPr>
              <w:t xml:space="preserve">Ist </w:t>
            </w:r>
            <w:r>
              <w:rPr>
                <w:b/>
                <w:sz w:val="19"/>
              </w:rPr>
              <w:t>Ganzzahl</w:t>
            </w:r>
            <w:r>
              <w:rPr>
                <w:sz w:val="19"/>
              </w:rPr>
              <w:t xml:space="preserve"> nicht aktiviert, können Mengen mit bis zu drei Dezimalstellen erfasst werden. Für Stückartikel aktivieren Sie </w:t>
            </w:r>
            <w:r>
              <w:rPr>
                <w:b/>
                <w:sz w:val="19"/>
              </w:rPr>
              <w:t>Ganzzahl</w:t>
            </w:r>
            <w:r>
              <w:rPr>
                <w:sz w:val="19"/>
              </w:rPr>
              <w:t>, damit niemand versehentlich 0,5 Stück bucht.</w:t>
            </w:r>
          </w:p>
        </w:tc>
      </w:tr>
    </w:tbl>
    <w:p>
      <w:pPr>
        <w:spacing w:after="40"/>
      </w:pPr>
    </w:p>
    <w:p>
      <w:r>
        <w:t>Wie Sie Klienten anlegen, beschreibt die separate Anleitung „Klient, Lieferant und Partner“.</w:t>
      </w:r>
    </w:p>
    <w:p>
      <w:pPr>
        <w:pStyle w:val="Quelle"/>
      </w:pPr>
      <w:r>
        <w:rPr>
          <w:b/>
        </w:rPr>
        <w:t xml:space="preserve">Quelle: </w:t>
      </w:r>
      <w:r>
        <w:rPr>
          <w:sz w:val="17"/>
        </w:rPr>
        <w:t>Administratorhandbuch 2.7, Kap. 3.6.1.3, 3.6.1.5, 3.6.1.6, 3.6.1.9 (S. 101–108)</w:t>
      </w:r>
    </w:p>
    <w:p>
      <w:pPr>
        <w:pStyle w:val="Heading2"/>
      </w:pPr>
      <w:r>
        <w:t>3.3 Systemweite Vorgaben für neue Artikel</w:t>
      </w:r>
    </w:p>
    <w:p>
      <w:r>
        <w:t xml:space="preserve">Im Dialog </w:t>
      </w:r>
      <w:r>
        <w:rPr>
          <w:b/>
        </w:rPr>
        <w:t>LM053 Systemparameter pflegen</w:t>
      </w:r>
      <w:r>
        <w:t xml:space="preserve"> legt der Administrator Standardwerte fest, die beim Anlegen neuer Artikel vorgeschlagen werden, unter anderem:</w:t>
      </w:r>
    </w:p>
    <w:p>
      <w:pPr>
        <w:pStyle w:val="ListBullet"/>
      </w:pPr>
      <w:r>
        <w:rPr>
          <w:b/>
        </w:rPr>
        <w:t>Zuordnungsmodus</w:t>
      </w:r>
      <w:r>
        <w:t xml:space="preserve"> der Artikel-zu-Box-Zuordnung (Standard, Fixiert, Float),</w:t>
      </w:r>
    </w:p>
    <w:p>
      <w:pPr>
        <w:pStyle w:val="ListBullet"/>
      </w:pPr>
      <w:r>
        <w:rPr>
          <w:b/>
        </w:rPr>
        <w:t>Kippen ist erlaubt</w:t>
      </w:r>
      <w:r>
        <w:t>,</w:t>
      </w:r>
    </w:p>
    <w:p>
      <w:pPr>
        <w:pStyle w:val="ListBullet"/>
      </w:pPr>
      <w:r>
        <w:t>Standard-</w:t>
      </w:r>
      <w:r>
        <w:rPr>
          <w:b/>
        </w:rPr>
        <w:t>Klient</w:t>
      </w:r>
      <w:r>
        <w:t xml:space="preserve"> und Standard-</w:t>
      </w:r>
      <w:r>
        <w:rPr>
          <w:b/>
        </w:rPr>
        <w:t>Warengruppe</w:t>
      </w:r>
      <w:r>
        <w:t>,</w:t>
      </w:r>
    </w:p>
    <w:p>
      <w:pPr>
        <w:pStyle w:val="ListBullet"/>
      </w:pPr>
      <w:r>
        <w:t>Standardeinstellungen für MHD, Produktionsdatum und Charge (Wareneingang, Bestandsführung, Warenausgang),</w:t>
      </w:r>
    </w:p>
    <w:p>
      <w:pPr>
        <w:pStyle w:val="ListBullet"/>
      </w:pPr>
      <w:r>
        <w:t>zeitbezogener Zugriff und Artikelgleichwertigkeitsdauer.</w:t>
      </w:r>
    </w:p>
    <w:p>
      <w:pPr>
        <w:pStyle w:val="Quelle"/>
      </w:pPr>
      <w:r>
        <w:rPr>
          <w:b/>
        </w:rPr>
        <w:t xml:space="preserve">Quelle: </w:t>
      </w:r>
      <w:r>
        <w:rPr>
          <w:sz w:val="17"/>
        </w:rPr>
        <w:t>Administratorhandbuch 2.7, Kap. 3.1.3.1 (S. 15–16)</w:t>
      </w:r>
    </w:p>
    <w:p>
      <w:pPr>
        <w:pStyle w:val="Heading2"/>
      </w:pPr>
      <w:r>
        <w:t>3.4 Berechtigungen</w:t>
      </w:r>
    </w:p>
    <w:p>
      <w:r>
        <w:t xml:space="preserve">Sie benötigen Zugriff auf die genannten Dialoge. Für den Excel-Import in 2.8 zusätzlich auf </w:t>
      </w:r>
      <w:r>
        <w:rPr>
          <w:b/>
        </w:rPr>
        <w:t>LM161</w:t>
      </w:r>
      <w:r>
        <w:t xml:space="preserve"> und </w:t>
      </w:r>
      <w:r>
        <w:rPr>
          <w:b/>
        </w:rPr>
        <w:t>LM163</w:t>
      </w:r>
      <w:r>
        <w:t xml:space="preserve">, für den Dateiimport auf </w:t>
      </w:r>
      <w:r>
        <w:rPr>
          <w:b/>
        </w:rPr>
        <w:t>DI002</w:t>
      </w:r>
      <w:r>
        <w:t xml:space="preserve"> und </w:t>
      </w:r>
      <w:r>
        <w:rPr>
          <w:b/>
        </w:rPr>
        <w:t>DI014</w:t>
      </w:r>
      <w:r>
        <w:t>. Die Rechte vergibt Ihr Administrator über das Applikations-Zugriffsprofil.</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Rechte für Import-Funktionen</w:t>
            </w:r>
          </w:p>
          <w:p>
            <w:pPr>
              <w:spacing w:after="40"/>
            </w:pPr>
            <w:r>
              <w:rPr>
                <w:sz w:val="19"/>
              </w:rPr>
              <w:t xml:space="preserve">Welche Einzelrechte die Kontextmenü-Einträge </w:t>
            </w:r>
            <w:r>
              <w:rPr>
                <w:b/>
                <w:sz w:val="19"/>
              </w:rPr>
              <w:t>Artikel importieren</w:t>
            </w:r>
            <w:r>
              <w:rPr>
                <w:sz w:val="19"/>
              </w:rPr>
              <w:t xml:space="preserve"> (2.8) und </w:t>
            </w:r>
            <w:r>
              <w:rPr>
                <w:b/>
                <w:sz w:val="19"/>
              </w:rPr>
              <w:t>Daten importieren</w:t>
            </w:r>
            <w:r>
              <w:rPr>
                <w:sz w:val="19"/>
              </w:rPr>
              <w:t xml:space="preserve"> (DI002) freischalten, ist in den Handbüchern nicht beschrieben. Bitte im System prüfen.</w:t>
            </w:r>
          </w:p>
        </w:tc>
      </w:tr>
    </w:tbl>
    <w:p>
      <w:pPr>
        <w:spacing w:after="40"/>
      </w:pPr>
    </w:p>
    <w:p>
      <w:pPr>
        <w:pStyle w:val="Heading1"/>
      </w:pPr>
      <w:r>
        <w:t>4 Artikel am Desktop anlegen (MD002)</w:t>
      </w:r>
    </w:p>
    <w:p>
      <w:pPr>
        <w:pStyle w:val="Heading2"/>
      </w:pPr>
      <w:r>
        <w:t>4.1 Ablauf im Überblick</w:t>
      </w:r>
    </w:p>
    <w:p>
      <w:pPr>
        <w:tabs>
          <w:tab w:pos="425" w:val="left"/>
        </w:tabs>
        <w:spacing w:after="60"/>
        <w:ind w:left="425" w:hanging="425"/>
      </w:pPr>
      <w:r>
        <w:rPr>
          <w:b/>
        </w:rPr>
        <w:t>1.</w:t>
        <w:tab/>
      </w:r>
      <w:r>
        <w:t xml:space="preserve">Dialog </w:t>
      </w:r>
      <w:r>
        <w:rPr>
          <w:b/>
        </w:rPr>
        <w:t>MD002 Artikel pflegen</w:t>
      </w:r>
      <w:r>
        <w:t xml:space="preserve"> öffnen (oder in </w:t>
      </w:r>
      <w:r>
        <w:rPr>
          <w:b/>
        </w:rPr>
        <w:t>MD001 Übersicht Artikel</w:t>
      </w:r>
      <w:r>
        <w:t xml:space="preserve"> einen Artikel suchen und über das Kontextmenü bearbeiten).</w:t>
      </w:r>
    </w:p>
    <w:p>
      <w:pPr>
        <w:tabs>
          <w:tab w:pos="425" w:val="left"/>
        </w:tabs>
        <w:spacing w:after="60"/>
        <w:ind w:left="425" w:hanging="425"/>
      </w:pPr>
      <w:r>
        <w:rPr>
          <w:b/>
        </w:rPr>
        <w:t>2.</w:t>
        <w:tab/>
      </w:r>
      <w:r>
        <w:t xml:space="preserve">In den Feldern </w:t>
      </w:r>
      <w:r>
        <w:rPr>
          <w:b/>
        </w:rPr>
        <w:t>Artikel</w:t>
      </w:r>
      <w:r>
        <w:t xml:space="preserve"> den </w:t>
      </w:r>
      <w:r>
        <w:rPr>
          <w:b/>
        </w:rPr>
        <w:t>Klienten</w:t>
      </w:r>
      <w:r>
        <w:t xml:space="preserve">, die </w:t>
      </w:r>
      <w:r>
        <w:rPr>
          <w:b/>
        </w:rPr>
        <w:t>Artikelnummer</w:t>
      </w:r>
      <w:r>
        <w:t xml:space="preserve"> und die </w:t>
      </w:r>
      <w:r>
        <w:rPr>
          <w:b/>
        </w:rPr>
        <w:t>Variante</w:t>
      </w:r>
      <w:r>
        <w:t xml:space="preserve"> eingeben.</w:t>
      </w:r>
    </w:p>
    <w:p>
      <w:pPr>
        <w:tabs>
          <w:tab w:pos="425" w:val="left"/>
        </w:tabs>
        <w:spacing w:after="60"/>
        <w:ind w:left="425" w:hanging="425"/>
      </w:pPr>
      <w:r>
        <w:rPr>
          <w:b/>
        </w:rPr>
        <w:t>3.</w:t>
        <w:tab/>
      </w:r>
      <w:r>
        <w:t>Die Registerkarten nacheinander bearbeiten (Kapitel 4.2 bis 4.8).</w:t>
      </w:r>
    </w:p>
    <w:p>
      <w:pPr>
        <w:tabs>
          <w:tab w:pos="425" w:val="left"/>
        </w:tabs>
        <w:spacing w:after="60"/>
        <w:ind w:left="425" w:hanging="425"/>
      </w:pPr>
      <w:r>
        <w:rPr>
          <w:b/>
        </w:rPr>
        <w:t>4.</w:t>
        <w:tab/>
      </w:r>
      <w:r>
        <w:t xml:space="preserve">Mit </w:t>
      </w:r>
      <w:r>
        <w:rPr>
          <w:b/>
        </w:rPr>
        <w:t>Speichern</w:t>
      </w:r>
      <w:r>
        <w:t xml:space="preserve"> (STRG + S) bestätigen.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20"/>
        <w:gridCol w:w="5243"/>
        <w:gridCol w:w="961"/>
      </w:tblGrid>
      <w:tr>
        <w:trPr>
          <w:tblHeader w:val="true"/>
        </w:trPr>
        <w:tc>
          <w:tcPr>
            <w:tcW w:type="dxa" w:w="3320"/>
            <w:shd w:val="clear" w:color="auto" w:fill="FEEE19"/>
          </w:tcPr>
          <w:p>
            <w:pPr>
              <w:spacing w:after="0"/>
            </w:pPr>
            <w:r>
              <w:rPr>
                <w:b/>
                <w:sz w:val="17"/>
              </w:rPr>
              <w:t>Registerkarte</w:t>
            </w:r>
          </w:p>
        </w:tc>
        <w:tc>
          <w:tcPr>
            <w:tcW w:type="dxa" w:w="5243"/>
            <w:shd w:val="clear" w:color="auto" w:fill="FEEE19"/>
          </w:tcPr>
          <w:p>
            <w:pPr>
              <w:spacing w:after="0"/>
            </w:pPr>
            <w:r>
              <w:rPr>
                <w:b/>
                <w:sz w:val="17"/>
              </w:rPr>
              <w:t>Inhalt</w:t>
            </w:r>
          </w:p>
        </w:tc>
        <w:tc>
          <w:tcPr>
            <w:tcW w:type="dxa" w:w="961"/>
            <w:shd w:val="clear" w:color="auto" w:fill="FEEE19"/>
          </w:tcPr>
          <w:p>
            <w:pPr>
              <w:spacing w:after="0"/>
            </w:pPr>
            <w:r>
              <w:rPr>
                <w:b/>
                <w:sz w:val="17"/>
              </w:rPr>
              <w:t>Kap.</w:t>
            </w:r>
          </w:p>
        </w:tc>
      </w:tr>
      <w:tr>
        <w:tc>
          <w:tcPr>
            <w:tcW w:type="dxa" w:w="3320"/>
          </w:tcPr>
          <w:p>
            <w:pPr>
              <w:spacing w:after="0" w:line="252" w:lineRule="auto"/>
            </w:pPr>
            <w:r>
              <w:rPr>
                <w:b/>
                <w:sz w:val="17"/>
              </w:rPr>
              <w:t>Artikel</w:t>
            </w:r>
          </w:p>
        </w:tc>
        <w:tc>
          <w:tcPr>
            <w:tcW w:type="dxa" w:w="5243"/>
          </w:tcPr>
          <w:p>
            <w:pPr>
              <w:spacing w:after="0" w:line="252" w:lineRule="auto"/>
            </w:pPr>
            <w:r>
              <w:rPr>
                <w:sz w:val="17"/>
              </w:rPr>
              <w:t>Bezeichnung, Mengen, Klassifizierung, Status, Systempartner, Barcode-Interpretation</w:t>
            </w:r>
          </w:p>
        </w:tc>
        <w:tc>
          <w:tcPr>
            <w:tcW w:type="dxa" w:w="961"/>
          </w:tcPr>
          <w:p>
            <w:pPr>
              <w:spacing w:after="0" w:line="252" w:lineRule="auto"/>
            </w:pPr>
            <w:r>
              <w:rPr>
                <w:sz w:val="17"/>
              </w:rPr>
              <w:t>4.2</w:t>
            </w:r>
          </w:p>
        </w:tc>
      </w:tr>
      <w:tr>
        <w:tc>
          <w:tcPr>
            <w:tcW w:type="dxa" w:w="3320"/>
          </w:tcPr>
          <w:p>
            <w:pPr>
              <w:spacing w:after="0" w:line="252" w:lineRule="auto"/>
            </w:pPr>
            <w:r>
              <w:rPr>
                <w:b/>
                <w:sz w:val="17"/>
              </w:rPr>
              <w:t>Verpackungsversion</w:t>
            </w:r>
          </w:p>
        </w:tc>
        <w:tc>
          <w:tcPr>
            <w:tcW w:type="dxa" w:w="5243"/>
          </w:tcPr>
          <w:p>
            <w:pPr>
              <w:spacing w:after="0" w:line="252" w:lineRule="auto"/>
            </w:pPr>
            <w:r>
              <w:rPr>
                <w:sz w:val="17"/>
              </w:rPr>
              <w:t>Mengeneinheiten, Abmessungen, Gewicht, Kubatur, LE-Fachtyp</w:t>
            </w:r>
          </w:p>
        </w:tc>
        <w:tc>
          <w:tcPr>
            <w:tcW w:type="dxa" w:w="961"/>
          </w:tcPr>
          <w:p>
            <w:pPr>
              <w:spacing w:after="0" w:line="252" w:lineRule="auto"/>
            </w:pPr>
            <w:r>
              <w:rPr>
                <w:sz w:val="17"/>
              </w:rPr>
              <w:t>4.3</w:t>
            </w:r>
          </w:p>
        </w:tc>
      </w:tr>
      <w:tr>
        <w:tc>
          <w:tcPr>
            <w:tcW w:type="dxa" w:w="3320"/>
          </w:tcPr>
          <w:p>
            <w:pPr>
              <w:spacing w:after="0" w:line="252" w:lineRule="auto"/>
            </w:pPr>
            <w:r>
              <w:rPr>
                <w:b/>
                <w:sz w:val="17"/>
              </w:rPr>
              <w:t>Bestandsidentifizierende Attribute</w:t>
            </w:r>
          </w:p>
        </w:tc>
        <w:tc>
          <w:tcPr>
            <w:tcW w:type="dxa" w:w="5243"/>
          </w:tcPr>
          <w:p>
            <w:pPr>
              <w:spacing w:after="0" w:line="252" w:lineRule="auto"/>
            </w:pPr>
            <w:r>
              <w:rPr>
                <w:sz w:val="17"/>
              </w:rPr>
              <w:t>Pflicht für MHD, Charge, Produktionsdatum, ABIA</w:t>
            </w:r>
          </w:p>
        </w:tc>
        <w:tc>
          <w:tcPr>
            <w:tcW w:type="dxa" w:w="961"/>
          </w:tcPr>
          <w:p>
            <w:pPr>
              <w:spacing w:after="0" w:line="252" w:lineRule="auto"/>
            </w:pPr>
            <w:r>
              <w:rPr>
                <w:sz w:val="17"/>
              </w:rPr>
              <w:t>4.4</w:t>
            </w:r>
          </w:p>
        </w:tc>
      </w:tr>
      <w:tr>
        <w:tc>
          <w:tcPr>
            <w:tcW w:type="dxa" w:w="3320"/>
          </w:tcPr>
          <w:p>
            <w:pPr>
              <w:spacing w:after="0" w:line="252" w:lineRule="auto"/>
            </w:pPr>
            <w:r>
              <w:rPr>
                <w:b/>
                <w:sz w:val="17"/>
              </w:rPr>
              <w:t>Artikel-Alias</w:t>
            </w:r>
          </w:p>
        </w:tc>
        <w:tc>
          <w:tcPr>
            <w:tcW w:type="dxa" w:w="5243"/>
          </w:tcPr>
          <w:p>
            <w:pPr>
              <w:spacing w:after="0" w:line="252" w:lineRule="auto"/>
            </w:pPr>
            <w:r>
              <w:rPr>
                <w:sz w:val="17"/>
              </w:rPr>
              <w:t>Kurznummer, GTIN/EAN, Prüfnummer</w:t>
            </w:r>
          </w:p>
        </w:tc>
        <w:tc>
          <w:tcPr>
            <w:tcW w:type="dxa" w:w="961"/>
          </w:tcPr>
          <w:p>
            <w:pPr>
              <w:spacing w:after="0" w:line="252" w:lineRule="auto"/>
            </w:pPr>
            <w:r>
              <w:rPr>
                <w:sz w:val="17"/>
              </w:rPr>
              <w:t>4.5</w:t>
            </w:r>
          </w:p>
        </w:tc>
      </w:tr>
      <w:tr>
        <w:tc>
          <w:tcPr>
            <w:tcW w:type="dxa" w:w="3320"/>
          </w:tcPr>
          <w:p>
            <w:pPr>
              <w:spacing w:after="0" w:line="252" w:lineRule="auto"/>
            </w:pPr>
            <w:r>
              <w:rPr>
                <w:b/>
                <w:sz w:val="17"/>
              </w:rPr>
              <w:t>Artikelbild</w:t>
            </w:r>
          </w:p>
        </w:tc>
        <w:tc>
          <w:tcPr>
            <w:tcW w:type="dxa" w:w="5243"/>
          </w:tcPr>
          <w:p>
            <w:pPr>
              <w:spacing w:after="0" w:line="252" w:lineRule="auto"/>
            </w:pPr>
            <w:r>
              <w:rPr>
                <w:sz w:val="17"/>
              </w:rPr>
              <w:t>Bilder im PNG- oder JPG-Format</w:t>
            </w:r>
          </w:p>
        </w:tc>
        <w:tc>
          <w:tcPr>
            <w:tcW w:type="dxa" w:w="961"/>
          </w:tcPr>
          <w:p>
            <w:pPr>
              <w:spacing w:after="0" w:line="252" w:lineRule="auto"/>
            </w:pPr>
            <w:r>
              <w:rPr>
                <w:sz w:val="17"/>
              </w:rPr>
              <w:t>4.6</w:t>
            </w:r>
          </w:p>
        </w:tc>
      </w:tr>
      <w:tr>
        <w:tc>
          <w:tcPr>
            <w:tcW w:type="dxa" w:w="3320"/>
          </w:tcPr>
          <w:p>
            <w:pPr>
              <w:spacing w:after="0" w:line="252" w:lineRule="auto"/>
            </w:pPr>
            <w:r>
              <w:rPr>
                <w:b/>
                <w:sz w:val="17"/>
              </w:rPr>
              <w:t>Artikel ABC-Klassifizierung</w:t>
            </w:r>
          </w:p>
        </w:tc>
        <w:tc>
          <w:tcPr>
            <w:tcW w:type="dxa" w:w="5243"/>
          </w:tcPr>
          <w:p>
            <w:pPr>
              <w:spacing w:after="0" w:line="252" w:lineRule="auto"/>
            </w:pPr>
            <w:r>
              <w:rPr>
                <w:sz w:val="17"/>
              </w:rPr>
              <w:t>ABC-Wert je Lagerstandort bzw. Lagerbereich</w:t>
            </w:r>
          </w:p>
        </w:tc>
        <w:tc>
          <w:tcPr>
            <w:tcW w:type="dxa" w:w="961"/>
          </w:tcPr>
          <w:p>
            <w:pPr>
              <w:spacing w:after="0" w:line="252" w:lineRule="auto"/>
            </w:pPr>
            <w:r>
              <w:rPr>
                <w:sz w:val="17"/>
              </w:rPr>
              <w:t>4.7</w:t>
            </w:r>
          </w:p>
        </w:tc>
      </w:tr>
      <w:tr>
        <w:tc>
          <w:tcPr>
            <w:tcW w:type="dxa" w:w="3320"/>
          </w:tcPr>
          <w:p>
            <w:pPr>
              <w:spacing w:after="0" w:line="252" w:lineRule="auto"/>
            </w:pPr>
            <w:r>
              <w:rPr>
                <w:b/>
                <w:sz w:val="17"/>
              </w:rPr>
              <w:t>WLS Artikel</w:t>
            </w:r>
          </w:p>
        </w:tc>
        <w:tc>
          <w:tcPr>
            <w:tcW w:type="dxa" w:w="5243"/>
          </w:tcPr>
          <w:p>
            <w:pPr>
              <w:spacing w:after="0" w:line="252" w:lineRule="auto"/>
            </w:pPr>
            <w:r>
              <w:rPr>
                <w:sz w:val="17"/>
              </w:rPr>
              <w:t>LOGIMAT-spezifische Einstellungen, Strategie, Etiketten, Seriennummer</w:t>
            </w:r>
          </w:p>
        </w:tc>
        <w:tc>
          <w:tcPr>
            <w:tcW w:type="dxa" w:w="961"/>
          </w:tcPr>
          <w:p>
            <w:pPr>
              <w:spacing w:after="0" w:line="252" w:lineRule="auto"/>
            </w:pPr>
            <w:r>
              <w:rPr>
                <w:sz w:val="17"/>
              </w:rPr>
              <w:t>4.8</w:t>
            </w:r>
          </w:p>
        </w:tc>
      </w:tr>
    </w:tbl>
    <w:p>
      <w:pPr>
        <w:pStyle w:val="BeschriftungSSI"/>
      </w:pPr>
      <w:r>
        <w:t>Tab. 5: Registerkarten in MD002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Als Entwurf speichern</w:t>
            </w:r>
          </w:p>
          <w:p>
            <w:pPr>
              <w:spacing w:after="40"/>
            </w:pPr>
            <w:r>
              <w:rPr>
                <w:sz w:val="19"/>
              </w:rPr>
              <w:t>Mit ALT + STRG + S lässt sich ein unfertiger Datensatz als Entwurf speichern. Nützlich, wenn Angaben (z. B. Abmessungen) noch fehlen.</w:t>
            </w:r>
          </w:p>
        </w:tc>
      </w:tr>
    </w:tbl>
    <w:p>
      <w:pPr>
        <w:spacing w:after="40"/>
      </w:pPr>
    </w:p>
    <w:p>
      <w:pPr>
        <w:pStyle w:val="Quelle"/>
      </w:pPr>
      <w:r>
        <w:rPr>
          <w:b/>
        </w:rPr>
        <w:t xml:space="preserve">Quelle: </w:t>
      </w:r>
      <w:r>
        <w:rPr>
          <w:sz w:val="17"/>
        </w:rPr>
        <w:t>Administratorhandbuch 2.7, Kap. 3.6.3 (S. 116); Benutzerhandbuch 2.7, Kap. 3.2.7.5 (S. 30)</w:t>
      </w:r>
    </w:p>
    <w:p>
      <w:pPr>
        <w:pStyle w:val="Heading2"/>
      </w:pPr>
      <w:r>
        <w:t>4.2 Registerkarte „Artikel“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053"/>
        <w:gridCol w:w="1418"/>
        <w:gridCol w:w="4053"/>
      </w:tblGrid>
      <w:tr>
        <w:trPr>
          <w:tblHeader w:val="true"/>
        </w:trPr>
        <w:tc>
          <w:tcPr>
            <w:tcW w:type="dxa" w:w="4053"/>
            <w:shd w:val="clear" w:color="auto" w:fill="FEEE19"/>
          </w:tcPr>
          <w:p>
            <w:pPr>
              <w:spacing w:after="0"/>
            </w:pPr>
            <w:r>
              <w:rPr>
                <w:b/>
                <w:sz w:val="17"/>
              </w:rPr>
              <w:t>Feld / Bereich</w:t>
            </w:r>
          </w:p>
        </w:tc>
        <w:tc>
          <w:tcPr>
            <w:tcW w:type="dxa" w:w="1419"/>
            <w:shd w:val="clear" w:color="auto" w:fill="FEEE19"/>
          </w:tcPr>
          <w:p>
            <w:pPr>
              <w:spacing w:after="0"/>
            </w:pPr>
            <w:r>
              <w:rPr>
                <w:b/>
                <w:sz w:val="17"/>
              </w:rPr>
              <w:t>Pflicht oder optional</w:t>
            </w:r>
          </w:p>
        </w:tc>
        <w:tc>
          <w:tcPr>
            <w:tcW w:type="dxa" w:w="4053"/>
            <w:shd w:val="clear" w:color="auto" w:fill="FEEE19"/>
          </w:tcPr>
          <w:p>
            <w:pPr>
              <w:spacing w:after="0"/>
            </w:pPr>
            <w:r>
              <w:rPr>
                <w:b/>
                <w:sz w:val="17"/>
              </w:rPr>
              <w:t>Bedeutung</w:t>
            </w:r>
          </w:p>
        </w:tc>
      </w:tr>
      <w:tr>
        <w:tc>
          <w:tcPr>
            <w:tcW w:type="dxa" w:w="4053"/>
          </w:tcPr>
          <w:p>
            <w:pPr>
              <w:spacing w:after="0" w:line="252" w:lineRule="auto"/>
            </w:pPr>
            <w:r>
              <w:rPr>
                <w:b/>
                <w:sz w:val="17"/>
              </w:rPr>
              <w:t>Klient</w:t>
            </w:r>
            <w:r>
              <w:rPr>
                <w:sz w:val="17"/>
              </w:rPr>
              <w:t xml:space="preserve">, </w:t>
            </w:r>
            <w:r>
              <w:rPr>
                <w:b/>
                <w:sz w:val="17"/>
              </w:rPr>
              <w:t>Artikelnummer</w:t>
            </w:r>
            <w:r>
              <w:rPr>
                <w:sz w:val="17"/>
              </w:rPr>
              <w:t xml:space="preserve">, </w:t>
            </w:r>
            <w:r>
              <w:rPr>
                <w:b/>
                <w:sz w:val="17"/>
              </w:rPr>
              <w:t>Variante</w:t>
            </w:r>
          </w:p>
        </w:tc>
        <w:tc>
          <w:tcPr>
            <w:tcW w:type="dxa" w:w="1419"/>
          </w:tcPr>
          <w:p>
            <w:pPr>
              <w:spacing w:after="0" w:line="252" w:lineRule="auto"/>
            </w:pPr>
            <w:r>
              <w:rPr>
                <w:sz w:val="17"/>
              </w:rPr>
              <w:t>Pflicht</w:t>
            </w:r>
          </w:p>
        </w:tc>
        <w:tc>
          <w:tcPr>
            <w:tcW w:type="dxa" w:w="4053"/>
          </w:tcPr>
          <w:p>
            <w:pPr>
              <w:spacing w:after="0" w:line="252" w:lineRule="auto"/>
            </w:pPr>
            <w:r>
              <w:rPr>
                <w:sz w:val="17"/>
              </w:rPr>
              <w:t>Schlüssel des Artikels; später nicht mehr änderbar</w:t>
            </w:r>
          </w:p>
        </w:tc>
      </w:tr>
      <w:tr>
        <w:tc>
          <w:tcPr>
            <w:tcW w:type="dxa" w:w="4053"/>
          </w:tcPr>
          <w:p>
            <w:pPr>
              <w:spacing w:after="0" w:line="252" w:lineRule="auto"/>
            </w:pPr>
            <w:r>
              <w:rPr>
                <w:b/>
                <w:sz w:val="17"/>
              </w:rPr>
              <w:t>Bezeichnung</w:t>
            </w:r>
            <w:r>
              <w:rPr>
                <w:sz w:val="17"/>
              </w:rPr>
              <w:t xml:space="preserve"> (1 und 2)</w:t>
            </w:r>
          </w:p>
        </w:tc>
        <w:tc>
          <w:tcPr>
            <w:tcW w:type="dxa" w:w="1419"/>
          </w:tcPr>
          <w:p>
            <w:pPr>
              <w:spacing w:after="0" w:line="252" w:lineRule="auto"/>
            </w:pPr>
            <w:r>
              <w:rPr>
                <w:sz w:val="17"/>
              </w:rPr>
              <w:t>Empfohlen</w:t>
            </w:r>
          </w:p>
        </w:tc>
        <w:tc>
          <w:tcPr>
            <w:tcW w:type="dxa" w:w="4053"/>
          </w:tcPr>
          <w:p>
            <w:pPr>
              <w:spacing w:after="0" w:line="252" w:lineRule="auto"/>
            </w:pPr>
            <w:r>
              <w:rPr>
                <w:sz w:val="17"/>
              </w:rPr>
              <w:t>Kurz und eindeutig, da sie auf Etiketten und am Touch-Client erscheint</w:t>
            </w:r>
          </w:p>
        </w:tc>
      </w:tr>
      <w:tr>
        <w:tc>
          <w:tcPr>
            <w:tcW w:type="dxa" w:w="4053"/>
          </w:tcPr>
          <w:p>
            <w:pPr>
              <w:spacing w:after="0" w:line="252" w:lineRule="auto"/>
            </w:pPr>
            <w:r>
              <w:rPr>
                <w:b/>
                <w:sz w:val="17"/>
              </w:rPr>
              <w:t>Basismengeneinheit</w:t>
            </w:r>
          </w:p>
        </w:tc>
        <w:tc>
          <w:tcPr>
            <w:tcW w:type="dxa" w:w="1419"/>
          </w:tcPr>
          <w:p>
            <w:pPr>
              <w:spacing w:after="0" w:line="252" w:lineRule="auto"/>
            </w:pPr>
            <w:r>
              <w:rPr>
                <w:sz w:val="17"/>
              </w:rPr>
              <w:t>Pflicht</w:t>
            </w:r>
          </w:p>
        </w:tc>
        <w:tc>
          <w:tcPr>
            <w:tcW w:type="dxa" w:w="4053"/>
          </w:tcPr>
          <w:p>
            <w:pPr>
              <w:spacing w:after="0" w:line="252" w:lineRule="auto"/>
            </w:pPr>
            <w:r>
              <w:rPr>
                <w:sz w:val="17"/>
              </w:rPr>
              <w:t>Kleinste Einheit; nur eine je Artikel</w:t>
            </w:r>
          </w:p>
        </w:tc>
      </w:tr>
      <w:tr>
        <w:tc>
          <w:tcPr>
            <w:tcW w:type="dxa" w:w="4053"/>
          </w:tcPr>
          <w:p>
            <w:pPr>
              <w:spacing w:after="0" w:line="252" w:lineRule="auto"/>
            </w:pPr>
            <w:r>
              <w:rPr>
                <w:b/>
                <w:sz w:val="17"/>
              </w:rPr>
              <w:t>Artikeltyp</w:t>
            </w:r>
          </w:p>
        </w:tc>
        <w:tc>
          <w:tcPr>
            <w:tcW w:type="dxa" w:w="1419"/>
          </w:tcPr>
          <w:p>
            <w:pPr>
              <w:spacing w:after="0" w:line="252" w:lineRule="auto"/>
            </w:pPr>
            <w:r>
              <w:rPr>
                <w:sz w:val="17"/>
              </w:rPr>
              <w:t>Pflicht</w:t>
            </w:r>
          </w:p>
        </w:tc>
        <w:tc>
          <w:tcPr>
            <w:tcW w:type="dxa" w:w="4053"/>
          </w:tcPr>
          <w:p>
            <w:pPr>
              <w:spacing w:after="0" w:line="252" w:lineRule="auto"/>
            </w:pPr>
            <w:r>
              <w:rPr>
                <w:sz w:val="17"/>
              </w:rPr>
              <w:t>Aus MD017; Standard ist Handelsware</w:t>
            </w:r>
          </w:p>
        </w:tc>
      </w:tr>
      <w:tr>
        <w:tc>
          <w:tcPr>
            <w:tcW w:type="dxa" w:w="4053"/>
          </w:tcPr>
          <w:p>
            <w:pPr>
              <w:spacing w:after="0" w:line="252" w:lineRule="auto"/>
            </w:pPr>
            <w:r>
              <w:rPr>
                <w:b/>
                <w:sz w:val="17"/>
              </w:rPr>
              <w:t>Hauptsystempartner</w:t>
            </w:r>
          </w:p>
        </w:tc>
        <w:tc>
          <w:tcPr>
            <w:tcW w:type="dxa" w:w="1419"/>
          </w:tcPr>
          <w:p>
            <w:pPr>
              <w:spacing w:after="0" w:line="252" w:lineRule="auto"/>
            </w:pPr>
            <w:r>
              <w:rPr>
                <w:sz w:val="17"/>
              </w:rPr>
              <w:t>Pflicht</w:t>
            </w:r>
          </w:p>
        </w:tc>
        <w:tc>
          <w:tcPr>
            <w:tcW w:type="dxa" w:w="4053"/>
          </w:tcPr>
          <w:p>
            <w:pPr>
              <w:spacing w:after="0" w:line="252" w:lineRule="auto"/>
            </w:pPr>
            <w:r>
              <w:rPr>
                <w:sz w:val="17"/>
              </w:rPr>
              <w:t>Artikelspezifischer Standard-Systempartner</w:t>
            </w:r>
          </w:p>
        </w:tc>
      </w:tr>
      <w:tr>
        <w:tc>
          <w:tcPr>
            <w:tcW w:type="dxa" w:w="4053"/>
          </w:tcPr>
          <w:p>
            <w:pPr>
              <w:spacing w:after="0" w:line="252" w:lineRule="auto"/>
            </w:pPr>
            <w:r>
              <w:rPr>
                <w:b/>
                <w:sz w:val="17"/>
              </w:rPr>
              <w:t>Teillagermenge erlauben</w:t>
            </w:r>
          </w:p>
        </w:tc>
        <w:tc>
          <w:tcPr>
            <w:tcW w:type="dxa" w:w="1419"/>
          </w:tcPr>
          <w:p>
            <w:pPr>
              <w:spacing w:after="0" w:line="252" w:lineRule="auto"/>
            </w:pPr>
            <w:r>
              <w:rPr>
                <w:sz w:val="17"/>
              </w:rPr>
              <w:t>Optional</w:t>
            </w:r>
          </w:p>
        </w:tc>
        <w:tc>
          <w:tcPr>
            <w:tcW w:type="dxa" w:w="4053"/>
          </w:tcPr>
          <w:p>
            <w:pPr>
              <w:spacing w:after="0" w:line="252" w:lineRule="auto"/>
            </w:pPr>
            <w:r>
              <w:rPr>
                <w:sz w:val="17"/>
              </w:rPr>
              <w:t>Restmengen von Basismengeneinheiten bearbeitbar</w:t>
            </w:r>
          </w:p>
        </w:tc>
      </w:tr>
      <w:tr>
        <w:tc>
          <w:tcPr>
            <w:tcW w:type="dxa" w:w="4053"/>
          </w:tcPr>
          <w:p>
            <w:pPr>
              <w:spacing w:after="0" w:line="252" w:lineRule="auto"/>
            </w:pPr>
            <w:r>
              <w:rPr>
                <w:b/>
                <w:sz w:val="17"/>
              </w:rPr>
              <w:t>Dualartikel</w:t>
            </w:r>
            <w:r>
              <w:rPr>
                <w:sz w:val="17"/>
              </w:rPr>
              <w:t xml:space="preserve">, </w:t>
            </w:r>
            <w:r>
              <w:rPr>
                <w:b/>
                <w:sz w:val="17"/>
              </w:rPr>
              <w:t>Dualmengeneinheit</w:t>
            </w:r>
            <w:r>
              <w:rPr>
                <w:sz w:val="17"/>
              </w:rPr>
              <w:t xml:space="preserve">, Eingabetoleranzen, </w:t>
            </w:r>
            <w:r>
              <w:rPr>
                <w:b/>
                <w:sz w:val="17"/>
              </w:rPr>
              <w:t>Automatischer Umrechnungsmodus</w:t>
            </w:r>
          </w:p>
        </w:tc>
        <w:tc>
          <w:tcPr>
            <w:tcW w:type="dxa" w:w="1419"/>
          </w:tcPr>
          <w:p>
            <w:pPr>
              <w:spacing w:after="0" w:line="252" w:lineRule="auto"/>
            </w:pPr>
            <w:r>
              <w:rPr>
                <w:sz w:val="17"/>
              </w:rPr>
              <w:t>Optional</w:t>
            </w:r>
          </w:p>
        </w:tc>
        <w:tc>
          <w:tcPr>
            <w:tcW w:type="dxa" w:w="4053"/>
          </w:tcPr>
          <w:p>
            <w:pPr>
              <w:spacing w:after="0" w:line="252" w:lineRule="auto"/>
            </w:pPr>
            <w:r>
              <w:rPr>
                <w:sz w:val="17"/>
              </w:rPr>
              <w:t>Führung in zwei Einheiten, z. B. Stück und kg</w:t>
            </w:r>
          </w:p>
        </w:tc>
      </w:tr>
      <w:tr>
        <w:tc>
          <w:tcPr>
            <w:tcW w:type="dxa" w:w="4053"/>
          </w:tcPr>
          <w:p>
            <w:pPr>
              <w:spacing w:after="0" w:line="252" w:lineRule="auto"/>
            </w:pPr>
            <w:r>
              <w:rPr>
                <w:b/>
                <w:sz w:val="17"/>
              </w:rPr>
              <w:t>Sortiment</w:t>
            </w:r>
            <w:r>
              <w:rPr>
                <w:sz w:val="17"/>
              </w:rPr>
              <w:t xml:space="preserve">, </w:t>
            </w:r>
            <w:r>
              <w:rPr>
                <w:b/>
                <w:sz w:val="17"/>
              </w:rPr>
              <w:t>Verrechnungskategorie</w:t>
            </w:r>
            <w:r>
              <w:rPr>
                <w:sz w:val="17"/>
              </w:rPr>
              <w:t xml:space="preserve">, </w:t>
            </w:r>
            <w:r>
              <w:rPr>
                <w:b/>
                <w:sz w:val="17"/>
              </w:rPr>
              <w:t>Warengruppe</w:t>
            </w:r>
            <w:r>
              <w:rPr>
                <w:sz w:val="17"/>
              </w:rPr>
              <w:t xml:space="preserve">, </w:t>
            </w:r>
            <w:r>
              <w:rPr>
                <w:b/>
                <w:sz w:val="17"/>
              </w:rPr>
              <w:t>Artikelklasse</w:t>
            </w:r>
          </w:p>
        </w:tc>
        <w:tc>
          <w:tcPr>
            <w:tcW w:type="dxa" w:w="1419"/>
          </w:tcPr>
          <w:p>
            <w:pPr>
              <w:spacing w:after="0" w:line="252" w:lineRule="auto"/>
            </w:pPr>
            <w:r>
              <w:rPr>
                <w:sz w:val="17"/>
              </w:rPr>
              <w:t>Optional</w:t>
            </w:r>
          </w:p>
        </w:tc>
        <w:tc>
          <w:tcPr>
            <w:tcW w:type="dxa" w:w="4053"/>
          </w:tcPr>
          <w:p>
            <w:pPr>
              <w:spacing w:after="0" w:line="252" w:lineRule="auto"/>
            </w:pPr>
            <w:r>
              <w:rPr>
                <w:sz w:val="17"/>
              </w:rPr>
              <w:t>Klientenspezifische Einteilung aus MD017</w:t>
            </w:r>
          </w:p>
        </w:tc>
      </w:tr>
      <w:tr>
        <w:tc>
          <w:tcPr>
            <w:tcW w:type="dxa" w:w="4053"/>
          </w:tcPr>
          <w:p>
            <w:pPr>
              <w:spacing w:after="0" w:line="252" w:lineRule="auto"/>
            </w:pPr>
            <w:r>
              <w:rPr>
                <w:b/>
                <w:sz w:val="17"/>
              </w:rPr>
              <w:t>Zolltarifnummer</w:t>
            </w:r>
            <w:r>
              <w:rPr>
                <w:sz w:val="17"/>
              </w:rPr>
              <w:t xml:space="preserve">, </w:t>
            </w:r>
            <w:r>
              <w:rPr>
                <w:b/>
                <w:sz w:val="17"/>
              </w:rPr>
              <w:t>Herkunftsland</w:t>
            </w:r>
          </w:p>
        </w:tc>
        <w:tc>
          <w:tcPr>
            <w:tcW w:type="dxa" w:w="1419"/>
          </w:tcPr>
          <w:p>
            <w:pPr>
              <w:spacing w:after="0" w:line="252" w:lineRule="auto"/>
            </w:pPr>
            <w:r>
              <w:rPr>
                <w:sz w:val="17"/>
              </w:rPr>
              <w:t>Optional</w:t>
            </w:r>
          </w:p>
        </w:tc>
        <w:tc>
          <w:tcPr>
            <w:tcW w:type="dxa" w:w="4053"/>
          </w:tcPr>
          <w:p>
            <w:pPr>
              <w:spacing w:after="0" w:line="252" w:lineRule="auto"/>
            </w:pPr>
            <w:r>
              <w:rPr>
                <w:sz w:val="17"/>
              </w:rPr>
              <w:t>Für Import- und Exportverfahren</w:t>
            </w:r>
          </w:p>
        </w:tc>
      </w:tr>
      <w:tr>
        <w:tc>
          <w:tcPr>
            <w:tcW w:type="dxa" w:w="4053"/>
          </w:tcPr>
          <w:p>
            <w:pPr>
              <w:spacing w:after="0" w:line="252" w:lineRule="auto"/>
            </w:pPr>
            <w:r>
              <w:rPr>
                <w:b/>
                <w:sz w:val="17"/>
              </w:rPr>
              <w:t>Warenwert</w:t>
            </w:r>
            <w:r>
              <w:rPr>
                <w:sz w:val="17"/>
              </w:rPr>
              <w:t xml:space="preserve"> und </w:t>
            </w:r>
            <w:r>
              <w:rPr>
                <w:b/>
                <w:sz w:val="17"/>
              </w:rPr>
              <w:t>Währung</w:t>
            </w:r>
          </w:p>
        </w:tc>
        <w:tc>
          <w:tcPr>
            <w:tcW w:type="dxa" w:w="1419"/>
          </w:tcPr>
          <w:p>
            <w:pPr>
              <w:spacing w:after="0" w:line="252" w:lineRule="auto"/>
            </w:pPr>
            <w:r>
              <w:rPr>
                <w:sz w:val="17"/>
              </w:rPr>
              <w:t>Optional</w:t>
            </w:r>
          </w:p>
        </w:tc>
        <w:tc>
          <w:tcPr>
            <w:tcW w:type="dxa" w:w="4053"/>
          </w:tcPr>
          <w:p>
            <w:pPr>
              <w:spacing w:after="0" w:line="252" w:lineRule="auto"/>
            </w:pPr>
            <w:r>
              <w:rPr>
                <w:sz w:val="17"/>
              </w:rPr>
              <w:t>Wert je Basismengeneinheit</w:t>
            </w:r>
          </w:p>
        </w:tc>
      </w:tr>
      <w:tr>
        <w:tc>
          <w:tcPr>
            <w:tcW w:type="dxa" w:w="4053"/>
          </w:tcPr>
          <w:p>
            <w:pPr>
              <w:spacing w:after="0" w:line="252" w:lineRule="auto"/>
            </w:pPr>
            <w:r>
              <w:rPr>
                <w:b/>
                <w:sz w:val="17"/>
              </w:rPr>
              <w:t>ABC-Berechnungsart</w:t>
            </w:r>
          </w:p>
        </w:tc>
        <w:tc>
          <w:tcPr>
            <w:tcW w:type="dxa" w:w="1419"/>
          </w:tcPr>
          <w:p>
            <w:pPr>
              <w:spacing w:after="0" w:line="252" w:lineRule="auto"/>
            </w:pPr>
            <w:r>
              <w:rPr>
                <w:sz w:val="17"/>
              </w:rPr>
              <w:t>Optional</w:t>
            </w:r>
          </w:p>
        </w:tc>
        <w:tc>
          <w:tcPr>
            <w:tcW w:type="dxa" w:w="4053"/>
          </w:tcPr>
          <w:p>
            <w:pPr>
              <w:spacing w:after="0" w:line="252" w:lineRule="auto"/>
            </w:pPr>
            <w:r>
              <w:rPr>
                <w:sz w:val="17"/>
              </w:rPr>
              <w:t>Keine, Automatisch oder nach Warengruppe</w:t>
            </w:r>
          </w:p>
        </w:tc>
      </w:tr>
      <w:tr>
        <w:tc>
          <w:tcPr>
            <w:tcW w:type="dxa" w:w="4053"/>
          </w:tcPr>
          <w:p>
            <w:pPr>
              <w:spacing w:after="0" w:line="252" w:lineRule="auto"/>
            </w:pPr>
            <w:r>
              <w:rPr>
                <w:b/>
                <w:sz w:val="17"/>
              </w:rPr>
              <w:t>Max. Stapelhöhe</w:t>
            </w:r>
            <w:r>
              <w:rPr>
                <w:sz w:val="17"/>
              </w:rPr>
              <w:t xml:space="preserve">, </w:t>
            </w:r>
            <w:r>
              <w:rPr>
                <w:b/>
                <w:sz w:val="17"/>
              </w:rPr>
              <w:t>Stapelkategorie</w:t>
            </w:r>
          </w:p>
        </w:tc>
        <w:tc>
          <w:tcPr>
            <w:tcW w:type="dxa" w:w="1419"/>
          </w:tcPr>
          <w:p>
            <w:pPr>
              <w:spacing w:after="0" w:line="252" w:lineRule="auto"/>
            </w:pPr>
            <w:r>
              <w:rPr>
                <w:sz w:val="17"/>
              </w:rPr>
              <w:t>Optional</w:t>
            </w:r>
          </w:p>
        </w:tc>
        <w:tc>
          <w:tcPr>
            <w:tcW w:type="dxa" w:w="4053"/>
          </w:tcPr>
          <w:p>
            <w:pPr>
              <w:spacing w:after="0" w:line="252" w:lineRule="auto"/>
            </w:pPr>
            <w:r>
              <w:rPr>
                <w:sz w:val="17"/>
              </w:rPr>
              <w:t>Nur gleiche Stapelkategorien dürfen gestapelt werden</w:t>
            </w:r>
          </w:p>
        </w:tc>
      </w:tr>
      <w:tr>
        <w:tc>
          <w:tcPr>
            <w:tcW w:type="dxa" w:w="4053"/>
          </w:tcPr>
          <w:p>
            <w:pPr>
              <w:spacing w:after="0" w:line="252" w:lineRule="auto"/>
            </w:pPr>
            <w:r>
              <w:rPr>
                <w:b/>
                <w:sz w:val="17"/>
              </w:rPr>
              <w:t>Artikelgleichwertigkeitsdauer</w:t>
            </w:r>
            <w:r>
              <w:rPr>
                <w:sz w:val="17"/>
              </w:rPr>
              <w:t xml:space="preserve">, </w:t>
            </w:r>
            <w:r>
              <w:rPr>
                <w:b/>
                <w:sz w:val="17"/>
              </w:rPr>
              <w:t>Zeitbezogener Zugriffsmodus</w:t>
            </w:r>
          </w:p>
        </w:tc>
        <w:tc>
          <w:tcPr>
            <w:tcW w:type="dxa" w:w="1419"/>
          </w:tcPr>
          <w:p>
            <w:pPr>
              <w:spacing w:after="0" w:line="252" w:lineRule="auto"/>
            </w:pPr>
            <w:r>
              <w:rPr>
                <w:sz w:val="17"/>
              </w:rPr>
              <w:t>Optional</w:t>
            </w:r>
          </w:p>
        </w:tc>
        <w:tc>
          <w:tcPr>
            <w:tcW w:type="dxa" w:w="4053"/>
          </w:tcPr>
          <w:p>
            <w:pPr>
              <w:spacing w:after="0" w:line="252" w:lineRule="auto"/>
            </w:pPr>
            <w:r>
              <w:rPr>
                <w:sz w:val="17"/>
              </w:rPr>
              <w:t>Zulässige Abweichung bei Erfassungsdatum, MHD oder Produktionsdatum (Einheiten d, mo, yr)</w:t>
            </w:r>
          </w:p>
        </w:tc>
      </w:tr>
      <w:tr>
        <w:tc>
          <w:tcPr>
            <w:tcW w:type="dxa" w:w="4053"/>
          </w:tcPr>
          <w:p>
            <w:pPr>
              <w:spacing w:after="0" w:line="252" w:lineRule="auto"/>
            </w:pPr>
            <w:r>
              <w:rPr>
                <w:b/>
                <w:sz w:val="17"/>
              </w:rPr>
              <w:t>Stammdatenstatus</w:t>
            </w:r>
          </w:p>
        </w:tc>
        <w:tc>
          <w:tcPr>
            <w:tcW w:type="dxa" w:w="1419"/>
          </w:tcPr>
          <w:p>
            <w:pPr>
              <w:spacing w:after="0" w:line="252" w:lineRule="auto"/>
            </w:pPr>
            <w:r>
              <w:rPr>
                <w:sz w:val="17"/>
              </w:rPr>
              <w:t>Optional</w:t>
            </w:r>
          </w:p>
        </w:tc>
        <w:tc>
          <w:tcPr>
            <w:tcW w:type="dxa" w:w="4053"/>
          </w:tcPr>
          <w:p>
            <w:pPr>
              <w:spacing w:after="0" w:line="252" w:lineRule="auto"/>
            </w:pPr>
            <w:r>
              <w:rPr>
                <w:sz w:val="17"/>
              </w:rPr>
              <w:t>Normal, Auslaufend, Gesperrt, Unvollständig (Kapitel 6.3)</w:t>
            </w:r>
          </w:p>
        </w:tc>
      </w:tr>
      <w:tr>
        <w:tc>
          <w:tcPr>
            <w:tcW w:type="dxa" w:w="4053"/>
          </w:tcPr>
          <w:p>
            <w:pPr>
              <w:spacing w:after="0" w:line="252" w:lineRule="auto"/>
            </w:pPr>
            <w:r>
              <w:rPr>
                <w:b/>
                <w:sz w:val="17"/>
              </w:rPr>
              <w:t>Barcode-Interpretation</w:t>
            </w:r>
          </w:p>
        </w:tc>
        <w:tc>
          <w:tcPr>
            <w:tcW w:type="dxa" w:w="1419"/>
          </w:tcPr>
          <w:p>
            <w:pPr>
              <w:spacing w:after="0" w:line="252" w:lineRule="auto"/>
            </w:pPr>
            <w:r>
              <w:rPr>
                <w:sz w:val="17"/>
              </w:rPr>
              <w:t>Optional</w:t>
            </w:r>
          </w:p>
        </w:tc>
        <w:tc>
          <w:tcPr>
            <w:tcW w:type="dxa" w:w="4053"/>
          </w:tcPr>
          <w:p>
            <w:pPr>
              <w:spacing w:after="0" w:line="252" w:lineRule="auto"/>
            </w:pPr>
            <w:r>
              <w:rPr>
                <w:sz w:val="17"/>
              </w:rPr>
              <w:t>Land, nach dem EAN-13 mit Präfix 20–29 gelesen wird; sonst gilt die Einstellung des Lagerstandorts</w:t>
            </w:r>
          </w:p>
        </w:tc>
      </w:tr>
    </w:tbl>
    <w:p>
      <w:pPr>
        <w:pStyle w:val="BeschriftungSSI"/>
      </w:pPr>
      <w:r>
        <w:t>Tab. 6: Felder der Registerkarte „Artikel“</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Gleichwertigkeitsdauer wirkt nur mit Partner-Einstellung</w:t>
            </w:r>
          </w:p>
          <w:p>
            <w:pPr>
              <w:spacing w:after="40"/>
            </w:pPr>
            <w:r>
              <w:rPr>
                <w:sz w:val="19"/>
              </w:rPr>
              <w:t xml:space="preserve">Damit zeitliche Abweichungen für einen Partner gelten, muss im Dialog </w:t>
            </w:r>
            <w:r>
              <w:rPr>
                <w:b/>
                <w:sz w:val="19"/>
              </w:rPr>
              <w:t>MD018 Partner pflegen</w:t>
            </w:r>
            <w:r>
              <w:rPr>
                <w:sz w:val="19"/>
              </w:rPr>
              <w:t xml:space="preserve"> auf der Registerkarte </w:t>
            </w:r>
            <w:r>
              <w:rPr>
                <w:b/>
                <w:sz w:val="19"/>
              </w:rPr>
              <w:t>Warenausgang</w:t>
            </w:r>
            <w:r>
              <w:rPr>
                <w:sz w:val="19"/>
              </w:rPr>
              <w:t xml:space="preserve"> die </w:t>
            </w:r>
            <w:r>
              <w:rPr>
                <w:b/>
                <w:sz w:val="19"/>
              </w:rPr>
              <w:t>Gleichwertigkeitsdauerstrategie</w:t>
            </w:r>
            <w:r>
              <w:rPr>
                <w:sz w:val="19"/>
              </w:rPr>
              <w:t xml:space="preserve"> auf </w:t>
            </w:r>
            <w:r>
              <w:rPr>
                <w:b/>
                <w:sz w:val="19"/>
              </w:rPr>
              <w:t>Mild</w:t>
            </w:r>
            <w:r>
              <w:rPr>
                <w:sz w:val="19"/>
              </w:rPr>
              <w:t xml:space="preserve"> stehen.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Systempartner ohne Hostsystem</w:t>
            </w:r>
          </w:p>
          <w:p>
            <w:pPr>
              <w:spacing w:after="40"/>
            </w:pPr>
            <w:r>
              <w:rPr>
                <w:sz w:val="19"/>
              </w:rPr>
              <w:t xml:space="preserve">Für Anlagen ganz ohne Hostsystem nennt das Handbuch nicht, welcher </w:t>
            </w:r>
            <w:r>
              <w:rPr>
                <w:b/>
                <w:sz w:val="19"/>
              </w:rPr>
              <w:t>Hauptsystempartner</w:t>
            </w:r>
            <w:r>
              <w:rPr>
                <w:sz w:val="19"/>
              </w:rPr>
              <w:t xml:space="preserve"> einzutragen ist. Üblich ist der bei der Inbetriebnahme eingerichtete lokale Systempartner. Bitte im System prüfen.</w:t>
            </w:r>
          </w:p>
        </w:tc>
      </w:tr>
    </w:tbl>
    <w:p>
      <w:pPr>
        <w:spacing w:after="40"/>
      </w:pPr>
    </w:p>
    <w:p>
      <w:pPr>
        <w:pStyle w:val="Quelle"/>
      </w:pPr>
      <w:r>
        <w:rPr>
          <w:b/>
        </w:rPr>
        <w:t xml:space="preserve">Quelle: </w:t>
      </w:r>
      <w:r>
        <w:rPr>
          <w:sz w:val="17"/>
        </w:rPr>
        <w:t>Administratorhandbuch 2.7, Kap. 3.6.3.1 (S. 116–118); Administrator Manual 2.8, Kap. 3.6.3.1</w:t>
      </w:r>
    </w:p>
    <w:p>
      <w:pPr>
        <w:pStyle w:val="Heading2"/>
      </w:pPr>
      <w:r>
        <w:t>4.3 Registerkarte „Verpackungsversion“: Einheiten, Abmessungen, Gewicht</w:t>
      </w:r>
    </w:p>
    <w:p>
      <w:r>
        <w:t xml:space="preserve">Jeder Artikel braucht mindestens eine Verpackungsversion. Ist eine Verpackungsversion in einem Dialog gefragt, wird die als </w:t>
      </w:r>
      <w:r>
        <w:rPr>
          <w:b/>
        </w:rPr>
        <w:t>Standard</w:t>
      </w:r>
      <w:r>
        <w:t xml:space="preserve"> gekennzeichnete vorbelegt.</w:t>
      </w:r>
    </w:p>
    <w:p>
      <w:pPr>
        <w:pStyle w:val="Heading3"/>
      </w:pPr>
      <w:r>
        <w:t>4.3.1 Verpackungsversion und Artikelmengeneinheiten anlegen</w:t>
      </w:r>
    </w:p>
    <w:p>
      <w:pPr>
        <w:tabs>
          <w:tab w:pos="425" w:val="left"/>
        </w:tabs>
        <w:spacing w:after="60"/>
        <w:ind w:left="425" w:hanging="425"/>
      </w:pPr>
      <w:r>
        <w:rPr>
          <w:b/>
        </w:rPr>
        <w:t>1.</w:t>
        <w:tab/>
      </w:r>
      <w:r>
        <w:t xml:space="preserve">Im Bereich </w:t>
      </w:r>
      <w:r>
        <w:rPr>
          <w:b/>
        </w:rPr>
        <w:t>Verpackungsversion</w:t>
      </w:r>
      <w:r>
        <w:t xml:space="preserve"> auf das Icon </w:t>
      </w:r>
      <w:r>
        <w:rPr>
          <w:b/>
        </w:rPr>
        <w:t>Datensatz anlegen</w:t>
      </w:r>
      <w:r>
        <w:t xml:space="preserve"> klicken.</w:t>
      </w:r>
    </w:p>
    <w:p>
      <w:pPr>
        <w:tabs>
          <w:tab w:pos="425" w:val="left"/>
        </w:tabs>
        <w:spacing w:after="60"/>
        <w:ind w:left="425" w:hanging="425"/>
      </w:pPr>
      <w:r>
        <w:rPr>
          <w:b/>
        </w:rPr>
        <w:t>2.</w:t>
        <w:tab/>
      </w:r>
      <w:r>
        <w:t xml:space="preserve">Auf der Registerkarte </w:t>
      </w:r>
      <w:r>
        <w:rPr>
          <w:b/>
        </w:rPr>
        <w:t>Artikelmengeneinheit</w:t>
      </w:r>
      <w:r>
        <w:t xml:space="preserve"> mit </w:t>
      </w:r>
      <w:r>
        <w:rPr>
          <w:b/>
        </w:rPr>
        <w:t>Datensatz anlegen</w:t>
      </w:r>
      <w:r>
        <w:t xml:space="preserve"> eine Zeile für die Basismengeneinheit anlegen.</w:t>
      </w:r>
    </w:p>
    <w:p>
      <w:pPr>
        <w:tabs>
          <w:tab w:pos="425" w:val="left"/>
        </w:tabs>
        <w:spacing w:after="60"/>
        <w:ind w:left="425" w:hanging="425"/>
      </w:pPr>
      <w:r>
        <w:rPr>
          <w:b/>
        </w:rPr>
        <w:t>3.</w:t>
        <w:tab/>
      </w:r>
      <w:r>
        <w:t xml:space="preserve">Rechtsklick auf die Zeile → </w:t>
      </w:r>
      <w:r>
        <w:rPr>
          <w:b/>
        </w:rPr>
        <w:t>Datensatz bearbeiten</w:t>
      </w:r>
      <w:r>
        <w:t xml:space="preserve">. Der Dialog </w:t>
      </w:r>
      <w:r>
        <w:rPr>
          <w:b/>
        </w:rPr>
        <w:t>MD038 Artikelmengeneinheit pflegen</w:t>
      </w:r>
      <w:r>
        <w:t xml:space="preserve"> öffnet sich.</w:t>
      </w:r>
    </w:p>
    <w:p>
      <w:pPr>
        <w:tabs>
          <w:tab w:pos="425" w:val="left"/>
        </w:tabs>
        <w:spacing w:after="60"/>
        <w:ind w:left="425" w:hanging="425"/>
      </w:pPr>
      <w:r>
        <w:rPr>
          <w:b/>
        </w:rPr>
        <w:t>4.</w:t>
        <w:tab/>
      </w:r>
      <w:r>
        <w:t xml:space="preserve">Mengeneinheit wählen. Für die Basismengeneinheit Zähler </w:t>
      </w:r>
      <w:r>
        <w:rPr>
          <w:rFonts w:ascii="Consolas" w:hAnsi="Consolas" w:cs="Consolas" w:eastAsia="Consolas"/>
          <w:sz w:val="18"/>
        </w:rPr>
        <w:t>1</w:t>
      </w:r>
      <w:r>
        <w:t xml:space="preserve"> und </w:t>
      </w:r>
      <w:r>
        <w:rPr>
          <w:b/>
        </w:rPr>
        <w:t>keine</w:t>
      </w:r>
      <w:r>
        <w:t xml:space="preserve"> Referenzmengeneinheit.</w:t>
      </w:r>
    </w:p>
    <w:p>
      <w:pPr>
        <w:tabs>
          <w:tab w:pos="425" w:val="left"/>
        </w:tabs>
        <w:spacing w:after="60"/>
        <w:ind w:left="425" w:hanging="425"/>
      </w:pPr>
      <w:r>
        <w:rPr>
          <w:b/>
        </w:rPr>
        <w:t>5.</w:t>
        <w:tab/>
      </w:r>
      <w:r>
        <w:rPr>
          <w:b/>
        </w:rPr>
        <w:t>Abmessungen</w:t>
      </w:r>
      <w:r>
        <w:t xml:space="preserve"> (Länge, Breite, Höhe) eingeben und mit </w:t>
      </w:r>
      <w:r>
        <w:rPr>
          <w:b/>
        </w:rPr>
        <w:t>Volumen berechnen</w:t>
      </w:r>
      <w:r>
        <w:t xml:space="preserve"> das Volumen ermitteln lassen.</w:t>
      </w:r>
    </w:p>
    <w:p>
      <w:pPr>
        <w:tabs>
          <w:tab w:pos="425" w:val="left"/>
        </w:tabs>
        <w:spacing w:after="60"/>
        <w:ind w:left="425" w:hanging="425"/>
      </w:pPr>
      <w:r>
        <w:rPr>
          <w:b/>
        </w:rPr>
        <w:t>6.</w:t>
        <w:tab/>
      </w:r>
      <w:r>
        <w:rPr>
          <w:b/>
        </w:rPr>
        <w:t>Bruttogewicht</w:t>
      </w:r>
      <w:r>
        <w:t xml:space="preserve"> (inkl. Verpackung) eingeben. Es dient zur Gewichtskontrolle von LE und Tablar, nicht zur Bestandsführung.</w:t>
      </w:r>
    </w:p>
    <w:p>
      <w:pPr>
        <w:tabs>
          <w:tab w:pos="425" w:val="left"/>
        </w:tabs>
        <w:spacing w:after="60"/>
        <w:ind w:left="425" w:hanging="425"/>
      </w:pPr>
      <w:r>
        <w:rPr>
          <w:b/>
        </w:rPr>
        <w:t>7.</w:t>
        <w:tab/>
      </w:r>
      <w:r>
        <w:t xml:space="preserve">Optional: </w:t>
      </w:r>
      <w:r>
        <w:rPr>
          <w:b/>
        </w:rPr>
        <w:t>Stapelfaktor</w:t>
      </w:r>
      <w:r>
        <w:t xml:space="preserve">, </w:t>
      </w:r>
      <w:r>
        <w:rPr>
          <w:b/>
        </w:rPr>
        <w:t>Ebene</w:t>
      </w:r>
      <w:r>
        <w:t xml:space="preserve"> (Lage einer Palette), </w:t>
      </w:r>
      <w:r>
        <w:rPr>
          <w:b/>
        </w:rPr>
        <w:t>Ist Verkaufsmengeneinheit</w:t>
      </w:r>
      <w:r>
        <w:t xml:space="preserve">, </w:t>
      </w:r>
      <w:r>
        <w:rPr>
          <w:b/>
        </w:rPr>
        <w:t>Standard-Ladeeinheiten-Kubatur</w:t>
      </w:r>
      <w:r>
        <w:t xml:space="preserve">, </w:t>
      </w:r>
      <w:r>
        <w:rPr>
          <w:b/>
        </w:rPr>
        <w:t>Leergutartikel</w:t>
      </w:r>
      <w:r>
        <w:t>.</w:t>
      </w:r>
    </w:p>
    <w:p>
      <w:pPr>
        <w:tabs>
          <w:tab w:pos="425" w:val="left"/>
        </w:tabs>
        <w:spacing w:after="60"/>
        <w:ind w:left="425" w:hanging="425"/>
      </w:pPr>
      <w:r>
        <w:rPr>
          <w:b/>
        </w:rPr>
        <w:t>8.</w:t>
        <w:tab/>
      </w:r>
      <w:r>
        <w:rPr>
          <w:b/>
        </w:rPr>
        <w:t>OK</w:t>
      </w:r>
      <w:r>
        <w:t xml:space="preserve"> klicken.</w:t>
      </w:r>
    </w:p>
    <w:p>
      <w:pPr>
        <w:tabs>
          <w:tab w:pos="425" w:val="left"/>
        </w:tabs>
        <w:spacing w:after="60"/>
        <w:ind w:left="425" w:hanging="425"/>
      </w:pPr>
      <w:r>
        <w:rPr>
          <w:b/>
        </w:rPr>
        <w:t>9.</w:t>
        <w:tab/>
      </w:r>
      <w:r>
        <w:t xml:space="preserve">Für jede weitere Einheit eine Zeile anlegen: </w:t>
      </w:r>
      <w:r>
        <w:rPr>
          <w:b/>
        </w:rPr>
        <w:t>Zähler</w:t>
      </w:r>
      <w:r>
        <w:t xml:space="preserve"> = Anzahl der nächstkleineren Einheit, </w:t>
      </w:r>
      <w:r>
        <w:rPr>
          <w:b/>
        </w:rPr>
        <w:t>Referenzmengeneinheit</w:t>
      </w:r>
      <w:r>
        <w:t xml:space="preserve"> = nächstkleinere Einheit. Eine Einheit kann als </w:t>
      </w:r>
      <w:r>
        <w:rPr>
          <w:b/>
        </w:rPr>
        <w:t>Ganz-Ladeeinheit</w:t>
      </w:r>
      <w:r>
        <w:t xml:space="preserve"> gekennzeichnet werden.</w:t>
      </w:r>
    </w:p>
    <w:p>
      <w:pPr>
        <w:tabs>
          <w:tab w:pos="425" w:val="left"/>
        </w:tabs>
        <w:spacing w:after="60"/>
        <w:ind w:left="425" w:hanging="425"/>
      </w:pPr>
      <w:r>
        <w:rPr>
          <w:b/>
        </w:rPr>
        <w:t>10.</w:t>
        <w:tab/>
      </w:r>
      <w:r>
        <w:t xml:space="preserve">Rechtsklick auf die Verpackungsversion → </w:t>
      </w:r>
      <w:r>
        <w:rPr>
          <w:b/>
        </w:rPr>
        <w:t>Datensatz bearbeiten</w:t>
      </w:r>
      <w:r>
        <w:t xml:space="preserve">. Im Dialog </w:t>
      </w:r>
      <w:r>
        <w:rPr>
          <w:b/>
        </w:rPr>
        <w:t>MD039 Verpackungsversion pflegen</w:t>
      </w:r>
      <w:r>
        <w:t xml:space="preserve"> die </w:t>
      </w:r>
      <w:r>
        <w:rPr>
          <w:b/>
        </w:rPr>
        <w:t>Lagermengeneinheit</w:t>
      </w:r>
      <w:r>
        <w:t xml:space="preserve"> festlegen, bei Dualartikeln die </w:t>
      </w:r>
      <w:r>
        <w:rPr>
          <w:b/>
        </w:rPr>
        <w:t>Duale Lagermengeneinheit</w:t>
      </w:r>
      <w:r>
        <w:t xml:space="preserve">, optional </w:t>
      </w:r>
      <w:r>
        <w:rPr>
          <w:b/>
        </w:rPr>
        <w:t>BME Nettogewicht</w:t>
      </w:r>
      <w:r>
        <w:t>.</w:t>
      </w:r>
    </w:p>
    <w:p>
      <w:pPr>
        <w:tabs>
          <w:tab w:pos="425" w:val="left"/>
        </w:tabs>
        <w:spacing w:after="60"/>
        <w:ind w:left="425" w:hanging="425"/>
      </w:pPr>
      <w:r>
        <w:rPr>
          <w:b/>
        </w:rPr>
        <w:t>11.</w:t>
        <w:tab/>
      </w:r>
      <w:r>
        <w:rPr>
          <w:b/>
        </w:rPr>
        <w:t>OK</w:t>
      </w:r>
      <w:r>
        <w:t xml:space="preserve"> und anschließend in MD002 </w:t>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[2.8] Zusätzliche Felder in MD039</w:t>
            </w:r>
          </w:p>
          <w:p>
            <w:pPr>
              <w:spacing w:after="40"/>
            </w:pPr>
            <w:r>
              <w:rPr>
                <w:sz w:val="19"/>
              </w:rPr>
              <w:t xml:space="preserve">In 2.8 heißt das Feld zur Steuerung der Kommissionierreihenfolge </w:t>
            </w:r>
            <w:r>
              <w:rPr>
                <w:b/>
                <w:sz w:val="19"/>
              </w:rPr>
              <w:t>Gewichtsgruppe</w:t>
            </w:r>
            <w:r>
              <w:rPr>
                <w:sz w:val="19"/>
              </w:rPr>
              <w:t xml:space="preserve"> (Weight group; in 2.7 </w:t>
            </w:r>
            <w:r>
              <w:rPr>
                <w:b/>
                <w:sz w:val="19"/>
              </w:rPr>
              <w:t>Packreihenfolge</w:t>
            </w:r>
            <w:r>
              <w:rPr>
                <w:sz w:val="19"/>
              </w:rPr>
              <w:t xml:space="preserve">): niedrige Werte werden früher kommissioniert. Neu ist das Feld </w:t>
            </w:r>
            <w:r>
              <w:rPr>
                <w:b/>
                <w:sz w:val="19"/>
              </w:rPr>
              <w:t>Form</w:t>
            </w:r>
            <w:r>
              <w:rPr>
                <w:sz w:val="19"/>
              </w:rPr>
              <w:t xml:space="preserve"> (Shape), das für den RoboPick Two-Level benötigt wird.</w:t>
            </w:r>
          </w:p>
        </w:tc>
      </w:tr>
    </w:tbl>
    <w:p>
      <w:pPr>
        <w:spacing w:after="40"/>
      </w:pPr>
    </w:p>
    <w:p>
      <w:pPr>
        <w:pStyle w:val="Quelle"/>
      </w:pPr>
      <w:r>
        <w:rPr>
          <w:b/>
        </w:rPr>
        <w:t xml:space="preserve">Quelle: </w:t>
      </w:r>
      <w:r>
        <w:rPr>
          <w:sz w:val="17"/>
        </w:rPr>
        <w:t>Administratorhandbuch 2.7, Kap. 3.6.3.2.1 (S. 119–121); Administrator Manual 2.8, Kap. 3.6.3.2 und 3.6.3.2.1</w:t>
      </w:r>
    </w:p>
    <w:p>
      <w:pPr>
        <w:pStyle w:val="Heading3"/>
      </w:pPr>
      <w:r>
        <w:t>4.3.2 Kubatur und LE-Fachtyp</w:t>
      </w:r>
    </w:p>
    <w:p>
      <w:pPr>
        <w:pStyle w:val="ListBullet"/>
      </w:pPr>
      <w:r>
        <w:t xml:space="preserve">Registerkarte </w:t>
      </w:r>
      <w:r>
        <w:rPr>
          <w:b/>
        </w:rPr>
        <w:t>Kubatur</w:t>
      </w:r>
      <w:r>
        <w:t xml:space="preserve">: Ordnen Sie der Verpackungsversion eine </w:t>
      </w:r>
      <w:r>
        <w:rPr>
          <w:b/>
        </w:rPr>
        <w:t>Ladeeinheitenkubatur</w:t>
      </w:r>
      <w:r>
        <w:t xml:space="preserve"> (z. B. Boxtyp) zu und geben Sie </w:t>
      </w:r>
      <w:r>
        <w:rPr>
          <w:b/>
        </w:rPr>
        <w:t># Basismengeneinheiten (max.)</w:t>
      </w:r>
      <w:r>
        <w:t xml:space="preserve"> an. Damit berechnet WAMAS den Füllgrad.</w:t>
      </w:r>
    </w:p>
    <w:p>
      <w:pPr>
        <w:pStyle w:val="ListBullet"/>
      </w:pPr>
      <w:r>
        <w:t xml:space="preserve">Registerkarte </w:t>
      </w:r>
      <w:r>
        <w:rPr>
          <w:b/>
        </w:rPr>
        <w:t>LE-Fachtyp</w:t>
      </w:r>
      <w:r>
        <w:t xml:space="preserve">: Gleiches für unterteilte Ladeeinheiten, optional </w:t>
      </w:r>
      <w:r>
        <w:rPr>
          <w:b/>
        </w:rPr>
        <w:t>Standard für Bestandsübergabe</w:t>
      </w:r>
      <w:r>
        <w:t xml:space="preserve"> bzw. </w:t>
      </w:r>
      <w:r>
        <w:rPr>
          <w:b/>
        </w:rPr>
        <w:t>Standard für Umpacken</w:t>
      </w:r>
      <w:r>
        <w:t>.</w:t>
      </w:r>
    </w:p>
    <w:p>
      <w:pPr>
        <w:pStyle w:val="Quelle"/>
      </w:pPr>
      <w:r>
        <w:rPr>
          <w:b/>
        </w:rPr>
        <w:t xml:space="preserve">Quelle: </w:t>
      </w:r>
      <w:r>
        <w:rPr>
          <w:sz w:val="17"/>
        </w:rPr>
        <w:t>Administratorhandbuch 2.7, Kap. 3.6.3.2.2–3.6.3.2.3 (S. 121)</w:t>
      </w:r>
    </w:p>
    <w:p>
      <w:pPr>
        <w:pStyle w:val="Heading3"/>
      </w:pPr>
      <w:r>
        <w:t>4.3.3 Verpackungsversion löschen</w:t>
      </w:r>
    </w:p>
    <w:p>
      <w:r>
        <w:t xml:space="preserve">Eine Verpackungsversion kann nur gelöscht werden, wenn sie in keinem Datensatz im Lager mehr verwendet wird (z. B. Bestand, Bedarf, Zuordnung). Danach steht sie auf </w:t>
      </w:r>
      <w:r>
        <w:rPr>
          <w:b/>
        </w:rPr>
        <w:t>Zu löschen</w:t>
      </w:r>
      <w:r>
        <w:t xml:space="preserve"> und wird im nächsten Archivierungslauf archiviert.</w:t>
      </w:r>
    </w:p>
    <w:p>
      <w:pPr>
        <w:pStyle w:val="Quelle"/>
      </w:pPr>
      <w:r>
        <w:rPr>
          <w:b/>
        </w:rPr>
        <w:t xml:space="preserve">Quelle: </w:t>
      </w:r>
      <w:r>
        <w:rPr>
          <w:sz w:val="17"/>
        </w:rPr>
        <w:t>Administratorhandbuch 2.7, Kap. 3.6.3.2 (S. 119)</w:t>
      </w:r>
    </w:p>
    <w:p>
      <w:pPr>
        <w:pStyle w:val="Heading2"/>
      </w:pPr>
      <w:r>
        <w:t>4.4 Charge, MHD, Produktionsdatum und Seriennummer</w:t>
      </w:r>
    </w:p>
    <w:p>
      <w:r>
        <w:t xml:space="preserve">Auf der Registerkarte </w:t>
      </w:r>
      <w:r>
        <w:rPr>
          <w:b/>
        </w:rPr>
        <w:t>Bestandsidentifizierende Attribute</w:t>
      </w:r>
      <w:r>
        <w:t xml:space="preserve"> legen Sie für </w:t>
      </w:r>
      <w:r>
        <w:rPr>
          <w:b/>
        </w:rPr>
        <w:t>MHD</w:t>
      </w:r>
      <w:r>
        <w:t xml:space="preserve">, </w:t>
      </w:r>
      <w:r>
        <w:rPr>
          <w:b/>
        </w:rPr>
        <w:t>Charge</w:t>
      </w:r>
      <w:r>
        <w:t xml:space="preserve">, </w:t>
      </w:r>
      <w:r>
        <w:rPr>
          <w:b/>
        </w:rPr>
        <w:t>Produktionsdatum</w:t>
      </w:r>
      <w:r>
        <w:t xml:space="preserve"> und jedes </w:t>
      </w:r>
      <w:r>
        <w:rPr>
          <w:b/>
        </w:rPr>
        <w:t>anpassbare BIA</w:t>
      </w:r>
      <w:r>
        <w:t xml:space="preserve"> fest, ob die Erfassung im Wareneingang, in der Bestandsführung und im Warenausgang</w:t>
      </w:r>
    </w:p>
    <w:p>
      <w:pPr>
        <w:pStyle w:val="ListBullet"/>
      </w:pPr>
      <w:r>
        <w:rPr>
          <w:b/>
        </w:rPr>
        <w:t>Obligatorisch</w:t>
      </w:r>
      <w:r>
        <w:t xml:space="preserve"> (muss erfasst werden),</w:t>
      </w:r>
    </w:p>
    <w:p>
      <w:pPr>
        <w:pStyle w:val="ListBullet"/>
      </w:pPr>
      <w:r>
        <w:rPr>
          <w:b/>
        </w:rPr>
        <w:t>Optional</w:t>
      </w:r>
      <w:r>
        <w:t xml:space="preserve"> oder</w:t>
      </w:r>
    </w:p>
    <w:p>
      <w:pPr>
        <w:pStyle w:val="ListBullet"/>
      </w:pPr>
      <w:r>
        <w:rPr>
          <w:b/>
        </w:rPr>
        <w:t>Nicht anwendbar</w:t>
      </w:r>
      <w:r>
        <w:t xml:space="preserve"> ist.</w:t>
      </w:r>
    </w:p>
    <w:p>
      <w:r>
        <w:t xml:space="preserve">Ein eindeutiges ABIA (z. B. eine Seriennummer) darf nicht </w:t>
      </w:r>
      <w:r>
        <w:rPr>
          <w:b/>
        </w:rPr>
        <w:t>Optional</w:t>
      </w:r>
      <w:r>
        <w:t xml:space="preserve"> sein, weil die Eindeutigkeit geprüft werden muss.</w:t>
      </w:r>
    </w:p>
    <w:p>
      <w:r>
        <w:rPr>
          <w:b/>
        </w:rPr>
        <w:t>Seriennummern</w:t>
      </w:r>
      <w:r>
        <w:t xml:space="preserve"> konfigurieren Sie zusätzlich auf der Registerkarte </w:t>
      </w:r>
      <w:r>
        <w:rPr>
          <w:b/>
        </w:rPr>
        <w:t>WLS Artikel</w:t>
      </w:r>
      <w:r>
        <w:t xml:space="preserve">, Bereich </w:t>
      </w:r>
      <w:r>
        <w:rPr>
          <w:b/>
        </w:rPr>
        <w:t>Warenausgang</w:t>
      </w:r>
      <w:r>
        <w:t>:</w:t>
      </w:r>
    </w:p>
    <w:p>
      <w:pPr>
        <w:pStyle w:val="ListBullet"/>
      </w:pPr>
      <w:r>
        <w:rPr>
          <w:b/>
        </w:rPr>
        <w:t>Seriennummer ABIA</w:t>
      </w:r>
      <w:r>
        <w:t>: welches anpassbare Attribut die Seriennummer aufnimmt,</w:t>
      </w:r>
    </w:p>
    <w:p>
      <w:pPr>
        <w:pStyle w:val="ListBullet"/>
      </w:pPr>
      <w:r>
        <w:rPr>
          <w:b/>
        </w:rPr>
        <w:t>Seriennummernkreis</w:t>
      </w:r>
      <w:r>
        <w:t xml:space="preserve">: wenn WAMAS die Nummer erzeugen soll (dann ist </w:t>
      </w:r>
      <w:r>
        <w:rPr>
          <w:b/>
        </w:rPr>
        <w:t>Seriennummer ABIA</w:t>
      </w:r>
      <w:r>
        <w:t xml:space="preserve"> Pflicht),</w:t>
      </w:r>
    </w:p>
    <w:p>
      <w:pPr>
        <w:pStyle w:val="ListBullet"/>
      </w:pPr>
      <w:r>
        <w:rPr>
          <w:b/>
        </w:rPr>
        <w:t>Seriennummer drucken</w:t>
      </w:r>
      <w:r>
        <w:t>: automatischer Druck, sobald eine Tablaranforderung aktiv ist.</w:t>
      </w:r>
    </w:p>
    <w:p>
      <w:pPr>
        <w:pStyle w:val="Quelle"/>
      </w:pPr>
      <w:r>
        <w:rPr>
          <w:b/>
        </w:rPr>
        <w:t xml:space="preserve">Quelle: </w:t>
      </w:r>
      <w:r>
        <w:rPr>
          <w:sz w:val="17"/>
        </w:rPr>
        <w:t>Administratorhandbuch 2.7, Kap. 3.6.3.3 (S. 122) und 3.6.3.7 (S. 126)</w:t>
      </w:r>
    </w:p>
    <w:p>
      <w:pPr>
        <w:pStyle w:val="Heading2"/>
      </w:pPr>
      <w:r>
        <w:t>4.5 Barcodes, EAN/GTIN und Artikel-Alias</w:t>
      </w:r>
    </w:p>
    <w:p>
      <w:r>
        <w:t>Ein Artikel-Alias ersetzt beim Scannen oder Bestätigen die meist lange Artikelnummer.</w:t>
      </w:r>
    </w:p>
    <w:p>
      <w:pPr>
        <w:tabs>
          <w:tab w:pos="425" w:val="left"/>
        </w:tabs>
        <w:spacing w:after="60"/>
        <w:ind w:left="425" w:hanging="425"/>
      </w:pPr>
      <w:r>
        <w:rPr>
          <w:b/>
        </w:rPr>
        <w:t>1.</w:t>
        <w:tab/>
      </w:r>
      <w:r>
        <w:t xml:space="preserve">Registerkarte </w:t>
      </w:r>
      <w:r>
        <w:rPr>
          <w:b/>
        </w:rPr>
        <w:t>Artikel-Alias</w:t>
      </w:r>
      <w:r>
        <w:t xml:space="preserve"> → Icon </w:t>
      </w:r>
      <w:r>
        <w:rPr>
          <w:b/>
        </w:rPr>
        <w:t>Datensatz anlegen</w:t>
      </w:r>
      <w:r>
        <w:t>.</w:t>
      </w:r>
    </w:p>
    <w:p>
      <w:pPr>
        <w:tabs>
          <w:tab w:pos="425" w:val="left"/>
        </w:tabs>
        <w:spacing w:after="60"/>
        <w:ind w:left="425" w:hanging="425"/>
      </w:pPr>
      <w:r>
        <w:rPr>
          <w:b/>
        </w:rPr>
        <w:t>2.</w:t>
        <w:tab/>
      </w:r>
      <w:r>
        <w:rPr>
          <w:b/>
        </w:rPr>
        <w:t>Artikel-Aliasart</w:t>
      </w:r>
      <w:r>
        <w:t xml:space="preserve"> wählen: </w:t>
      </w:r>
      <w:r>
        <w:rPr>
          <w:b/>
        </w:rPr>
        <w:t>Alias</w:t>
      </w:r>
      <w:r>
        <w:t xml:space="preserve"> (Kurznummer), </w:t>
      </w:r>
      <w:r>
        <w:rPr>
          <w:b/>
        </w:rPr>
        <w:t>GTIN</w:t>
      </w:r>
      <w:r>
        <w:t xml:space="preserve"> (EAN/GTIN-Barcode) oder </w:t>
      </w:r>
      <w:r>
        <w:rPr>
          <w:b/>
        </w:rPr>
        <w:t>Prüfnummer</w:t>
      </w:r>
      <w:r>
        <w:t xml:space="preserve"> (ergänzende Kennung).</w:t>
      </w:r>
    </w:p>
    <w:p>
      <w:pPr>
        <w:tabs>
          <w:tab w:pos="425" w:val="left"/>
        </w:tabs>
        <w:spacing w:after="60"/>
        <w:ind w:left="425" w:hanging="425"/>
      </w:pPr>
      <w:r>
        <w:rPr>
          <w:b/>
        </w:rPr>
        <w:t>3.</w:t>
        <w:tab/>
      </w:r>
      <w:r>
        <w:t xml:space="preserve">Eindeutige </w:t>
      </w:r>
      <w:r>
        <w:rPr>
          <w:b/>
        </w:rPr>
        <w:t>Artikel-Aliasnummer</w:t>
      </w:r>
      <w:r>
        <w:t xml:space="preserve"> eingeben.</w:t>
      </w:r>
    </w:p>
    <w:p>
      <w:pPr>
        <w:tabs>
          <w:tab w:pos="425" w:val="left"/>
        </w:tabs>
        <w:spacing w:after="60"/>
        <w:ind w:left="425" w:hanging="425"/>
      </w:pPr>
      <w:r>
        <w:rPr>
          <w:b/>
        </w:rPr>
        <w:t>4.</w:t>
        <w:tab/>
      </w:r>
      <w:r>
        <w:rPr>
          <w:b/>
        </w:rPr>
        <w:t>Mengeneinheit</w:t>
      </w:r>
      <w:r>
        <w:t xml:space="preserve"> angeben – bei </w:t>
      </w:r>
      <w:r>
        <w:rPr>
          <w:b/>
        </w:rPr>
        <w:t>GTIN</w:t>
      </w:r>
      <w:r>
        <w:t xml:space="preserve"> immer Pflicht, denn eine GTIN gehört zu einer Verpackungsstufe (z. B. Stück-EAN und Karton-EAN).</w:t>
      </w:r>
    </w:p>
    <w:p>
      <w:pPr>
        <w:tabs>
          <w:tab w:pos="425" w:val="left"/>
        </w:tabs>
        <w:spacing w:after="60"/>
        <w:ind w:left="425" w:hanging="425"/>
      </w:pPr>
      <w:r>
        <w:rPr>
          <w:b/>
        </w:rPr>
        <w:t>5.</w:t>
        <w:tab/>
      </w:r>
      <w:r>
        <w:t xml:space="preserve">Optional die </w:t>
      </w:r>
      <w:r>
        <w:rPr>
          <w:b/>
        </w:rPr>
        <w:t>Verpackungsversion</w:t>
      </w:r>
      <w:r>
        <w:t xml:space="preserve"> einschränken.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GTIN-Prüfung im Wareneingang</w:t>
            </w:r>
          </w:p>
          <w:p>
            <w:pPr>
              <w:spacing w:after="40"/>
            </w:pPr>
            <w:r>
              <w:rPr>
                <w:sz w:val="19"/>
              </w:rPr>
              <w:t xml:space="preserve">Ob und wie oft die GTIN beim Wareneingang geprüft wird, steuert die </w:t>
            </w:r>
            <w:r>
              <w:rPr>
                <w:b/>
                <w:sz w:val="19"/>
              </w:rPr>
              <w:t>GTIN-Prüfungsart</w:t>
            </w:r>
            <w:r>
              <w:rPr>
                <w:sz w:val="19"/>
              </w:rPr>
              <w:t xml:space="preserve"> der Warengruppe (MD017).</w:t>
            </w:r>
          </w:p>
        </w:tc>
      </w:tr>
    </w:tbl>
    <w:p>
      <w:pPr>
        <w:spacing w:after="40"/>
      </w:pPr>
    </w:p>
    <w:p>
      <w:pPr>
        <w:pStyle w:val="Quelle"/>
      </w:pPr>
      <w:r>
        <w:rPr>
          <w:b/>
        </w:rPr>
        <w:t xml:space="preserve">Quelle: </w:t>
      </w:r>
      <w:r>
        <w:rPr>
          <w:sz w:val="17"/>
        </w:rPr>
        <w:t>Administratorhandbuch 2.7, Kap. 3.6.3.4 (S. 123) und 3.6.1.5 (S. 102)</w:t>
      </w:r>
    </w:p>
    <w:p>
      <w:pPr>
        <w:pStyle w:val="Heading2"/>
      </w:pPr>
      <w:r>
        <w:t>4.6 Artikelbilder</w:t>
      </w:r>
    </w:p>
    <w:p>
      <w:pPr>
        <w:pStyle w:val="ListBullet"/>
      </w:pPr>
      <w:r>
        <w:t xml:space="preserve">Einzelbild: Registerkarte </w:t>
      </w:r>
      <w:r>
        <w:rPr>
          <w:b/>
        </w:rPr>
        <w:t>Artikelbild</w:t>
      </w:r>
      <w:r>
        <w:t xml:space="preserve"> → </w:t>
      </w:r>
      <w:r>
        <w:rPr>
          <w:b/>
        </w:rPr>
        <w:t>Hinzufügen</w:t>
      </w:r>
      <w:r>
        <w:t xml:space="preserve"> → Datei (PNG oder JPG) wählen → </w:t>
      </w:r>
      <w:r>
        <w:rPr>
          <w:b/>
        </w:rPr>
        <w:t>Speichern</w:t>
      </w:r>
      <w:r>
        <w:t xml:space="preserve">. Mit </w:t>
      </w:r>
      <w:r>
        <w:rPr>
          <w:b/>
        </w:rPr>
        <w:t>Aktualisieren</w:t>
      </w:r>
      <w:r>
        <w:t xml:space="preserve"> bzw. </w:t>
      </w:r>
      <w:r>
        <w:rPr>
          <w:b/>
        </w:rPr>
        <w:t>Löschen</w:t>
      </w:r>
      <w:r>
        <w:t xml:space="preserve"> ändern oder entfernen.</w:t>
      </w:r>
    </w:p>
    <w:p>
      <w:pPr>
        <w:pStyle w:val="ListBullet"/>
      </w:pPr>
      <w:r>
        <w:t xml:space="preserve">Viele Bilder auf einmal: In </w:t>
      </w:r>
      <w:r>
        <w:rPr>
          <w:b/>
        </w:rPr>
        <w:t>MD001</w:t>
      </w:r>
      <w:r>
        <w:t xml:space="preserve"> Rechtsklick → </w:t>
      </w:r>
      <w:r>
        <w:rPr>
          <w:b/>
        </w:rPr>
        <w:t>Artikelbilder laden</w:t>
      </w:r>
      <w:r>
        <w:t xml:space="preserve"> → Dialog </w:t>
      </w:r>
      <w:r>
        <w:rPr>
          <w:b/>
        </w:rPr>
        <w:t>LM114</w:t>
      </w:r>
      <w:r>
        <w:t xml:space="preserve">: </w:t>
      </w:r>
      <w:r>
        <w:rPr>
          <w:b/>
        </w:rPr>
        <w:t>Verzeichnis</w:t>
      </w:r>
      <w:r>
        <w:t xml:space="preserve">, </w:t>
      </w:r>
      <w:r>
        <w:rPr>
          <w:b/>
        </w:rPr>
        <w:t>Klient</w:t>
      </w:r>
      <w:r>
        <w:t xml:space="preserve"> und </w:t>
      </w:r>
      <w:r>
        <w:rPr>
          <w:b/>
        </w:rPr>
        <w:t>Variante</w:t>
      </w:r>
      <w:r>
        <w:t xml:space="preserve"> wählen → </w:t>
      </w:r>
      <w:r>
        <w:rPr>
          <w:b/>
        </w:rPr>
        <w:t>Ladung</w:t>
      </w:r>
      <w:r>
        <w:t>. Der Dateiname muss der Artikelnummer entsprechen.</w:t>
      </w:r>
    </w:p>
    <w:p>
      <w:pPr>
        <w:pStyle w:val="ListBullet"/>
      </w:pPr>
      <w:r>
        <w:t>Bilder können nicht über eine Schnittstelle oder einen Import übertragen werden.</w:t>
      </w:r>
    </w:p>
    <w:p>
      <w:pPr>
        <w:pStyle w:val="ListBullet"/>
      </w:pPr>
      <w:r>
        <w:t>Das Ablageverzeichnis für Bilder richtet Ihr Administrator einmalig ein.</w:t>
      </w:r>
    </w:p>
    <w:p>
      <w:pPr>
        <w:pStyle w:val="Quelle"/>
      </w:pPr>
      <w:r>
        <w:rPr>
          <w:b/>
        </w:rPr>
        <w:t xml:space="preserve">Quelle: </w:t>
      </w:r>
      <w:r>
        <w:rPr>
          <w:sz w:val="17"/>
        </w:rPr>
        <w:t>Administratorhandbuch 2.7, Kap. 3.6.3.5 und 3.6.4 (S. 123–127)</w:t>
      </w:r>
    </w:p>
    <w:p>
      <w:pPr>
        <w:pStyle w:val="Heading2"/>
      </w:pPr>
      <w:r>
        <w:t>4.7 ABC-Klassifizierung</w:t>
      </w:r>
    </w:p>
    <w:p>
      <w:r>
        <w:t xml:space="preserve">Registerkarte </w:t>
      </w:r>
      <w:r>
        <w:rPr>
          <w:b/>
        </w:rPr>
        <w:t>Artikel ABC-Klassifizierung</w:t>
      </w:r>
      <w:r>
        <w:t xml:space="preserve">: </w:t>
      </w:r>
      <w:r>
        <w:rPr>
          <w:b/>
        </w:rPr>
        <w:t>ABC-Wert</w:t>
      </w:r>
      <w:r>
        <w:t xml:space="preserve"> 1–333 = Schnelldreher, 334–666 = Mitteldreher, 667–999 = Langsamdreher, zugeordnet zu einem </w:t>
      </w:r>
      <w:r>
        <w:rPr>
          <w:b/>
        </w:rPr>
        <w:t>Lagerstandort</w:t>
      </w:r>
      <w:r>
        <w:t xml:space="preserve"> und optional zu einem </w:t>
      </w:r>
      <w:r>
        <w:rPr>
          <w:b/>
        </w:rPr>
        <w:t>strategischen Lagerbereich</w:t>
      </w:r>
      <w:r>
        <w:t>.</w:t>
      </w:r>
    </w:p>
    <w:p>
      <w:pPr>
        <w:pStyle w:val="Quelle"/>
      </w:pPr>
      <w:r>
        <w:rPr>
          <w:b/>
        </w:rPr>
        <w:t xml:space="preserve">Quelle: </w:t>
      </w:r>
      <w:r>
        <w:rPr>
          <w:sz w:val="17"/>
        </w:rPr>
        <w:t>Administratorhandbuch 2.7, Kap. 3.6.3.6 (S. 124)</w:t>
      </w:r>
    </w:p>
    <w:p>
      <w:pPr>
        <w:pStyle w:val="Heading2"/>
      </w:pPr>
      <w:r>
        <w:t>4.8 Registerkarte „WLS Artikel“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Bereich / Feld</w:t>
            </w:r>
          </w:p>
        </w:tc>
        <w:tc>
          <w:tcPr>
            <w:tcW w:type="dxa" w:w="4762"/>
            <w:shd w:val="clear" w:color="auto" w:fill="FEEE19"/>
          </w:tcPr>
          <w:p>
            <w:pPr>
              <w:spacing w:after="0"/>
            </w:pPr>
            <w:r>
              <w:rPr>
                <w:b/>
                <w:sz w:val="17"/>
              </w:rPr>
              <w:t>Bedeutung</w:t>
            </w:r>
          </w:p>
        </w:tc>
      </w:tr>
      <w:tr>
        <w:tc>
          <w:tcPr>
            <w:tcW w:type="dxa" w:w="4762"/>
          </w:tcPr>
          <w:p>
            <w:pPr>
              <w:spacing w:after="0" w:line="252" w:lineRule="auto"/>
            </w:pPr>
            <w:r>
              <w:rPr>
                <w:b/>
                <w:sz w:val="17"/>
              </w:rPr>
              <w:t>Kippen ist erlaubt</w:t>
            </w:r>
          </w:p>
        </w:tc>
        <w:tc>
          <w:tcPr>
            <w:tcW w:type="dxa" w:w="4762"/>
          </w:tcPr>
          <w:p>
            <w:pPr>
              <w:spacing w:after="0" w:line="252" w:lineRule="auto"/>
            </w:pPr>
            <w:r>
              <w:rPr>
                <w:sz w:val="17"/>
              </w:rPr>
              <w:t>Ob das Tablar mit diesem Artikel gekippt werden darf</w:t>
            </w:r>
          </w:p>
        </w:tc>
      </w:tr>
      <w:tr>
        <w:tc>
          <w:tcPr>
            <w:tcW w:type="dxa" w:w="4762"/>
          </w:tcPr>
          <w:p>
            <w:pPr>
              <w:spacing w:after="0" w:line="252" w:lineRule="auto"/>
            </w:pPr>
            <w:r>
              <w:rPr>
                <w:b/>
                <w:sz w:val="17"/>
              </w:rPr>
              <w:t>LogiDrive aktivieren</w:t>
            </w:r>
          </w:p>
        </w:tc>
        <w:tc>
          <w:tcPr>
            <w:tcW w:type="dxa" w:w="4762"/>
          </w:tcPr>
          <w:p>
            <w:pPr>
              <w:spacing w:after="0" w:line="252" w:lineRule="auto"/>
            </w:pPr>
            <w:r>
              <w:rPr>
                <w:sz w:val="17"/>
              </w:rPr>
              <w:t>Tablar fährt vor die Öffnung aus (schwere oder unhandliche Ware; Option)</w:t>
            </w:r>
          </w:p>
        </w:tc>
      </w:tr>
      <w:tr>
        <w:tc>
          <w:tcPr>
            <w:tcW w:type="dxa" w:w="4762"/>
          </w:tcPr>
          <w:p>
            <w:pPr>
              <w:spacing w:after="0" w:line="252" w:lineRule="auto"/>
            </w:pPr>
            <w:r>
              <w:rPr>
                <w:b/>
                <w:sz w:val="17"/>
              </w:rPr>
              <w:t>Großer Artikel</w:t>
            </w:r>
          </w:p>
        </w:tc>
        <w:tc>
          <w:tcPr>
            <w:tcW w:type="dxa" w:w="4762"/>
          </w:tcPr>
          <w:p>
            <w:pPr>
              <w:spacing w:after="0" w:line="252" w:lineRule="auto"/>
            </w:pPr>
            <w:r>
              <w:rPr>
                <w:sz w:val="17"/>
              </w:rPr>
              <w:t xml:space="preserve">Lagerung direkt auf dem Tablar ohne Box; dann muss die Artikelmengeneinheit </w:t>
            </w:r>
            <w:r>
              <w:rPr>
                <w:b/>
                <w:sz w:val="17"/>
              </w:rPr>
              <w:t>Ganz-Ladeeinheit</w:t>
            </w:r>
            <w:r>
              <w:rPr>
                <w:sz w:val="17"/>
              </w:rPr>
              <w:t xml:space="preserve"> sein</w:t>
            </w:r>
          </w:p>
        </w:tc>
      </w:tr>
      <w:tr>
        <w:tc>
          <w:tcPr>
            <w:tcW w:type="dxa" w:w="4762"/>
          </w:tcPr>
          <w:p>
            <w:pPr>
              <w:spacing w:after="0" w:line="252" w:lineRule="auto"/>
            </w:pPr>
            <w:r>
              <w:rPr>
                <w:b/>
                <w:sz w:val="17"/>
              </w:rPr>
              <w:t>Externer Artikel</w:t>
            </w:r>
          </w:p>
        </w:tc>
        <w:tc>
          <w:tcPr>
            <w:tcW w:type="dxa" w:w="4762"/>
          </w:tcPr>
          <w:p>
            <w:pPr>
              <w:spacing w:after="0" w:line="252" w:lineRule="auto"/>
            </w:pPr>
            <w:r>
              <w:rPr>
                <w:sz w:val="17"/>
              </w:rPr>
              <w:t>Nur am Mobilterminal (externe Lagerplätze) bearbeitbar, nicht am Touch-Client</w:t>
            </w:r>
          </w:p>
        </w:tc>
      </w:tr>
      <w:tr>
        <w:tc>
          <w:tcPr>
            <w:tcW w:type="dxa" w:w="4762"/>
          </w:tcPr>
          <w:p>
            <w:pPr>
              <w:spacing w:after="0" w:line="252" w:lineRule="auto"/>
            </w:pPr>
            <w:r>
              <w:rPr>
                <w:b/>
                <w:sz w:val="17"/>
              </w:rPr>
              <w:t>Ganze Verpackungsversion</w:t>
            </w:r>
          </w:p>
        </w:tc>
        <w:tc>
          <w:tcPr>
            <w:tcW w:type="dxa" w:w="4762"/>
          </w:tcPr>
          <w:p>
            <w:pPr>
              <w:spacing w:after="0" w:line="252" w:lineRule="auto"/>
            </w:pPr>
            <w:r>
              <w:rPr>
                <w:sz w:val="17"/>
              </w:rPr>
              <w:t>Reserviert immer die maximale Anzahl Verpackungen</w:t>
            </w:r>
          </w:p>
        </w:tc>
      </w:tr>
      <w:tr>
        <w:tc>
          <w:tcPr>
            <w:tcW w:type="dxa" w:w="4762"/>
          </w:tcPr>
          <w:p>
            <w:pPr>
              <w:spacing w:after="0" w:line="252" w:lineRule="auto"/>
            </w:pPr>
            <w:r>
              <w:rPr>
                <w:b/>
                <w:sz w:val="17"/>
              </w:rPr>
              <w:t>LogiDual deaktivieren</w:t>
            </w:r>
          </w:p>
        </w:tc>
        <w:tc>
          <w:tcPr>
            <w:tcW w:type="dxa" w:w="4762"/>
          </w:tcPr>
          <w:p>
            <w:pPr>
              <w:spacing w:after="0" w:line="252" w:lineRule="auto"/>
            </w:pPr>
            <w:r>
              <w:rPr>
                <w:sz w:val="17"/>
              </w:rPr>
              <w:t>Z. B. für hohe Artikel, die mit dem oberen Tablar kollidieren könnten</w:t>
            </w:r>
          </w:p>
        </w:tc>
      </w:tr>
      <w:tr>
        <w:tc>
          <w:tcPr>
            <w:tcW w:type="dxa" w:w="4762"/>
          </w:tcPr>
          <w:p>
            <w:pPr>
              <w:spacing w:after="0" w:line="252" w:lineRule="auto"/>
            </w:pPr>
            <w:r>
              <w:rPr>
                <w:b/>
                <w:sz w:val="17"/>
              </w:rPr>
              <w:t>Lagerreservierungsstrategie</w:t>
            </w:r>
          </w:p>
        </w:tc>
        <w:tc>
          <w:tcPr>
            <w:tcW w:type="dxa" w:w="4762"/>
          </w:tcPr>
          <w:p>
            <w:pPr>
              <w:spacing w:after="0" w:line="252" w:lineRule="auto"/>
            </w:pPr>
            <w:r>
              <w:rPr>
                <w:sz w:val="17"/>
              </w:rPr>
              <w:t>ABC, ASSIGNMENT, BALANCE, LOWEST_STOCK, OPERATIONS, STORAGE, TRANSPORT bzw. die Varianten für externe Plätze</w:t>
            </w:r>
          </w:p>
        </w:tc>
      </w:tr>
      <w:tr>
        <w:tc>
          <w:tcPr>
            <w:tcW w:type="dxa" w:w="4762"/>
          </w:tcPr>
          <w:p>
            <w:pPr>
              <w:spacing w:after="0" w:line="252" w:lineRule="auto"/>
            </w:pPr>
            <w:r>
              <w:rPr>
                <w:b/>
                <w:sz w:val="17"/>
              </w:rPr>
              <w:t>Bewegungseinstellungen</w:t>
            </w:r>
          </w:p>
        </w:tc>
        <w:tc>
          <w:tcPr>
            <w:tcW w:type="dxa" w:w="4762"/>
          </w:tcPr>
          <w:p>
            <w:pPr>
              <w:spacing w:after="0" w:line="252" w:lineRule="auto"/>
            </w:pPr>
            <w:r>
              <w:rPr>
                <w:sz w:val="17"/>
              </w:rPr>
              <w:t>Max. Geschwindigkeit, Beschleunigung und Verzögerung in %</w:t>
            </w:r>
          </w:p>
        </w:tc>
      </w:tr>
      <w:tr>
        <w:tc>
          <w:tcPr>
            <w:tcW w:type="dxa" w:w="4762"/>
          </w:tcPr>
          <w:p>
            <w:pPr>
              <w:spacing w:after="0" w:line="252" w:lineRule="auto"/>
            </w:pPr>
            <w:r>
              <w:rPr>
                <w:b/>
                <w:sz w:val="17"/>
              </w:rPr>
              <w:t>Etikett automatisch drucken</w:t>
            </w:r>
            <w:r>
              <w:rPr>
                <w:sz w:val="17"/>
              </w:rPr>
              <w:t xml:space="preserve">, </w:t>
            </w:r>
            <w:r>
              <w:rPr>
                <w:b/>
                <w:sz w:val="17"/>
              </w:rPr>
              <w:t>Drucken von Kommissionieretiketten</w:t>
            </w:r>
          </w:p>
        </w:tc>
        <w:tc>
          <w:tcPr>
            <w:tcW w:type="dxa" w:w="4762"/>
          </w:tcPr>
          <w:p>
            <w:pPr>
              <w:spacing w:after="0" w:line="252" w:lineRule="auto"/>
            </w:pPr>
            <w:r>
              <w:rPr>
                <w:sz w:val="17"/>
              </w:rPr>
              <w:t>Etikettendruck beim Kommissionieren (Bedarfsbezogen, Immer, Nie)</w:t>
            </w:r>
          </w:p>
        </w:tc>
      </w:tr>
      <w:tr>
        <w:tc>
          <w:tcPr>
            <w:tcW w:type="dxa" w:w="4762"/>
          </w:tcPr>
          <w:p>
            <w:pPr>
              <w:spacing w:after="0" w:line="252" w:lineRule="auto"/>
            </w:pPr>
            <w:r>
              <w:rPr>
                <w:b/>
                <w:sz w:val="17"/>
              </w:rPr>
              <w:t>Artikelzuordnung</w:t>
            </w:r>
          </w:p>
        </w:tc>
        <w:tc>
          <w:tcPr>
            <w:tcW w:type="dxa" w:w="4762"/>
          </w:tcPr>
          <w:p>
            <w:pPr>
              <w:spacing w:after="0" w:line="252" w:lineRule="auto"/>
            </w:pPr>
            <w:r>
              <w:rPr>
                <w:sz w:val="17"/>
              </w:rPr>
              <w:t>Je strategischem Lagerbereich: Zuordnungsmodus Standard, Float oder Fixiert und Priorität</w:t>
            </w:r>
          </w:p>
        </w:tc>
      </w:tr>
    </w:tbl>
    <w:p>
      <w:pPr>
        <w:pStyle w:val="BeschriftungSSI"/>
      </w:pPr>
      <w:r>
        <w:t>Tab. 7: Einstellungen auf „WLS Artikel“</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Große Artikel</w:t>
            </w:r>
          </w:p>
          <w:p>
            <w:pPr>
              <w:spacing w:after="40"/>
            </w:pPr>
            <w:r>
              <w:rPr>
                <w:sz w:val="19"/>
              </w:rPr>
              <w:t>Große Artikel können nicht an externen Lagerplätzen gelagert werden. Einlagerbedarfe für große Artikel können nicht am Mobilterminal bearbeitet werden.</w:t>
            </w:r>
          </w:p>
        </w:tc>
      </w:tr>
    </w:tbl>
    <w:p>
      <w:pPr>
        <w:spacing w:after="40"/>
      </w:pPr>
    </w:p>
    <w:p>
      <w:pPr>
        <w:pStyle w:val="Quelle"/>
      </w:pPr>
      <w:r>
        <w:rPr>
          <w:b/>
        </w:rPr>
        <w:t xml:space="preserve">Quelle: </w:t>
      </w:r>
      <w:r>
        <w:rPr>
          <w:sz w:val="17"/>
        </w:rPr>
        <w:t>Administratorhandbuch 2.7, Kap. 3.6.3.7 (S. 124–127)</w:t>
      </w:r>
    </w:p>
    <w:p>
      <w:pPr>
        <w:pStyle w:val="Heading2"/>
      </w:pPr>
      <w:r>
        <w:t>4.9 Vereinfachte Pflege (MD089)</w:t>
      </w:r>
    </w:p>
    <w:p>
      <w:r>
        <w:t xml:space="preserve">Für Artikel mit nur einer Verpackungsversion gibt es den Dialog </w:t>
      </w:r>
      <w:r>
        <w:rPr>
          <w:b/>
        </w:rPr>
        <w:t>MD089 Artikel pflegen (vereinfacht)</w:t>
      </w:r>
      <w:r>
        <w:t xml:space="preserve"> mit drei Registerkarten:</w:t>
      </w:r>
    </w:p>
    <w:p>
      <w:pPr>
        <w:tabs>
          <w:tab w:pos="425" w:val="left"/>
        </w:tabs>
        <w:spacing w:after="60"/>
        <w:ind w:left="425" w:hanging="425"/>
      </w:pPr>
      <w:r>
        <w:rPr>
          <w:b/>
        </w:rPr>
        <w:t>1.</w:t>
        <w:tab/>
      </w:r>
      <w:r>
        <w:rPr>
          <w:b/>
        </w:rPr>
        <w:t>Artikel</w:t>
      </w:r>
      <w:r>
        <w:t xml:space="preserve">: Bezeichnung, </w:t>
      </w:r>
      <w:r>
        <w:rPr>
          <w:b/>
        </w:rPr>
        <w:t>Artikeltyp</w:t>
      </w:r>
      <w:r>
        <w:t xml:space="preserve">, </w:t>
      </w:r>
      <w:r>
        <w:rPr>
          <w:b/>
        </w:rPr>
        <w:t>Warengruppe</w:t>
      </w:r>
      <w:r>
        <w:t xml:space="preserve">; im Bereich </w:t>
      </w:r>
      <w:r>
        <w:rPr>
          <w:b/>
        </w:rPr>
        <w:t>Verpackungsversion</w:t>
      </w:r>
      <w:r>
        <w:t xml:space="preserve"> die </w:t>
      </w:r>
      <w:r>
        <w:rPr>
          <w:b/>
        </w:rPr>
        <w:t>Basismengeneinheit</w:t>
      </w:r>
      <w:r>
        <w:t xml:space="preserve"> wählen, Zeile anlegen, Mengeneinheit wählen und über </w:t>
      </w:r>
      <w:r>
        <w:rPr>
          <w:b/>
        </w:rPr>
        <w:t>Datensatz bearbeiten</w:t>
      </w:r>
      <w:r>
        <w:t xml:space="preserve"> (MD038) Abmessungen, Bruttogewicht und Kubatur pflegen. Für mindestens eine Einheit </w:t>
      </w:r>
      <w:r>
        <w:rPr>
          <w:b/>
        </w:rPr>
        <w:t>Lagermengeneinheit</w:t>
      </w:r>
      <w:r>
        <w:t xml:space="preserve"> aktivieren. Zusätzlich zeitbezogener Zugriff, BIA, </w:t>
      </w:r>
      <w:r>
        <w:rPr>
          <w:b/>
        </w:rPr>
        <w:t>Standard-Ladehilfsmittel</w:t>
      </w:r>
      <w:r>
        <w:t xml:space="preserve"> und </w:t>
      </w:r>
      <w:r>
        <w:rPr>
          <w:b/>
        </w:rPr>
        <w:t>Hauptsystempartner</w:t>
      </w:r>
      <w:r>
        <w:t>.</w:t>
      </w:r>
    </w:p>
    <w:p>
      <w:pPr>
        <w:tabs>
          <w:tab w:pos="425" w:val="left"/>
        </w:tabs>
        <w:spacing w:after="60"/>
        <w:ind w:left="425" w:hanging="425"/>
      </w:pPr>
      <w:r>
        <w:rPr>
          <w:b/>
        </w:rPr>
        <w:t>2.</w:t>
        <w:tab/>
      </w:r>
      <w:r>
        <w:rPr>
          <w:b/>
        </w:rPr>
        <w:t>Artikel-Alias</w:t>
      </w:r>
      <w:r>
        <w:t>: wie in Kapitel 4.5.</w:t>
      </w:r>
    </w:p>
    <w:p>
      <w:pPr>
        <w:tabs>
          <w:tab w:pos="425" w:val="left"/>
        </w:tabs>
        <w:spacing w:after="60"/>
        <w:ind w:left="425" w:hanging="425"/>
      </w:pPr>
      <w:r>
        <w:rPr>
          <w:b/>
        </w:rPr>
        <w:t>3.</w:t>
        <w:tab/>
      </w:r>
      <w:r>
        <w:rPr>
          <w:b/>
        </w:rPr>
        <w:t>WLS Artikel</w:t>
      </w:r>
      <w:r>
        <w:t>: wie in Kapitel 4.8.</w:t>
      </w:r>
    </w:p>
    <w:p>
      <w:pPr>
        <w:pStyle w:val="Quelle"/>
      </w:pPr>
      <w:r>
        <w:rPr>
          <w:b/>
        </w:rPr>
        <w:t xml:space="preserve">Quelle: </w:t>
      </w:r>
      <w:r>
        <w:rPr>
          <w:sz w:val="17"/>
        </w:rPr>
        <w:t>Administratorhandbuch 2.7, Kap. 3.6.5 (S. 127–133)</w:t>
      </w:r>
    </w:p>
    <w:p>
      <w:pPr>
        <w:pStyle w:val="Heading2"/>
      </w:pPr>
      <w:r>
        <w:t>4.10 Boxtyp-Zuordnung (wo darf der Artikel liegen?)</w:t>
      </w:r>
    </w:p>
    <w:p>
      <w:r>
        <w:t>Damit ein Artikel in einer Box des SSI LOGIMAT eingelagert werden kann, braucht er eine Zuordnung zu einem Boxtyp:</w:t>
      </w:r>
    </w:p>
    <w:p>
      <w:pPr>
        <w:tabs>
          <w:tab w:pos="425" w:val="left"/>
        </w:tabs>
        <w:spacing w:after="60"/>
        <w:ind w:left="425" w:hanging="425"/>
      </w:pPr>
      <w:r>
        <w:rPr>
          <w:b/>
        </w:rPr>
        <w:t>1.</w:t>
        <w:tab/>
      </w:r>
      <w:r>
        <w:t xml:space="preserve">Dialog </w:t>
      </w:r>
      <w:r>
        <w:rPr>
          <w:b/>
        </w:rPr>
        <w:t>LM084 Zuordnung Boxtyp pflegen</w:t>
      </w:r>
      <w:r>
        <w:t xml:space="preserve"> öffnen → </w:t>
      </w:r>
      <w:r>
        <w:rPr>
          <w:b/>
        </w:rPr>
        <w:t>Datensatz anlegen</w:t>
      </w:r>
      <w:r>
        <w:t>.</w:t>
      </w:r>
    </w:p>
    <w:p>
      <w:pPr>
        <w:tabs>
          <w:tab w:pos="425" w:val="left"/>
        </w:tabs>
        <w:spacing w:after="60"/>
        <w:ind w:left="425" w:hanging="425"/>
      </w:pPr>
      <w:r>
        <w:rPr>
          <w:b/>
        </w:rPr>
        <w:t>2.</w:t>
        <w:tab/>
      </w:r>
      <w:r>
        <w:rPr>
          <w:b/>
        </w:rPr>
        <w:t>Verpackungsversion</w:t>
      </w:r>
      <w:r>
        <w:t xml:space="preserve"> des Artikels und </w:t>
      </w:r>
      <w:r>
        <w:rPr>
          <w:b/>
        </w:rPr>
        <w:t>Boxtyp</w:t>
      </w:r>
      <w:r>
        <w:t xml:space="preserve"> wählen.</w:t>
      </w:r>
    </w:p>
    <w:p>
      <w:pPr>
        <w:tabs>
          <w:tab w:pos="425" w:val="left"/>
        </w:tabs>
        <w:spacing w:after="60"/>
        <w:ind w:left="425" w:hanging="425"/>
      </w:pPr>
      <w:r>
        <w:rPr>
          <w:b/>
        </w:rPr>
        <w:t>3.</w:t>
        <w:tab/>
      </w:r>
      <w:r>
        <w:rPr>
          <w:b/>
        </w:rPr>
        <w:t># Basismengeneinheiten (max.)</w:t>
      </w:r>
      <w:r>
        <w:t xml:space="preserve"> bzw. </w:t>
      </w:r>
      <w:r>
        <w:rPr>
          <w:b/>
        </w:rPr>
        <w:t># LME (max.)</w:t>
      </w:r>
      <w:r>
        <w:t xml:space="preserve"> oder </w:t>
      </w:r>
      <w:r>
        <w:rPr>
          <w:b/>
        </w:rPr>
        <w:t>Unbegrenzt</w:t>
      </w:r>
      <w:r>
        <w:t xml:space="preserve"> angeben.</w:t>
      </w:r>
    </w:p>
    <w:p>
      <w:pPr>
        <w:tabs>
          <w:tab w:pos="425" w:val="left"/>
        </w:tabs>
        <w:spacing w:after="60"/>
        <w:ind w:left="425" w:hanging="425"/>
      </w:pPr>
      <w:r>
        <w:rPr>
          <w:b/>
        </w:rPr>
        <w:t>4.</w:t>
        <w:tab/>
      </w:r>
      <w:r>
        <w:rPr>
          <w:b/>
        </w:rPr>
        <w:t>Stammdatenstatus</w:t>
      </w:r>
      <w:r>
        <w:t xml:space="preserve"> wählen und </w:t>
      </w:r>
      <w:r>
        <w:rPr>
          <w:b/>
        </w:rPr>
        <w:t>Speichern</w:t>
      </w:r>
      <w:r>
        <w:t>.</w:t>
      </w:r>
    </w:p>
    <w:p>
      <w:r>
        <w:t xml:space="preserve">Alternativ: Über </w:t>
      </w:r>
      <w:r>
        <w:rPr>
          <w:b/>
        </w:rPr>
        <w:t>LM144 Warengruppe-zu-Boxtyp-Zuordnung pflegen</w:t>
      </w:r>
      <w:r>
        <w:t xml:space="preserve"> erhalten alle neuen Artikel einer Warengruppe automatisch eine Zuordnung. Am Touch-Client erfolgt die Zuordnung über </w:t>
      </w:r>
      <w:r>
        <w:rPr>
          <w:b/>
        </w:rPr>
        <w:t>LM012</w:t>
      </w:r>
      <w:r>
        <w:t xml:space="preserve"> (Kapitel 5.3).</w:t>
      </w:r>
    </w:p>
    <w:p>
      <w:pPr>
        <w:pStyle w:val="Quelle"/>
      </w:pPr>
      <w:r>
        <w:rPr>
          <w:b/>
        </w:rPr>
        <w:t xml:space="preserve">Quelle: </w:t>
      </w:r>
      <w:r>
        <w:rPr>
          <w:sz w:val="17"/>
        </w:rPr>
        <w:t>Administratorhandbuch 2.7, Kap. 3.1.7–3.1.8 (S. 21–22)</w:t>
      </w:r>
    </w:p>
    <w:p>
      <w:pPr>
        <w:pStyle w:val="Heading2"/>
      </w:pPr>
      <w:r>
        <w:t>4.11 Zusammenfassung: Pflicht- und Kannfelder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87"/>
        <w:gridCol w:w="2642"/>
        <w:gridCol w:w="3195"/>
      </w:tblGrid>
      <w:tr>
        <w:trPr>
          <w:tblHeader w:val="true"/>
        </w:trPr>
        <w:tc>
          <w:tcPr>
            <w:tcW w:type="dxa" w:w="3687"/>
            <w:shd w:val="clear" w:color="auto" w:fill="FEEE19"/>
          </w:tcPr>
          <w:p>
            <w:pPr>
              <w:spacing w:after="0"/>
            </w:pPr>
            <w:r>
              <w:rPr>
                <w:b/>
                <w:sz w:val="17"/>
              </w:rPr>
              <w:t>Pflicht</w:t>
            </w:r>
          </w:p>
        </w:tc>
        <w:tc>
          <w:tcPr>
            <w:tcW w:type="dxa" w:w="2642"/>
            <w:shd w:val="clear" w:color="auto" w:fill="FEEE19"/>
          </w:tcPr>
          <w:p>
            <w:pPr>
              <w:spacing w:after="0"/>
            </w:pPr>
            <w:r>
              <w:rPr>
                <w:b/>
                <w:sz w:val="17"/>
              </w:rPr>
              <w:t>Empfohlen</w:t>
            </w:r>
          </w:p>
        </w:tc>
        <w:tc>
          <w:tcPr>
            <w:tcW w:type="dxa" w:w="3195"/>
            <w:shd w:val="clear" w:color="auto" w:fill="FEEE19"/>
          </w:tcPr>
          <w:p>
            <w:pPr>
              <w:spacing w:after="0"/>
            </w:pPr>
            <w:r>
              <w:rPr>
                <w:b/>
                <w:sz w:val="17"/>
              </w:rPr>
              <w:t>Optional</w:t>
            </w:r>
          </w:p>
        </w:tc>
      </w:tr>
      <w:tr>
        <w:tc>
          <w:tcPr>
            <w:tcW w:type="dxa" w:w="3687"/>
          </w:tcPr>
          <w:p>
            <w:pPr>
              <w:spacing w:after="0" w:line="252" w:lineRule="auto"/>
            </w:pPr>
            <w:r>
              <w:rPr>
                <w:sz w:val="17"/>
              </w:rPr>
              <w:t>Klient, Artikelnummer, Variante</w:t>
            </w:r>
          </w:p>
        </w:tc>
        <w:tc>
          <w:tcPr>
            <w:tcW w:type="dxa" w:w="2642"/>
          </w:tcPr>
          <w:p>
            <w:pPr>
              <w:spacing w:after="0" w:line="252" w:lineRule="auto"/>
            </w:pPr>
            <w:r>
              <w:rPr>
                <w:sz w:val="17"/>
              </w:rPr>
              <w:t>Bezeichnung 1</w:t>
            </w:r>
          </w:p>
        </w:tc>
        <w:tc>
          <w:tcPr>
            <w:tcW w:type="dxa" w:w="3195"/>
          </w:tcPr>
          <w:p>
            <w:pPr>
              <w:spacing w:after="0" w:line="252" w:lineRule="auto"/>
            </w:pPr>
            <w:r>
              <w:rPr>
                <w:sz w:val="17"/>
              </w:rPr>
              <w:t>Bezeichnung 2, Sortiment, Warengruppe, Artikelklasse</w:t>
            </w:r>
          </w:p>
        </w:tc>
      </w:tr>
      <w:tr>
        <w:tc>
          <w:tcPr>
            <w:tcW w:type="dxa" w:w="3687"/>
          </w:tcPr>
          <w:p>
            <w:pPr>
              <w:spacing w:after="0" w:line="252" w:lineRule="auto"/>
            </w:pPr>
            <w:r>
              <w:rPr>
                <w:sz w:val="17"/>
              </w:rPr>
              <w:t>Basismengeneinheit</w:t>
            </w:r>
          </w:p>
        </w:tc>
        <w:tc>
          <w:tcPr>
            <w:tcW w:type="dxa" w:w="2642"/>
          </w:tcPr>
          <w:p>
            <w:pPr>
              <w:spacing w:after="0" w:line="252" w:lineRule="auto"/>
            </w:pPr>
            <w:r>
              <w:rPr>
                <w:sz w:val="17"/>
              </w:rPr>
              <w:t>Abmessungen und Bruttogewicht der Einheiten</w:t>
            </w:r>
          </w:p>
        </w:tc>
        <w:tc>
          <w:tcPr>
            <w:tcW w:type="dxa" w:w="3195"/>
          </w:tcPr>
          <w:p>
            <w:pPr>
              <w:spacing w:after="0" w:line="252" w:lineRule="auto"/>
            </w:pPr>
            <w:r>
              <w:rPr>
                <w:sz w:val="17"/>
              </w:rPr>
              <w:t>Zolltarifnummer, Herkunftsland, Warenwert</w:t>
            </w:r>
          </w:p>
        </w:tc>
      </w:tr>
      <w:tr>
        <w:tc>
          <w:tcPr>
            <w:tcW w:type="dxa" w:w="3687"/>
          </w:tcPr>
          <w:p>
            <w:pPr>
              <w:spacing w:after="0" w:line="252" w:lineRule="auto"/>
            </w:pPr>
            <w:r>
              <w:rPr>
                <w:sz w:val="17"/>
              </w:rPr>
              <w:t>Artikeltyp</w:t>
            </w:r>
          </w:p>
        </w:tc>
        <w:tc>
          <w:tcPr>
            <w:tcW w:type="dxa" w:w="2642"/>
          </w:tcPr>
          <w:p>
            <w:pPr>
              <w:spacing w:after="0" w:line="252" w:lineRule="auto"/>
            </w:pPr>
            <w:r>
              <w:rPr>
                <w:sz w:val="17"/>
              </w:rPr>
              <w:t>GTIN je Verpackungsstufe</w:t>
            </w:r>
          </w:p>
        </w:tc>
        <w:tc>
          <w:tcPr>
            <w:tcW w:type="dxa" w:w="3195"/>
          </w:tcPr>
          <w:p>
            <w:pPr>
              <w:spacing w:after="0" w:line="252" w:lineRule="auto"/>
            </w:pPr>
            <w:r>
              <w:rPr>
                <w:sz w:val="17"/>
              </w:rPr>
              <w:t>ABC-Wert, Stapelattribute, Bilder</w:t>
            </w:r>
          </w:p>
        </w:tc>
      </w:tr>
      <w:tr>
        <w:tc>
          <w:tcPr>
            <w:tcW w:type="dxa" w:w="3687"/>
          </w:tcPr>
          <w:p>
            <w:pPr>
              <w:spacing w:after="0" w:line="252" w:lineRule="auto"/>
            </w:pPr>
            <w:r>
              <w:rPr>
                <w:sz w:val="17"/>
              </w:rPr>
              <w:t>Hauptsystempartner</w:t>
            </w:r>
          </w:p>
        </w:tc>
        <w:tc>
          <w:tcPr>
            <w:tcW w:type="dxa" w:w="2642"/>
          </w:tcPr>
          <w:p>
            <w:pPr>
              <w:spacing w:after="0" w:line="252" w:lineRule="auto"/>
            </w:pPr>
            <w:r>
              <w:rPr>
                <w:sz w:val="17"/>
              </w:rPr>
              <w:t>BIA-Einstellungen (Charge, MHD)</w:t>
            </w:r>
          </w:p>
        </w:tc>
        <w:tc>
          <w:tcPr>
            <w:tcW w:type="dxa" w:w="3195"/>
          </w:tcPr>
          <w:p>
            <w:pPr>
              <w:spacing w:after="0" w:line="252" w:lineRule="auto"/>
            </w:pPr>
            <w:r>
              <w:rPr>
                <w:sz w:val="17"/>
              </w:rPr>
              <w:t>Dualartikel, Seriennummer</w:t>
            </w:r>
          </w:p>
        </w:tc>
      </w:tr>
      <w:tr>
        <w:tc>
          <w:tcPr>
            <w:tcW w:type="dxa" w:w="3687"/>
          </w:tcPr>
          <w:p>
            <w:pPr>
              <w:spacing w:after="0" w:line="252" w:lineRule="auto"/>
            </w:pPr>
            <w:r>
              <w:rPr>
                <w:sz w:val="17"/>
              </w:rPr>
              <w:t>Mind. eine Verpackungsversion (Standard) mit Lagermengeneinheit</w:t>
            </w:r>
          </w:p>
        </w:tc>
        <w:tc>
          <w:tcPr>
            <w:tcW w:type="dxa" w:w="2642"/>
          </w:tcPr>
          <w:p>
            <w:pPr>
              <w:spacing w:after="0" w:line="252" w:lineRule="auto"/>
            </w:pPr>
            <w:r>
              <w:rPr>
                <w:sz w:val="17"/>
              </w:rPr>
              <w:t>Boxtyp-Zuordnung</w:t>
            </w:r>
          </w:p>
        </w:tc>
        <w:tc>
          <w:tcPr>
            <w:tcW w:type="dxa" w:w="3195"/>
          </w:tcPr>
          <w:p>
            <w:pPr>
              <w:spacing w:after="0" w:line="252" w:lineRule="auto"/>
            </w:pPr>
            <w:r>
              <w:rPr>
                <w:sz w:val="17"/>
              </w:rPr>
              <w:t>Strategie, Bewegungseinstellungen</w:t>
            </w:r>
          </w:p>
        </w:tc>
      </w:tr>
    </w:tbl>
    <w:p>
      <w:pPr>
        <w:pStyle w:val="BeschriftungSSI"/>
      </w:pPr>
      <w:r>
        <w:t>Tab. 8: Pflicht- und Kannfelder (Zusammenfassung)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Variante leer oder „0“?</w:t>
            </w:r>
          </w:p>
          <w:p>
            <w:pPr>
              <w:spacing w:after="40"/>
            </w:pPr>
            <w:r>
              <w:rPr>
                <w:sz w:val="19"/>
              </w:rPr>
              <w:t xml:space="preserve">Das Handbuch nennt die Variante als Teil des Schlüssels. Ob sie leer bleiben darf, ist nicht beschrieben; die Beispieldateien von SSI SCHÄFER verwenden </w:t>
            </w:r>
            <w:r>
              <w:rPr>
                <w:rFonts w:ascii="Consolas" w:hAnsi="Consolas" w:cs="Consolas" w:eastAsia="Consolas"/>
                <w:sz w:val="17"/>
              </w:rPr>
              <w:t>0</w:t>
            </w:r>
            <w:r>
              <w:rPr>
                <w:sz w:val="19"/>
              </w:rPr>
              <w:t>. Legen Sie eine einheitliche Regel fest und prüfen Sie sie im System.</w:t>
            </w:r>
          </w:p>
        </w:tc>
      </w:tr>
    </w:tbl>
    <w:p>
      <w:pPr>
        <w:spacing w:after="40"/>
      </w:pPr>
    </w:p>
    <w:p>
      <w:pPr>
        <w:pStyle w:val="Heading1"/>
      </w:pPr>
      <w:r>
        <w:t>5 Artikel am Touch-Client anlegen</w:t>
      </w:r>
    </w:p>
    <w:p>
      <w:pPr>
        <w:pStyle w:val="Heading2"/>
      </w:pPr>
      <w:r>
        <w:t>5.1 Artikel pflegen (LM007 / LM011)</w:t>
      </w:r>
    </w:p>
    <w:p>
      <w:pPr>
        <w:tabs>
          <w:tab w:pos="425" w:val="left"/>
        </w:tabs>
        <w:spacing w:after="60"/>
        <w:ind w:left="425" w:hanging="425"/>
      </w:pPr>
      <w:r>
        <w:rPr>
          <w:b/>
        </w:rPr>
        <w:t>1.</w:t>
        <w:tab/>
      </w:r>
      <w:r>
        <w:t xml:space="preserve">In der Menüleiste auf </w:t>
      </w:r>
      <w:r>
        <w:rPr>
          <w:b/>
        </w:rPr>
        <w:t>Tools anzeigen</w:t>
      </w:r>
      <w:r>
        <w:t xml:space="preserve"> tippen und </w:t>
      </w:r>
      <w:r>
        <w:rPr>
          <w:b/>
        </w:rPr>
        <w:t>LM007 Übersicht Artikel</w:t>
      </w:r>
      <w:r>
        <w:t xml:space="preserve"> wählen.</w:t>
      </w:r>
    </w:p>
    <w:p>
      <w:pPr>
        <w:tabs>
          <w:tab w:pos="425" w:val="left"/>
        </w:tabs>
        <w:spacing w:after="60"/>
        <w:ind w:left="425" w:hanging="425"/>
      </w:pPr>
      <w:r>
        <w:rPr>
          <w:b/>
        </w:rPr>
        <w:t>2.</w:t>
        <w:tab/>
      </w:r>
      <w:r>
        <w:t xml:space="preserve">Neuer Artikel: Icon </w:t>
      </w:r>
      <w:r>
        <w:rPr>
          <w:b/>
        </w:rPr>
        <w:t>Artikel anlegen</w:t>
      </w:r>
      <w:r>
        <w:t xml:space="preserve"> → </w:t>
      </w:r>
      <w:r>
        <w:rPr>
          <w:b/>
        </w:rPr>
        <w:t>LM011 Artikel pflegen</w:t>
      </w:r>
      <w:r>
        <w:t xml:space="preserve"> öffnet sich.</w:t>
      </w:r>
    </w:p>
    <w:p>
      <w:pPr>
        <w:tabs>
          <w:tab w:pos="425" w:val="left"/>
        </w:tabs>
        <w:spacing w:after="60"/>
        <w:ind w:left="425" w:hanging="425"/>
      </w:pPr>
      <w:r>
        <w:rPr>
          <w:b/>
        </w:rPr>
        <w:t>3.</w:t>
        <w:tab/>
      </w:r>
      <w:r>
        <w:t xml:space="preserve">Bestehender Artikel: </w:t>
      </w:r>
      <w:r>
        <w:rPr>
          <w:b/>
        </w:rPr>
        <w:t>Suche</w:t>
      </w:r>
      <w:r>
        <w:t xml:space="preserve"> → Artikel wählen → </w:t>
      </w:r>
      <w:r>
        <w:rPr>
          <w:b/>
        </w:rPr>
        <w:t>Artikel bearbeiten</w:t>
      </w:r>
      <w:r>
        <w:t>.</w:t>
      </w:r>
    </w:p>
    <w:p>
      <w:pPr>
        <w:tabs>
          <w:tab w:pos="425" w:val="left"/>
        </w:tabs>
        <w:spacing w:after="60"/>
        <w:ind w:left="425" w:hanging="425"/>
      </w:pPr>
      <w:r>
        <w:rPr>
          <w:b/>
        </w:rPr>
        <w:t>4.</w:t>
        <w:tab/>
      </w:r>
      <w:r>
        <w:t xml:space="preserve">Registerkarten bearbeiten und </w:t>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93"/>
        <w:gridCol w:w="5832"/>
      </w:tblGrid>
      <w:tr>
        <w:trPr>
          <w:tblHeader w:val="true"/>
        </w:trPr>
        <w:tc>
          <w:tcPr>
            <w:tcW w:type="dxa" w:w="3693"/>
            <w:shd w:val="clear" w:color="auto" w:fill="FEEE19"/>
          </w:tcPr>
          <w:p>
            <w:pPr>
              <w:spacing w:after="0"/>
            </w:pPr>
            <w:r>
              <w:rPr>
                <w:b/>
                <w:sz w:val="17"/>
              </w:rPr>
              <w:t>Registerkarte</w:t>
            </w:r>
          </w:p>
        </w:tc>
        <w:tc>
          <w:tcPr>
            <w:tcW w:type="dxa" w:w="5831"/>
            <w:shd w:val="clear" w:color="auto" w:fill="FEEE19"/>
          </w:tcPr>
          <w:p>
            <w:pPr>
              <w:spacing w:after="0"/>
            </w:pPr>
            <w:r>
              <w:rPr>
                <w:b/>
                <w:sz w:val="17"/>
              </w:rPr>
              <w:t>Inhalt</w:t>
            </w:r>
          </w:p>
        </w:tc>
      </w:tr>
      <w:tr>
        <w:tc>
          <w:tcPr>
            <w:tcW w:type="dxa" w:w="3693"/>
          </w:tcPr>
          <w:p>
            <w:pPr>
              <w:spacing w:after="0" w:line="252" w:lineRule="auto"/>
            </w:pPr>
            <w:r>
              <w:rPr>
                <w:b/>
                <w:sz w:val="17"/>
              </w:rPr>
              <w:t>Artikel</w:t>
            </w:r>
          </w:p>
        </w:tc>
        <w:tc>
          <w:tcPr>
            <w:tcW w:type="dxa" w:w="5831"/>
          </w:tcPr>
          <w:p>
            <w:pPr>
              <w:spacing w:after="0" w:line="252" w:lineRule="auto"/>
            </w:pPr>
            <w:r>
              <w:rPr>
                <w:sz w:val="17"/>
              </w:rPr>
              <w:t xml:space="preserve">Klient, Artikelnummer, Variante, Bezeichnungen; </w:t>
            </w:r>
            <w:r>
              <w:rPr>
                <w:b/>
                <w:sz w:val="17"/>
              </w:rPr>
              <w:t>Basismengeneinheit</w:t>
            </w:r>
            <w:r>
              <w:rPr>
                <w:sz w:val="17"/>
              </w:rPr>
              <w:t xml:space="preserve">, </w:t>
            </w:r>
            <w:r>
              <w:rPr>
                <w:b/>
                <w:sz w:val="17"/>
              </w:rPr>
              <w:t>Artikeltyp</w:t>
            </w:r>
            <w:r>
              <w:rPr>
                <w:sz w:val="17"/>
              </w:rPr>
              <w:t xml:space="preserve">, </w:t>
            </w:r>
            <w:r>
              <w:rPr>
                <w:b/>
                <w:sz w:val="17"/>
              </w:rPr>
              <w:t>Hauptsystempartner</w:t>
            </w:r>
            <w:r>
              <w:rPr>
                <w:sz w:val="17"/>
              </w:rPr>
              <w:t xml:space="preserve">, </w:t>
            </w:r>
            <w:r>
              <w:rPr>
                <w:b/>
                <w:sz w:val="17"/>
              </w:rPr>
              <w:t>Warengruppe</w:t>
            </w:r>
            <w:r>
              <w:rPr>
                <w:sz w:val="17"/>
              </w:rPr>
              <w:t xml:space="preserve">, </w:t>
            </w:r>
            <w:r>
              <w:rPr>
                <w:b/>
                <w:sz w:val="17"/>
              </w:rPr>
              <w:t>Teillagermenge erlauben</w:t>
            </w:r>
            <w:r>
              <w:rPr>
                <w:sz w:val="17"/>
              </w:rPr>
              <w:t xml:space="preserve">, </w:t>
            </w:r>
            <w:r>
              <w:rPr>
                <w:b/>
                <w:sz w:val="17"/>
              </w:rPr>
              <w:t>Großer Artikel</w:t>
            </w:r>
            <w:r>
              <w:rPr>
                <w:sz w:val="17"/>
              </w:rPr>
              <w:t xml:space="preserve">, Gleichwertigkeitsdauer; Bewegungseinstellungen (Kippen, Geschwindigkeiten); Warenausgang (Etikett, Seriennummer); </w:t>
            </w:r>
            <w:r>
              <w:rPr>
                <w:b/>
                <w:sz w:val="17"/>
              </w:rPr>
              <w:t>LogiDrive</w:t>
            </w:r>
          </w:p>
        </w:tc>
      </w:tr>
      <w:tr>
        <w:tc>
          <w:tcPr>
            <w:tcW w:type="dxa" w:w="3693"/>
          </w:tcPr>
          <w:p>
            <w:pPr>
              <w:spacing w:after="0" w:line="252" w:lineRule="auto"/>
            </w:pPr>
            <w:r>
              <w:rPr>
                <w:b/>
                <w:sz w:val="17"/>
              </w:rPr>
              <w:t>Verpackungsversion</w:t>
            </w:r>
          </w:p>
        </w:tc>
        <w:tc>
          <w:tcPr>
            <w:tcW w:type="dxa" w:w="5831"/>
          </w:tcPr>
          <w:p>
            <w:pPr>
              <w:spacing w:after="0" w:line="252" w:lineRule="auto"/>
            </w:pPr>
            <w:r>
              <w:rPr>
                <w:b/>
                <w:sz w:val="17"/>
              </w:rPr>
              <w:t>Hinzufügen</w:t>
            </w:r>
            <w:r>
              <w:rPr>
                <w:sz w:val="17"/>
              </w:rPr>
              <w:t xml:space="preserve"> → </w:t>
            </w:r>
            <w:r>
              <w:rPr>
                <w:b/>
                <w:sz w:val="17"/>
              </w:rPr>
              <w:t>LM102</w:t>
            </w:r>
            <w:r>
              <w:rPr>
                <w:sz w:val="17"/>
              </w:rPr>
              <w:t xml:space="preserve">: Lagermengeneinheit, Bruttogewicht, </w:t>
            </w:r>
            <w:r>
              <w:rPr>
                <w:b/>
                <w:sz w:val="17"/>
              </w:rPr>
              <w:t>Standard</w:t>
            </w:r>
            <w:r>
              <w:rPr>
                <w:sz w:val="17"/>
              </w:rPr>
              <w:t xml:space="preserve">; dann </w:t>
            </w:r>
            <w:r>
              <w:rPr>
                <w:b/>
                <w:sz w:val="17"/>
              </w:rPr>
              <w:t>LM103 Artikelmengeneinheit pflegen</w:t>
            </w:r>
            <w:r>
              <w:rPr>
                <w:sz w:val="17"/>
              </w:rPr>
              <w:t>: Nenner, Mengeneinheit, Zähler, Referenzeinheit, Gewicht, Länge, Breite, Höhe; optional Gewicht über die Waage (</w:t>
            </w:r>
            <w:r>
              <w:rPr>
                <w:b/>
                <w:sz w:val="17"/>
              </w:rPr>
              <w:t>LM138</w:t>
            </w:r>
            <w:r>
              <w:rPr>
                <w:sz w:val="17"/>
              </w:rPr>
              <w:t xml:space="preserve">); </w:t>
            </w:r>
            <w:r>
              <w:rPr>
                <w:b/>
                <w:sz w:val="17"/>
              </w:rPr>
              <w:t>Boxtypen zuordnen</w:t>
            </w:r>
            <w:r>
              <w:rPr>
                <w:sz w:val="17"/>
              </w:rPr>
              <w:t xml:space="preserve"> (</w:t>
            </w:r>
            <w:r>
              <w:rPr>
                <w:b/>
                <w:sz w:val="17"/>
              </w:rPr>
              <w:t>LM012</w:t>
            </w:r>
            <w:r>
              <w:rPr>
                <w:sz w:val="17"/>
              </w:rPr>
              <w:t>)</w:t>
            </w:r>
          </w:p>
        </w:tc>
      </w:tr>
      <w:tr>
        <w:tc>
          <w:tcPr>
            <w:tcW w:type="dxa" w:w="3693"/>
          </w:tcPr>
          <w:p>
            <w:pPr>
              <w:spacing w:after="0" w:line="252" w:lineRule="auto"/>
            </w:pPr>
            <w:r>
              <w:rPr>
                <w:b/>
                <w:sz w:val="17"/>
              </w:rPr>
              <w:t>Artikel-Aliasse</w:t>
            </w:r>
          </w:p>
        </w:tc>
        <w:tc>
          <w:tcPr>
            <w:tcW w:type="dxa" w:w="5831"/>
          </w:tcPr>
          <w:p>
            <w:pPr>
              <w:spacing w:after="0" w:line="252" w:lineRule="auto"/>
            </w:pPr>
            <w:r>
              <w:rPr>
                <w:b/>
                <w:sz w:val="17"/>
              </w:rPr>
              <w:t>LM105</w:t>
            </w:r>
            <w:r>
              <w:rPr>
                <w:sz w:val="17"/>
              </w:rPr>
              <w:t>: Mengeneinheit und eindeutige Aliasnummer</w:t>
            </w:r>
          </w:p>
        </w:tc>
      </w:tr>
      <w:tr>
        <w:tc>
          <w:tcPr>
            <w:tcW w:type="dxa" w:w="3693"/>
          </w:tcPr>
          <w:p>
            <w:pPr>
              <w:spacing w:after="0" w:line="252" w:lineRule="auto"/>
            </w:pPr>
            <w:r>
              <w:rPr>
                <w:b/>
                <w:sz w:val="17"/>
              </w:rPr>
              <w:t>Artikelzuordnung</w:t>
            </w:r>
          </w:p>
        </w:tc>
        <w:tc>
          <w:tcPr>
            <w:tcW w:type="dxa" w:w="5831"/>
          </w:tcPr>
          <w:p>
            <w:pPr>
              <w:spacing w:after="0" w:line="252" w:lineRule="auto"/>
            </w:pPr>
            <w:r>
              <w:rPr>
                <w:b/>
                <w:sz w:val="17"/>
              </w:rPr>
              <w:t>LM104</w:t>
            </w:r>
            <w:r>
              <w:rPr>
                <w:sz w:val="17"/>
              </w:rPr>
              <w:t>: FIXIERT, FLOAT oder STANDARD je strategischem Lagerbereich, Priorität</w:t>
            </w:r>
          </w:p>
        </w:tc>
      </w:tr>
      <w:tr>
        <w:tc>
          <w:tcPr>
            <w:tcW w:type="dxa" w:w="3693"/>
          </w:tcPr>
          <w:p>
            <w:pPr>
              <w:spacing w:after="0" w:line="252" w:lineRule="auto"/>
            </w:pPr>
            <w:r>
              <w:rPr>
                <w:b/>
                <w:sz w:val="17"/>
              </w:rPr>
              <w:t>Bestandsidentifizierendes Attribut</w:t>
            </w:r>
          </w:p>
        </w:tc>
        <w:tc>
          <w:tcPr>
            <w:tcW w:type="dxa" w:w="5831"/>
          </w:tcPr>
          <w:p>
            <w:pPr>
              <w:spacing w:after="0" w:line="252" w:lineRule="auto"/>
            </w:pPr>
            <w:r>
              <w:rPr>
                <w:sz w:val="17"/>
              </w:rPr>
              <w:t>MHD, Charge, Produktionsdatum, ABIA: Obligatorisch, Optional oder Nicht anwendbar</w:t>
            </w:r>
          </w:p>
        </w:tc>
      </w:tr>
    </w:tbl>
    <w:p>
      <w:pPr>
        <w:pStyle w:val="BeschriftungSSI"/>
      </w:pPr>
      <w:r>
        <w:t>Tab. 9: Registerkarten in LM011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[2.8] Suchergebnis begrenzt</w:t>
            </w:r>
          </w:p>
          <w:p>
            <w:pPr>
              <w:spacing w:after="40"/>
            </w:pPr>
            <w:r>
              <w:rPr>
                <w:sz w:val="19"/>
              </w:rPr>
              <w:t xml:space="preserve">In 2.8 zeigt </w:t>
            </w:r>
            <w:r>
              <w:rPr>
                <w:b/>
                <w:sz w:val="19"/>
              </w:rPr>
              <w:t>LM007</w:t>
            </w:r>
            <w:r>
              <w:rPr>
                <w:sz w:val="19"/>
              </w:rPr>
              <w:t xml:space="preserve"> höchstens 50 Treffer. Schränken Sie die Suche ein (Platzhalter </w:t>
            </w:r>
            <w:r>
              <w:rPr>
                <w:rFonts w:ascii="Consolas" w:hAnsi="Consolas" w:cs="Consolas" w:eastAsia="Consolas"/>
                <w:sz w:val="17"/>
              </w:rPr>
              <w:t>*</w:t>
            </w:r>
            <w:r>
              <w:rPr>
                <w:sz w:val="19"/>
              </w:rPr>
              <w:t>), wenn Sie einen Artikel nicht finden.</w:t>
            </w:r>
          </w:p>
        </w:tc>
      </w:tr>
    </w:tbl>
    <w:p>
      <w:pPr>
        <w:spacing w:after="40"/>
      </w:pPr>
    </w:p>
    <w:p>
      <w:pPr>
        <w:pStyle w:val="Quelle"/>
      </w:pPr>
      <w:r>
        <w:rPr>
          <w:b/>
        </w:rPr>
        <w:t xml:space="preserve">Quelle: </w:t>
      </w:r>
      <w:r>
        <w:rPr>
          <w:sz w:val="17"/>
        </w:rPr>
        <w:t>Benutzerhandbuch 2.7, Kap. 5.1–5.1.5 (S. 59–63); User Manual 2.8, Kap. 2.3.1 (S. 16) und 5.1 (S. 56)</w:t>
      </w:r>
    </w:p>
    <w:p>
      <w:pPr>
        <w:pStyle w:val="Heading2"/>
      </w:pPr>
      <w:r>
        <w:t>5.2 Schnellanlage während der Arbeit (LM041)</w:t>
      </w:r>
    </w:p>
    <w:p>
      <w:r>
        <w:t>Am Touch-Client können Sie einen Artikel „im Vorbeigehen“ anlegen und Details später ergänzen:</w:t>
      </w:r>
    </w:p>
    <w:p>
      <w:pPr>
        <w:pStyle w:val="ListBullet"/>
      </w:pPr>
      <w:r>
        <w:rPr>
          <w:b/>
        </w:rPr>
        <w:t>Bei der Artikel-zu-Box-Zuordnung</w:t>
      </w:r>
      <w:r>
        <w:t xml:space="preserve"> in </w:t>
      </w:r>
      <w:r>
        <w:rPr>
          <w:b/>
        </w:rPr>
        <w:t>LM002 Tablarvorgänge durchführen</w:t>
      </w:r>
      <w:r>
        <w:t xml:space="preserve">: Box wählen → Icon </w:t>
      </w:r>
      <w:r>
        <w:rPr>
          <w:b/>
        </w:rPr>
        <w:t>Artikel anlegen</w:t>
      </w:r>
      <w:r>
        <w:t>.</w:t>
      </w:r>
    </w:p>
    <w:p>
      <w:pPr>
        <w:pStyle w:val="ListBullet"/>
      </w:pPr>
      <w:r>
        <w:rPr>
          <w:b/>
        </w:rPr>
        <w:t>Beim Einlagern eines großen Artikels</w:t>
      </w:r>
      <w:r>
        <w:t xml:space="preserve">: Icon </w:t>
      </w:r>
      <w:r>
        <w:rPr>
          <w:b/>
        </w:rPr>
        <w:t>Großen Artikel einlagern</w:t>
      </w:r>
      <w:r>
        <w:t xml:space="preserve"> (</w:t>
      </w:r>
      <w:r>
        <w:rPr>
          <w:b/>
        </w:rPr>
        <w:t>LM133</w:t>
      </w:r>
      <w:r>
        <w:t xml:space="preserve">) → </w:t>
      </w:r>
      <w:r>
        <w:rPr>
          <w:b/>
        </w:rPr>
        <w:t>Neuer Artikel</w:t>
      </w:r>
      <w:r>
        <w:t>.</w:t>
      </w:r>
    </w:p>
    <w:p>
      <w:r>
        <w:t xml:space="preserve">Im Dialog </w:t>
      </w:r>
      <w:r>
        <w:rPr>
          <w:b/>
        </w:rPr>
        <w:t>LM041 Neuen Artikel anlegen</w:t>
      </w:r>
      <w:r>
        <w:t>:</w:t>
      </w:r>
    </w:p>
    <w:p>
      <w:pPr>
        <w:tabs>
          <w:tab w:pos="425" w:val="left"/>
        </w:tabs>
        <w:spacing w:after="60"/>
        <w:ind w:left="425" w:hanging="425"/>
      </w:pPr>
      <w:r>
        <w:rPr>
          <w:b/>
        </w:rPr>
        <w:t>1.</w:t>
        <w:tab/>
      </w:r>
      <w:r>
        <w:rPr>
          <w:b/>
        </w:rPr>
        <w:t>Artikelnummer</w:t>
      </w:r>
      <w:r>
        <w:t xml:space="preserve"> (Pflicht) eingeben.</w:t>
      </w:r>
    </w:p>
    <w:p>
      <w:pPr>
        <w:tabs>
          <w:tab w:pos="425" w:val="left"/>
        </w:tabs>
        <w:spacing w:after="60"/>
        <w:ind w:left="425" w:hanging="425"/>
      </w:pPr>
      <w:r>
        <w:rPr>
          <w:b/>
        </w:rPr>
        <w:t>2.</w:t>
        <w:tab/>
      </w:r>
      <w:r>
        <w:rPr>
          <w:b/>
        </w:rPr>
        <w:t>Basismengeneinheit</w:t>
      </w:r>
      <w:r>
        <w:t xml:space="preserve"> (Pflicht) wählen.</w:t>
      </w:r>
    </w:p>
    <w:p>
      <w:pPr>
        <w:tabs>
          <w:tab w:pos="425" w:val="left"/>
        </w:tabs>
        <w:spacing w:after="60"/>
        <w:ind w:left="425" w:hanging="425"/>
      </w:pPr>
      <w:r>
        <w:rPr>
          <w:b/>
        </w:rPr>
        <w:t>3.</w:t>
        <w:tab/>
      </w:r>
      <w:r>
        <w:t xml:space="preserve">Optional: </w:t>
      </w:r>
      <w:r>
        <w:rPr>
          <w:b/>
        </w:rPr>
        <w:t>Großer Artikel</w:t>
      </w:r>
      <w:r>
        <w:t xml:space="preserve">, </w:t>
      </w:r>
      <w:r>
        <w:rPr>
          <w:b/>
        </w:rPr>
        <w:t>Bruttogewicht</w:t>
      </w:r>
      <w:r>
        <w:t xml:space="preserve">, </w:t>
      </w:r>
      <w:r>
        <w:rPr>
          <w:b/>
        </w:rPr>
        <w:t>Länge</w:t>
      </w:r>
      <w:r>
        <w:t xml:space="preserve">, </w:t>
      </w:r>
      <w:r>
        <w:rPr>
          <w:b/>
        </w:rPr>
        <w:t>Breite</w:t>
      </w:r>
      <w:r>
        <w:t xml:space="preserve">, </w:t>
      </w:r>
      <w:r>
        <w:rPr>
          <w:b/>
        </w:rPr>
        <w:t>Höhe</w:t>
      </w:r>
      <w:r>
        <w:t xml:space="preserve"> und Bezeichnungen.</w:t>
      </w:r>
    </w:p>
    <w:p>
      <w:pPr>
        <w:tabs>
          <w:tab w:pos="425" w:val="left"/>
        </w:tabs>
        <w:spacing w:after="60"/>
        <w:ind w:left="425" w:hanging="425"/>
      </w:pPr>
      <w:r>
        <w:rPr>
          <w:b/>
        </w:rPr>
        <w:t>4.</w:t>
        <w:tab/>
      </w:r>
      <w:r>
        <w:t xml:space="preserve">Weitere Angaben über das Icon </w:t>
      </w:r>
      <w:r>
        <w:rPr>
          <w:b/>
        </w:rPr>
        <w:t>Mehr</w:t>
      </w:r>
      <w:r>
        <w:t xml:space="preserve"> (öffnet </w:t>
      </w:r>
      <w:r>
        <w:rPr>
          <w:b/>
        </w:rPr>
        <w:t>LM011</w:t>
      </w:r>
      <w:r>
        <w:t xml:space="preserve">) oder </w:t>
      </w:r>
      <w:r>
        <w:rPr>
          <w:b/>
        </w:rPr>
        <w:t>Speichern</w:t>
      </w:r>
      <w:r>
        <w:t>.</w:t>
      </w:r>
    </w:p>
    <w:p>
      <w:pPr>
        <w:tabs>
          <w:tab w:pos="425" w:val="left"/>
        </w:tabs>
        <w:spacing w:after="60"/>
        <w:ind w:left="425" w:hanging="425"/>
      </w:pPr>
      <w:r>
        <w:rPr>
          <w:b/>
        </w:rPr>
        <w:t>5.</w:t>
        <w:tab/>
      </w:r>
      <w:r>
        <w:t xml:space="preserve">Bei der Box-Zuordnung </w:t>
      </w:r>
      <w:r>
        <w:rPr>
          <w:b/>
        </w:rPr>
        <w:t># Basismengeneinheiten (max.)</w:t>
      </w:r>
      <w:r>
        <w:t xml:space="preserve"> bzw. </w:t>
      </w:r>
      <w:r>
        <w:rPr>
          <w:b/>
        </w:rPr>
        <w:t>Unendlich</w:t>
      </w:r>
      <w:r>
        <w:t xml:space="preserve"> setzen und </w:t>
      </w:r>
      <w:r>
        <w:rPr>
          <w:b/>
        </w:rPr>
        <w:t>Artikelzuordnung bestätigen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Schnell angelegte Artikel nachpflegen</w:t>
            </w:r>
          </w:p>
          <w:p>
            <w:pPr>
              <w:spacing w:after="40"/>
            </w:pPr>
            <w:r>
              <w:rPr>
                <w:sz w:val="19"/>
              </w:rPr>
              <w:t xml:space="preserve">LM041 legt nur Grunddaten an. Artikeltyp, Systempartner und Klient werden vorbelegt. Prüfen Sie diese Artikel danach in </w:t>
            </w:r>
            <w:r>
              <w:rPr>
                <w:b/>
                <w:sz w:val="19"/>
              </w:rPr>
              <w:t>MD001</w:t>
            </w:r>
            <w:r>
              <w:rPr>
                <w:sz w:val="19"/>
              </w:rPr>
              <w:t xml:space="preserve"> und ergänzen Sie GTIN, BIA-Einstellungen und Bezeichnung. Ist ein Hostsystem angebunden, kennt es diese Artikel nicht.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Vorbelegung in LM041</w:t>
            </w:r>
          </w:p>
          <w:p>
            <w:pPr>
              <w:spacing w:after="40"/>
            </w:pPr>
            <w:r>
              <w:rPr>
                <w:sz w:val="19"/>
              </w:rPr>
              <w:t xml:space="preserve">Welche Werte LM041 für Klient, Artikeltyp, Hauptsystempartner und Verpackungsversion verwendet, beschreibt das Handbuch nicht. Vermutlich die Standards aus </w:t>
            </w:r>
            <w:r>
              <w:rPr>
                <w:b/>
                <w:sz w:val="19"/>
              </w:rPr>
              <w:t>LM053</w:t>
            </w:r>
            <w:r>
              <w:rPr>
                <w:sz w:val="19"/>
              </w:rPr>
              <w:t xml:space="preserve"> und </w:t>
            </w:r>
            <w:r>
              <w:rPr>
                <w:b/>
                <w:sz w:val="19"/>
              </w:rPr>
              <w:t>MD017</w:t>
            </w:r>
            <w:r>
              <w:rPr>
                <w:sz w:val="19"/>
              </w:rPr>
              <w:t>. Bitte im System prüfen.</w:t>
            </w:r>
          </w:p>
        </w:tc>
      </w:tr>
    </w:tbl>
    <w:p>
      <w:pPr>
        <w:spacing w:after="40"/>
      </w:pPr>
    </w:p>
    <w:p>
      <w:pPr>
        <w:pStyle w:val="Quelle"/>
      </w:pPr>
      <w:r>
        <w:rPr>
          <w:b/>
        </w:rPr>
        <w:t xml:space="preserve">Quelle: </w:t>
      </w:r>
      <w:r>
        <w:rPr>
          <w:sz w:val="17"/>
        </w:rPr>
        <w:t>Benutzerhandbuch 2.7, Kap. 5.6.1 (S. 73–74) und 6.1.4.1 (S. 83); SSI SCHÄFER Endkundenschulung (Pflichtfelder LM041)</w:t>
      </w:r>
    </w:p>
    <w:p>
      <w:pPr>
        <w:pStyle w:val="Heading1"/>
      </w:pPr>
      <w:r>
        <w:t>6 Artikel ändern, kopieren, stilllegen und löschen</w:t>
      </w:r>
    </w:p>
    <w:p>
      <w:pPr>
        <w:pStyle w:val="Heading2"/>
      </w:pPr>
      <w:r>
        <w:t>6.1 Ändern</w:t>
      </w:r>
    </w:p>
    <w:p>
      <w:pPr>
        <w:pStyle w:val="ListBullet"/>
      </w:pPr>
      <w:r>
        <w:rPr>
          <w:b/>
        </w:rPr>
        <w:t>Desktop</w:t>
      </w:r>
      <w:r>
        <w:t xml:space="preserve">: </w:t>
      </w:r>
      <w:r>
        <w:rPr>
          <w:b/>
        </w:rPr>
        <w:t>MD001 Übersicht Artikel</w:t>
      </w:r>
      <w:r>
        <w:t xml:space="preserve"> → suchen → Rechtsklick → </w:t>
      </w:r>
      <w:r>
        <w:rPr>
          <w:b/>
        </w:rPr>
        <w:t>Bearbeiten</w:t>
      </w:r>
      <w:r>
        <w:t xml:space="preserve"> (STRG + E) → </w:t>
      </w:r>
      <w:r>
        <w:rPr>
          <w:b/>
        </w:rPr>
        <w:t>MD002</w:t>
      </w:r>
      <w:r>
        <w:t>.</w:t>
      </w:r>
    </w:p>
    <w:p>
      <w:pPr>
        <w:pStyle w:val="ListBullet"/>
      </w:pPr>
      <w:r>
        <w:rPr>
          <w:b/>
        </w:rPr>
        <w:t>Touch-Client</w:t>
      </w:r>
      <w:r>
        <w:t xml:space="preserve">: </w:t>
      </w:r>
      <w:r>
        <w:rPr>
          <w:b/>
        </w:rPr>
        <w:t>LM007</w:t>
      </w:r>
      <w:r>
        <w:t xml:space="preserve"> → </w:t>
      </w:r>
      <w:r>
        <w:rPr>
          <w:b/>
        </w:rPr>
        <w:t>Suche</w:t>
      </w:r>
      <w:r>
        <w:t xml:space="preserve"> → </w:t>
      </w:r>
      <w:r>
        <w:rPr>
          <w:b/>
        </w:rPr>
        <w:t>Artikel bearbeiten</w:t>
      </w:r>
      <w:r>
        <w:t xml:space="preserve"> → </w:t>
      </w:r>
      <w:r>
        <w:rPr>
          <w:b/>
        </w:rPr>
        <w:t>LM011</w:t>
      </w:r>
      <w:r>
        <w:t>.</w:t>
      </w:r>
    </w:p>
    <w:p>
      <w:pPr>
        <w:pStyle w:val="ListBullet"/>
      </w:pPr>
      <w:r>
        <w:t>Klient, Artikelnummer und Variante sind der Schlüssel und können nicht geändert werden. Für eine neue Nummer legen Sie einen neuen Artikel an (ggf. als Kopie, Kapitel 6.2).</w:t>
      </w:r>
    </w:p>
    <w:p>
      <w:pPr>
        <w:pStyle w:val="ListBullet"/>
      </w:pPr>
      <w:r>
        <w:t>Änderungen an Mengeneinheiten wirken sich auf vorhandene Bestände aus. Ändern Sie Zähler bestehender Einheiten nur, wenn kein Bestand vorhanden ist.</w:t>
      </w:r>
    </w:p>
    <w:p>
      <w:pPr>
        <w:pStyle w:val="Quelle"/>
      </w:pPr>
      <w:r>
        <w:rPr>
          <w:b/>
        </w:rPr>
        <w:t xml:space="preserve">Quelle: </w:t>
      </w:r>
      <w:r>
        <w:rPr>
          <w:sz w:val="17"/>
        </w:rPr>
        <w:t>Benutzerhandbuch 2.7, Kap. 3.3.1 und 5.1; Endkundenschulung (Artikel bearbeiten)</w:t>
      </w:r>
    </w:p>
    <w:p>
      <w:pPr>
        <w:pStyle w:val="Heading2"/>
      </w:pPr>
      <w:r>
        <w:t>6.2 Kopieren (Datensatz duplizieren)</w:t>
      </w:r>
    </w:p>
    <w:p>
      <w:r>
        <w:t>In vielen Pflegedialogen können Datensätze dupliziert werden:</w:t>
      </w:r>
    </w:p>
    <w:p>
      <w:pPr>
        <w:tabs>
          <w:tab w:pos="425" w:val="left"/>
        </w:tabs>
        <w:spacing w:after="60"/>
        <w:ind w:left="425" w:hanging="425"/>
      </w:pPr>
      <w:r>
        <w:rPr>
          <w:b/>
        </w:rPr>
        <w:t>1.</w:t>
        <w:tab/>
      </w:r>
      <w:r>
        <w:t xml:space="preserve">Ausgangsartikel in </w:t>
      </w:r>
      <w:r>
        <w:rPr>
          <w:b/>
        </w:rPr>
        <w:t>MD002</w:t>
      </w:r>
      <w:r>
        <w:t xml:space="preserve"> öffnen.</w:t>
      </w:r>
    </w:p>
    <w:p>
      <w:pPr>
        <w:tabs>
          <w:tab w:pos="425" w:val="left"/>
        </w:tabs>
        <w:spacing w:after="60"/>
        <w:ind w:left="425" w:hanging="425"/>
      </w:pPr>
      <w:r>
        <w:rPr>
          <w:b/>
        </w:rPr>
        <w:t>2.</w:t>
        <w:tab/>
      </w:r>
      <w:r>
        <w:t xml:space="preserve">Icon </w:t>
      </w:r>
      <w:r>
        <w:rPr>
          <w:b/>
        </w:rPr>
        <w:t>Datensatz duplizieren</w:t>
      </w:r>
      <w:r>
        <w:t xml:space="preserve"> (STRG + D) → </w:t>
      </w:r>
      <w:r>
        <w:rPr>
          <w:b/>
        </w:rPr>
        <w:t>FW014 Datensatz duplizieren</w:t>
      </w:r>
      <w:r>
        <w:t>.</w:t>
      </w:r>
    </w:p>
    <w:p>
      <w:pPr>
        <w:tabs>
          <w:tab w:pos="425" w:val="left"/>
        </w:tabs>
        <w:spacing w:after="60"/>
        <w:ind w:left="425" w:hanging="425"/>
      </w:pPr>
      <w:r>
        <w:rPr>
          <w:b/>
        </w:rPr>
        <w:t>3.</w:t>
        <w:tab/>
      </w:r>
      <w:r>
        <w:t xml:space="preserve">Unter </w:t>
      </w:r>
      <w:r>
        <w:rPr>
          <w:b/>
        </w:rPr>
        <w:t>Ziel</w:t>
      </w:r>
      <w:r>
        <w:t xml:space="preserve"> den neuen Schlüssel (Klient, Artikelnummer, Variante) eingeben.</w:t>
      </w:r>
    </w:p>
    <w:p>
      <w:pPr>
        <w:tabs>
          <w:tab w:pos="425" w:val="left"/>
        </w:tabs>
        <w:spacing w:after="60"/>
        <w:ind w:left="425" w:hanging="425"/>
      </w:pPr>
      <w:r>
        <w:rPr>
          <w:b/>
        </w:rPr>
        <w:t>4.</w:t>
        <w:tab/>
      </w:r>
      <w:r>
        <w:t xml:space="preserve">Unter </w:t>
      </w:r>
      <w:r>
        <w:rPr>
          <w:b/>
        </w:rPr>
        <w:t>Zu duplizierende Sub-Datensätze auswählen</w:t>
      </w:r>
      <w:r>
        <w:t xml:space="preserve"> die zu übernehmenden Teile wählen (z. B. Verpackungsversionen, Alias) – </w:t>
      </w:r>
      <w:r>
        <w:rPr>
          <w:b/>
        </w:rPr>
        <w:t>Alle auswählen</w:t>
      </w:r>
      <w:r>
        <w:t xml:space="preserve"> bzw. </w:t>
      </w:r>
      <w:r>
        <w:rPr>
          <w:b/>
        </w:rPr>
        <w:t>Auswahl aufheben</w:t>
      </w:r>
      <w:r>
        <w:t>.</w:t>
      </w:r>
    </w:p>
    <w:p>
      <w:pPr>
        <w:tabs>
          <w:tab w:pos="425" w:val="left"/>
        </w:tabs>
        <w:spacing w:after="60"/>
        <w:ind w:left="425" w:hanging="425"/>
      </w:pPr>
      <w:r>
        <w:rPr>
          <w:b/>
        </w:rPr>
        <w:t>5.</w:t>
        <w:tab/>
      </w:r>
      <w:r>
        <w:rPr>
          <w:b/>
        </w:rPr>
        <w:t>Duplizieren</w:t>
      </w:r>
      <w:r>
        <w:t xml:space="preserve"> und anschließend Bezeichnung, GTIN und Alias des neuen Artikels anpassen.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Duplizieren in MD002</w:t>
            </w:r>
          </w:p>
          <w:p>
            <w:pPr>
              <w:spacing w:after="40"/>
            </w:pPr>
            <w:r>
              <w:rPr>
                <w:sz w:val="19"/>
              </w:rPr>
              <w:t xml:space="preserve">Das Handbuch beschreibt die Funktion allgemein („einige Pflegedialoge“), nennt </w:t>
            </w:r>
            <w:r>
              <w:rPr>
                <w:b/>
                <w:sz w:val="19"/>
              </w:rPr>
              <w:t>MD002</w:t>
            </w:r>
            <w:r>
              <w:rPr>
                <w:sz w:val="19"/>
              </w:rPr>
              <w:t xml:space="preserve"> aber nicht ausdrücklich. Bitte im System prüfen, ob das Icon dort aktiv ist. Achtung: Ein kopierter GTIN-Alias muss geändert werden, da Aliasnummern eindeutig sein müssen.</w:t>
            </w:r>
          </w:p>
        </w:tc>
      </w:tr>
    </w:tbl>
    <w:p>
      <w:pPr>
        <w:spacing w:after="40"/>
      </w:pPr>
    </w:p>
    <w:p>
      <w:pPr>
        <w:pStyle w:val="Quelle"/>
      </w:pPr>
      <w:r>
        <w:rPr>
          <w:b/>
        </w:rPr>
        <w:t xml:space="preserve">Quelle: </w:t>
      </w:r>
      <w:r>
        <w:rPr>
          <w:sz w:val="17"/>
        </w:rPr>
        <w:t>Benutzerhandbuch 2.7, Kap. 3.4.5 (S. 47); User Manual 2.8, Kap. 3.4.5 (S. 44)</w:t>
      </w:r>
    </w:p>
    <w:p>
      <w:pPr>
        <w:pStyle w:val="Heading2"/>
      </w:pPr>
      <w:r>
        <w:t>6.3 Stilllegen über den Stammdatenstatus</w:t>
      </w:r>
    </w:p>
    <w:p>
      <w:r>
        <w:t xml:space="preserve">Statt einen Artikel zu löschen, setzen Sie den </w:t>
      </w:r>
      <w:r>
        <w:rPr>
          <w:b/>
        </w:rPr>
        <w:t>Stammdatenstatus</w:t>
      </w:r>
      <w:r>
        <w:t xml:space="preserve"> auf der Registerkarte </w:t>
      </w:r>
      <w:r>
        <w:rPr>
          <w:b/>
        </w:rPr>
        <w:t>Artikel</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88"/>
        <w:gridCol w:w="7337"/>
      </w:tblGrid>
      <w:tr>
        <w:trPr>
          <w:tblHeader w:val="true"/>
        </w:trPr>
        <w:tc>
          <w:tcPr>
            <w:tcW w:type="dxa" w:w="2188"/>
            <w:shd w:val="clear" w:color="auto" w:fill="FEEE19"/>
          </w:tcPr>
          <w:p>
            <w:pPr>
              <w:spacing w:after="0"/>
            </w:pPr>
            <w:r>
              <w:rPr>
                <w:b/>
                <w:sz w:val="17"/>
              </w:rPr>
              <w:t>Status</w:t>
            </w:r>
          </w:p>
        </w:tc>
        <w:tc>
          <w:tcPr>
            <w:tcW w:type="dxa" w:w="7336"/>
            <w:shd w:val="clear" w:color="auto" w:fill="FEEE19"/>
          </w:tcPr>
          <w:p>
            <w:pPr>
              <w:spacing w:after="0"/>
            </w:pPr>
            <w:r>
              <w:rPr>
                <w:b/>
                <w:sz w:val="17"/>
              </w:rPr>
              <w:t>Wirkung</w:t>
            </w:r>
          </w:p>
        </w:tc>
      </w:tr>
      <w:tr>
        <w:tc>
          <w:tcPr>
            <w:tcW w:type="dxa" w:w="2188"/>
          </w:tcPr>
          <w:p>
            <w:pPr>
              <w:spacing w:after="0" w:line="252" w:lineRule="auto"/>
            </w:pPr>
            <w:r>
              <w:rPr>
                <w:b/>
                <w:sz w:val="17"/>
              </w:rPr>
              <w:t>Normal</w:t>
            </w:r>
          </w:p>
        </w:tc>
        <w:tc>
          <w:tcPr>
            <w:tcW w:type="dxa" w:w="7336"/>
          </w:tcPr>
          <w:p>
            <w:pPr>
              <w:spacing w:after="0" w:line="252" w:lineRule="auto"/>
            </w:pPr>
            <w:r>
              <w:rPr>
                <w:sz w:val="17"/>
              </w:rPr>
              <w:t>Artikel ist in allen Prozessen verwendbar</w:t>
            </w:r>
          </w:p>
        </w:tc>
      </w:tr>
      <w:tr>
        <w:tc>
          <w:tcPr>
            <w:tcW w:type="dxa" w:w="2188"/>
          </w:tcPr>
          <w:p>
            <w:pPr>
              <w:spacing w:after="0" w:line="252" w:lineRule="auto"/>
            </w:pPr>
            <w:r>
              <w:rPr>
                <w:b/>
                <w:sz w:val="17"/>
              </w:rPr>
              <w:t>Auslaufend</w:t>
            </w:r>
          </w:p>
        </w:tc>
        <w:tc>
          <w:tcPr>
            <w:tcW w:type="dxa" w:w="7336"/>
          </w:tcPr>
          <w:p>
            <w:pPr>
              <w:spacing w:after="0" w:line="252" w:lineRule="auto"/>
            </w:pPr>
            <w:r>
              <w:rPr>
                <w:sz w:val="17"/>
              </w:rPr>
              <w:t>Verwendung möglich, aber der Benutzer erhält eine Warnung</w:t>
            </w:r>
          </w:p>
        </w:tc>
      </w:tr>
      <w:tr>
        <w:tc>
          <w:tcPr>
            <w:tcW w:type="dxa" w:w="2188"/>
          </w:tcPr>
          <w:p>
            <w:pPr>
              <w:spacing w:after="0" w:line="252" w:lineRule="auto"/>
            </w:pPr>
            <w:r>
              <w:rPr>
                <w:b/>
                <w:sz w:val="17"/>
              </w:rPr>
              <w:t>Gesperrt</w:t>
            </w:r>
          </w:p>
        </w:tc>
        <w:tc>
          <w:tcPr>
            <w:tcW w:type="dxa" w:w="7336"/>
          </w:tcPr>
          <w:p>
            <w:pPr>
              <w:spacing w:after="0" w:line="252" w:lineRule="auto"/>
            </w:pPr>
            <w:r>
              <w:rPr>
                <w:sz w:val="17"/>
              </w:rPr>
              <w:t>In Prozessdialogen nicht mehr verwendbar</w:t>
            </w:r>
          </w:p>
        </w:tc>
      </w:tr>
      <w:tr>
        <w:tc>
          <w:tcPr>
            <w:tcW w:type="dxa" w:w="2188"/>
          </w:tcPr>
          <w:p>
            <w:pPr>
              <w:spacing w:after="0" w:line="252" w:lineRule="auto"/>
            </w:pPr>
            <w:r>
              <w:rPr>
                <w:b/>
                <w:sz w:val="17"/>
              </w:rPr>
              <w:t>Unvollständig</w:t>
            </w:r>
          </w:p>
        </w:tc>
        <w:tc>
          <w:tcPr>
            <w:tcW w:type="dxa" w:w="7336"/>
          </w:tcPr>
          <w:p>
            <w:pPr>
              <w:spacing w:after="0" w:line="252" w:lineRule="auto"/>
            </w:pPr>
            <w:r>
              <w:rPr>
                <w:sz w:val="17"/>
              </w:rPr>
              <w:t>Datensatz muss noch vervollständigt werden</w:t>
            </w:r>
          </w:p>
        </w:tc>
      </w:tr>
    </w:tbl>
    <w:p>
      <w:pPr>
        <w:pStyle w:val="BeschriftungSSI"/>
      </w:pPr>
      <w:r>
        <w:t>Tab. 10: Stammdatenstatus</w:t>
      </w:r>
    </w:p>
    <w:p>
      <w:r>
        <w:t xml:space="preserve">Auch Boxtyp-Zuordnungen (LM084) haben einen eigenen Stammdatenstatus. Mit </w:t>
      </w:r>
      <w:r>
        <w:rPr>
          <w:b/>
        </w:rPr>
        <w:t>Auslaufend</w:t>
      </w:r>
      <w:r>
        <w:t xml:space="preserve"> in </w:t>
      </w:r>
      <w:r>
        <w:rPr>
          <w:b/>
        </w:rPr>
        <w:t>LM012</w:t>
      </w:r>
      <w:r>
        <w:t xml:space="preserve"> verhindern Sie, dass ein Boxtyp für den Artikel weiter verwendet wird.</w:t>
      </w:r>
    </w:p>
    <w:p>
      <w:pPr>
        <w:pStyle w:val="Quelle"/>
      </w:pPr>
      <w:r>
        <w:rPr>
          <w:b/>
        </w:rPr>
        <w:t xml:space="preserve">Quelle: </w:t>
      </w:r>
      <w:r>
        <w:rPr>
          <w:sz w:val="17"/>
        </w:rPr>
        <w:t>Administratorhandbuch 2.7, Kap. 3.6.3.1 Schritt 10 (S. 118) und 3.1.7 (S. 21); Benutzerhandbuch 2.7, Kap. 5.1.2</w:t>
      </w:r>
    </w:p>
    <w:p>
      <w:pPr>
        <w:pStyle w:val="Heading2"/>
      </w:pPr>
      <w:r>
        <w:t>6.4 Löschen</w:t>
      </w:r>
    </w:p>
    <w:p>
      <w:pPr>
        <w:pStyle w:val="ListBullet"/>
      </w:pPr>
      <w:r>
        <w:rPr>
          <w:b/>
        </w:rPr>
        <w:t>Verpackungsversion</w:t>
      </w:r>
      <w:r>
        <w:t xml:space="preserve"> und </w:t>
      </w:r>
      <w:r>
        <w:rPr>
          <w:b/>
        </w:rPr>
        <w:t>Artikelmengeneinheiten</w:t>
      </w:r>
      <w:r>
        <w:t>: nur wenn nirgends mehr verwendet (Kapitel 4.3.3).</w:t>
      </w:r>
    </w:p>
    <w:p>
      <w:pPr>
        <w:pStyle w:val="ListBullet"/>
      </w:pPr>
      <w:r>
        <w:rPr>
          <w:b/>
        </w:rPr>
        <w:t>Artikelbild</w:t>
      </w:r>
      <w:r>
        <w:t xml:space="preserve">: über </w:t>
      </w:r>
      <w:r>
        <w:rPr>
          <w:b/>
        </w:rPr>
        <w:t>Löschen</w:t>
      </w:r>
      <w:r>
        <w:t xml:space="preserve"> auf der Registerkarte </w:t>
      </w:r>
      <w:r>
        <w:rPr>
          <w:b/>
        </w:rPr>
        <w:t>Artikelbild</w:t>
      </w:r>
      <w:r>
        <w:t>.</w:t>
      </w:r>
    </w:p>
    <w:p>
      <w:pPr>
        <w:pStyle w:val="ListBullet"/>
      </w:pPr>
      <w:r>
        <w:rPr>
          <w:b/>
        </w:rPr>
        <w:t>Artikel-zu-Box-Zuordnung</w:t>
      </w:r>
      <w:r>
        <w:t xml:space="preserve">: am Touch-Client in </w:t>
      </w:r>
      <w:r>
        <w:rPr>
          <w:b/>
        </w:rPr>
        <w:t>LM002</w:t>
      </w:r>
      <w:r>
        <w:t xml:space="preserve"> → </w:t>
      </w:r>
      <w:r>
        <w:rPr>
          <w:b/>
        </w:rPr>
        <w:t>Artikelzuordnung aufheben</w:t>
      </w:r>
      <w:r>
        <w:t xml:space="preserve"> (</w:t>
      </w:r>
      <w:r>
        <w:rPr>
          <w:b/>
        </w:rPr>
        <w:t>LM043</w:t>
      </w:r>
      <w:r>
        <w:t>). Nur möglich, wenn die Box für diesen Artikel leer ist.</w:t>
      </w:r>
    </w:p>
    <w:p>
      <w:pPr>
        <w:pStyle w:val="ListBullet"/>
      </w:pPr>
      <w:r>
        <w:rPr>
          <w:b/>
        </w:rPr>
        <w:t>Ganzer Artikel</w:t>
      </w:r>
      <w:r>
        <w:t>: siehe Lücke.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Artikel vollständig löschen</w:t>
            </w:r>
          </w:p>
          <w:p>
            <w:pPr>
              <w:spacing w:after="40"/>
            </w:pPr>
            <w:r>
              <w:rPr>
                <w:sz w:val="19"/>
              </w:rPr>
              <w:t xml:space="preserve">Die Handbücher 2.7 und 2.8 beschreiben das Löschen eines ganzen Artikels nicht. Es gibt nur den allgemeinen Kurzbefehl </w:t>
            </w:r>
            <w:r>
              <w:rPr>
                <w:b/>
                <w:sz w:val="19"/>
              </w:rPr>
              <w:t>Datensatz löschen</w:t>
            </w:r>
            <w:r>
              <w:rPr>
                <w:sz w:val="19"/>
              </w:rPr>
              <w:t xml:space="preserve"> (STRG + -). Vermutlich gilt dieselbe Regel wie bei Verpackungsversionen (keine Verwendung im Lager, Status </w:t>
            </w:r>
            <w:r>
              <w:rPr>
                <w:b/>
                <w:sz w:val="19"/>
              </w:rPr>
              <w:t>Zu löschen</w:t>
            </w:r>
            <w:r>
              <w:rPr>
                <w:sz w:val="19"/>
              </w:rPr>
              <w:t xml:space="preserve">, Archivierung). Empfehlung: Artikel auf </w:t>
            </w:r>
            <w:r>
              <w:rPr>
                <w:b/>
                <w:sz w:val="19"/>
              </w:rPr>
              <w:t>Gesperrt</w:t>
            </w:r>
            <w:r>
              <w:rPr>
                <w:sz w:val="19"/>
              </w:rPr>
              <w:t xml:space="preserve"> setzen. Bitte im System prüfen.</w:t>
            </w:r>
          </w:p>
        </w:tc>
      </w:tr>
    </w:tbl>
    <w:p>
      <w:pPr>
        <w:spacing w:after="40"/>
      </w:pPr>
    </w:p>
    <w:p>
      <w:pPr>
        <w:pStyle w:val="Quelle"/>
      </w:pPr>
      <w:r>
        <w:rPr>
          <w:b/>
        </w:rPr>
        <w:t xml:space="preserve">Quelle: </w:t>
      </w:r>
      <w:r>
        <w:rPr>
          <w:sz w:val="17"/>
        </w:rPr>
        <w:t>Administratorhandbuch 2.7, Kap. 3.6.3.2, 3.6.3.5; Benutzerhandbuch 2.7, Kap. 3.2.7.5 und 5.6.2 (S. 74)</w:t>
      </w:r>
    </w:p>
    <w:p>
      <w:pPr>
        <w:pStyle w:val="Heading1"/>
      </w:pPr>
      <w:r>
        <w:t>7 Artikeletiketten drucken</w:t>
      </w:r>
    </w:p>
    <w:p>
      <w:r>
        <w:t>Das Artikeletikett kennzeichnet den Artikel selbst, nicht einen Bestand.</w:t>
      </w:r>
    </w:p>
    <w:p>
      <w:pPr>
        <w:pStyle w:val="Heading2"/>
      </w:pPr>
      <w:r>
        <w:t>7.1 Am Desktop</w:t>
      </w:r>
    </w:p>
    <w:p>
      <w:pPr>
        <w:tabs>
          <w:tab w:pos="425" w:val="left"/>
        </w:tabs>
        <w:spacing w:after="60"/>
        <w:ind w:left="425" w:hanging="425"/>
      </w:pPr>
      <w:r>
        <w:rPr>
          <w:b/>
        </w:rPr>
        <w:t>1.</w:t>
        <w:tab/>
      </w:r>
      <w:r>
        <w:rPr>
          <w:b/>
        </w:rPr>
        <w:t>MD001 Übersicht Artikel</w:t>
      </w:r>
      <w:r>
        <w:t xml:space="preserve"> öffnen und den Artikel suchen.</w:t>
      </w:r>
    </w:p>
    <w:p>
      <w:pPr>
        <w:tabs>
          <w:tab w:pos="425" w:val="left"/>
        </w:tabs>
        <w:spacing w:after="60"/>
        <w:ind w:left="425" w:hanging="425"/>
      </w:pPr>
      <w:r>
        <w:rPr>
          <w:b/>
        </w:rPr>
        <w:t>2.</w:t>
        <w:tab/>
      </w:r>
      <w:r>
        <w:t xml:space="preserve">Rechtsklick → </w:t>
      </w:r>
      <w:r>
        <w:rPr>
          <w:b/>
        </w:rPr>
        <w:t>Artikeletikett drucken</w:t>
      </w:r>
      <w:r>
        <w:t xml:space="preserve">. Der Dialog </w:t>
      </w:r>
      <w:r>
        <w:rPr>
          <w:b/>
        </w:rPr>
        <w:t>MD052 Artikeletikett drucken</w:t>
      </w:r>
      <w:r>
        <w:t xml:space="preserve"> zeigt Klient, Artikelnummer, Variante und Bezeichnung.</w:t>
      </w:r>
    </w:p>
    <w:p>
      <w:pPr>
        <w:tabs>
          <w:tab w:pos="425" w:val="left"/>
        </w:tabs>
        <w:spacing w:after="60"/>
        <w:ind w:left="425" w:hanging="425"/>
      </w:pPr>
      <w:r>
        <w:rPr>
          <w:b/>
        </w:rPr>
        <w:t>3.</w:t>
        <w:tab/>
      </w:r>
      <w:r>
        <w:rPr>
          <w:b/>
        </w:rPr>
        <w:t>Verpackungsversion</w:t>
      </w:r>
      <w:r>
        <w:t xml:space="preserve"> und </w:t>
      </w:r>
      <w:r>
        <w:rPr>
          <w:b/>
        </w:rPr>
        <w:t>Artikel-Alias</w:t>
      </w:r>
      <w:r>
        <w:t xml:space="preserve"> wählen (bestimmt z. B. den gedruckten Barcode).</w:t>
      </w:r>
    </w:p>
    <w:p>
      <w:pPr>
        <w:tabs>
          <w:tab w:pos="425" w:val="left"/>
        </w:tabs>
        <w:spacing w:after="60"/>
        <w:ind w:left="425" w:hanging="425"/>
      </w:pPr>
      <w:r>
        <w:rPr>
          <w:b/>
        </w:rPr>
        <w:t>4.</w:t>
        <w:tab/>
      </w:r>
      <w:r>
        <w:rPr>
          <w:b/>
        </w:rPr>
        <w:t>Anzahl der Etiketten</w:t>
      </w:r>
      <w:r>
        <w:t xml:space="preserve"> eingeben → </w:t>
      </w:r>
      <w:r>
        <w:rPr>
          <w:b/>
        </w:rPr>
        <w:t>Generieren</w:t>
      </w:r>
      <w:r>
        <w:t>.</w:t>
      </w:r>
    </w:p>
    <w:p>
      <w:pPr>
        <w:tabs>
          <w:tab w:pos="425" w:val="left"/>
        </w:tabs>
        <w:spacing w:after="60"/>
        <w:ind w:left="425" w:hanging="425"/>
      </w:pPr>
      <w:r>
        <w:rPr>
          <w:b/>
        </w:rPr>
        <w:t>5.</w:t>
        <w:tab/>
      </w:r>
      <w:r>
        <w:t xml:space="preserve">Im Dialog </w:t>
      </w:r>
      <w:r>
        <w:rPr>
          <w:b/>
        </w:rPr>
        <w:t>RM001 Dokument erzeugen</w:t>
      </w:r>
      <w:r>
        <w:t xml:space="preserve"> </w:t>
      </w:r>
      <w:r>
        <w:rPr>
          <w:b/>
        </w:rPr>
        <w:t>Layout</w:t>
      </w:r>
      <w:r>
        <w:t xml:space="preserve">, allgemeine Eigenschaften und Kanal (Drucker, E-Mail, Datei, Archiv) wählen → </w:t>
      </w:r>
      <w:r>
        <w:rPr>
          <w:b/>
        </w:rPr>
        <w:t>Generieren</w:t>
      </w:r>
      <w:r>
        <w:t>.</w:t>
      </w:r>
    </w:p>
    <w:p>
      <w:pPr>
        <w:pStyle w:val="Quelle"/>
      </w:pPr>
      <w:r>
        <w:rPr>
          <w:b/>
        </w:rPr>
        <w:t xml:space="preserve">Quelle: </w:t>
      </w:r>
      <w:r>
        <w:rPr>
          <w:sz w:val="17"/>
        </w:rPr>
        <w:t>Benutzerhandbuch 2.7, Kap. 6.8.1.1 (S. 152); User Manual 2.8, Kap. 6.8.1.1 (S. 142)</w:t>
      </w:r>
    </w:p>
    <w:p>
      <w:pPr>
        <w:pStyle w:val="Heading2"/>
      </w:pPr>
      <w:r>
        <w:t>7.2 Am Touch-Client</w:t>
      </w:r>
    </w:p>
    <w:p>
      <w:pPr>
        <w:tabs>
          <w:tab w:pos="425" w:val="left"/>
        </w:tabs>
        <w:spacing w:after="60"/>
        <w:ind w:left="425" w:hanging="425"/>
      </w:pPr>
      <w:r>
        <w:rPr>
          <w:b/>
        </w:rPr>
        <w:t>1.</w:t>
        <w:tab/>
      </w:r>
      <w:r>
        <w:rPr>
          <w:b/>
        </w:rPr>
        <w:t>LM007 Übersicht Artikel</w:t>
      </w:r>
      <w:r>
        <w:t xml:space="preserve"> öffnen und den Artikel suchen.</w:t>
      </w:r>
    </w:p>
    <w:p>
      <w:pPr>
        <w:tabs>
          <w:tab w:pos="425" w:val="left"/>
        </w:tabs>
        <w:spacing w:after="60"/>
        <w:ind w:left="425" w:hanging="425"/>
      </w:pPr>
      <w:r>
        <w:rPr>
          <w:b/>
        </w:rPr>
        <w:t>2.</w:t>
        <w:tab/>
      </w:r>
      <w:r>
        <w:t xml:space="preserve">Icon </w:t>
      </w:r>
      <w:r>
        <w:rPr>
          <w:b/>
        </w:rPr>
        <w:t>Artikeletikett drucken</w:t>
      </w:r>
      <w:r>
        <w:t xml:space="preserve"> antippen. Sind mehrere Etiketten zugeordnet, im Dialog </w:t>
      </w:r>
      <w:r>
        <w:rPr>
          <w:b/>
        </w:rPr>
        <w:t>LM101 Artikeletikett auswählen</w:t>
      </w:r>
      <w:r>
        <w:t xml:space="preserve"> das Etikett wählen → </w:t>
      </w:r>
      <w:r>
        <w:rPr>
          <w:b/>
        </w:rPr>
        <w:t>Ja</w:t>
      </w:r>
      <w:r>
        <w:t>.</w:t>
      </w:r>
    </w:p>
    <w:p>
      <w:pPr>
        <w:tabs>
          <w:tab w:pos="425" w:val="left"/>
        </w:tabs>
        <w:spacing w:after="60"/>
        <w:ind w:left="425" w:hanging="425"/>
      </w:pPr>
      <w:r>
        <w:rPr>
          <w:b/>
        </w:rPr>
        <w:t>3.</w:t>
        <w:tab/>
      </w:r>
      <w:r>
        <w:t>Eine Meldung bestätigt den Druck.</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Widersprüchliche Angabe im Handbuch</w:t>
            </w:r>
          </w:p>
          <w:p>
            <w:pPr>
              <w:spacing w:after="40"/>
            </w:pPr>
            <w:r>
              <w:rPr>
                <w:sz w:val="19"/>
              </w:rPr>
              <w:t>Das Handbuch beschreibt den Druck am Touch-Client, enthält im selben Abschnitt aber den Satz, das Etikett könne „nur am WAMAS Desktop“ gedruckt werden. Maßgeblich ist Ihre Oberfläche: Ist das Icon in LM007 vorhanden und ein Drucker zugeordnet, funktioniert der Touch-Druck.</w:t>
            </w:r>
          </w:p>
        </w:tc>
      </w:tr>
    </w:tbl>
    <w:p>
      <w:pPr>
        <w:spacing w:after="40"/>
      </w:pPr>
    </w:p>
    <w:p>
      <w:r>
        <w:t xml:space="preserve">Drucker, Layouts und Kanäle beschreibt die Kundenanleitung „Dokumente drucken“. </w:t>
      </w:r>
      <w:r>
        <w:rPr>
          <w:b/>
        </w:rPr>
        <w:t>Lagerplatzetiketten</w:t>
      </w:r>
      <w:r>
        <w:t xml:space="preserve"> werden nicht hier, sondern über </w:t>
      </w:r>
      <w:r>
        <w:rPr>
          <w:b/>
        </w:rPr>
        <w:t>WH004</w:t>
      </w:r>
      <w:r>
        <w:t xml:space="preserve"> bzw. </w:t>
      </w:r>
      <w:r>
        <w:rPr>
          <w:b/>
        </w:rPr>
        <w:t>LM044</w:t>
      </w:r>
      <w:r>
        <w:t xml:space="preserve"> gedruckt.</w:t>
      </w:r>
    </w:p>
    <w:p>
      <w:pPr>
        <w:pStyle w:val="Quelle"/>
      </w:pPr>
      <w:r>
        <w:rPr>
          <w:b/>
        </w:rPr>
        <w:t xml:space="preserve">Quelle: </w:t>
      </w:r>
      <w:r>
        <w:rPr>
          <w:sz w:val="17"/>
        </w:rPr>
        <w:t>Benutzerhandbuch 2.7, Kap. 6.8.2.1 (S. 155–156); User Manual 2.8, Kap. 6.8.2.1 (S. 146)</w:t>
      </w:r>
    </w:p>
    <w:p>
      <w:pPr>
        <w:pStyle w:val="Heading1"/>
      </w:pPr>
      <w:r>
        <w:t>8 Artikel importieren ohne Hostschnittstelle</w:t>
      </w:r>
    </w:p>
    <w:p>
      <w:pPr>
        <w:pStyle w:val="Heading2"/>
      </w:pPr>
      <w:r>
        <w:t>8.1 Überblick nach Version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024"/>
        <w:gridCol w:w="737"/>
        <w:gridCol w:w="737"/>
        <w:gridCol w:w="4024"/>
      </w:tblGrid>
      <w:tr>
        <w:trPr>
          <w:tblHeader w:val="true"/>
        </w:trPr>
        <w:tc>
          <w:tcPr>
            <w:tcW w:type="dxa" w:w="4024"/>
            <w:shd w:val="clear" w:color="auto" w:fill="FEEE19"/>
          </w:tcPr>
          <w:p>
            <w:pPr>
              <w:spacing w:after="0"/>
            </w:pPr>
            <w:r>
              <w:rPr>
                <w:b/>
                <w:sz w:val="17"/>
              </w:rPr>
              <w:t>Möglichkeit</w:t>
            </w:r>
          </w:p>
        </w:tc>
        <w:tc>
          <w:tcPr>
            <w:tcW w:type="dxa" w:w="738"/>
            <w:shd w:val="clear" w:color="auto" w:fill="FEEE19"/>
          </w:tcPr>
          <w:p>
            <w:pPr>
              <w:spacing w:after="0"/>
            </w:pPr>
            <w:r>
              <w:rPr>
                <w:b/>
                <w:sz w:val="17"/>
              </w:rPr>
              <w:t>2.7</w:t>
            </w:r>
          </w:p>
        </w:tc>
        <w:tc>
          <w:tcPr>
            <w:tcW w:type="dxa" w:w="738"/>
            <w:shd w:val="clear" w:color="auto" w:fill="FEEE19"/>
          </w:tcPr>
          <w:p>
            <w:pPr>
              <w:spacing w:after="0"/>
            </w:pPr>
            <w:r>
              <w:rPr>
                <w:b/>
                <w:sz w:val="17"/>
              </w:rPr>
              <w:t>2.8</w:t>
            </w:r>
          </w:p>
        </w:tc>
        <w:tc>
          <w:tcPr>
            <w:tcW w:type="dxa" w:w="4024"/>
            <w:shd w:val="clear" w:color="auto" w:fill="FEEE19"/>
          </w:tcPr>
          <w:p>
            <w:pPr>
              <w:spacing w:after="0"/>
            </w:pPr>
            <w:r>
              <w:rPr>
                <w:b/>
                <w:sz w:val="17"/>
              </w:rPr>
              <w:t>Dateiformat</w:t>
            </w:r>
          </w:p>
        </w:tc>
      </w:tr>
      <w:tr>
        <w:tc>
          <w:tcPr>
            <w:tcW w:type="dxa" w:w="4024"/>
          </w:tcPr>
          <w:p>
            <w:pPr>
              <w:spacing w:after="0" w:line="252" w:lineRule="auto"/>
            </w:pPr>
            <w:r>
              <w:rPr>
                <w:sz w:val="17"/>
              </w:rPr>
              <w:t xml:space="preserve">Initialer Artikelstammimport über </w:t>
            </w:r>
            <w:r>
              <w:rPr>
                <w:b/>
                <w:sz w:val="17"/>
              </w:rPr>
              <w:t>DI002</w:t>
            </w:r>
            <w:r>
              <w:rPr>
                <w:sz w:val="17"/>
              </w:rPr>
              <w:t xml:space="preserve"> → </w:t>
            </w:r>
            <w:r>
              <w:rPr>
                <w:b/>
                <w:sz w:val="17"/>
              </w:rPr>
              <w:t>Daten importieren</w:t>
            </w:r>
            <w:r>
              <w:rPr>
                <w:sz w:val="17"/>
              </w:rPr>
              <w:t xml:space="preserve"> → </w:t>
            </w:r>
            <w:r>
              <w:rPr>
                <w:b/>
                <w:sz w:val="17"/>
              </w:rPr>
              <w:t>DI014</w:t>
            </w:r>
          </w:p>
        </w:tc>
        <w:tc>
          <w:tcPr>
            <w:tcW w:type="dxa" w:w="738"/>
          </w:tcPr>
          <w:p>
            <w:pPr>
              <w:spacing w:after="0" w:line="252" w:lineRule="auto"/>
            </w:pPr>
            <w:r>
              <w:rPr>
                <w:sz w:val="17"/>
              </w:rPr>
              <w:t>Ja</w:t>
            </w:r>
          </w:p>
        </w:tc>
        <w:tc>
          <w:tcPr>
            <w:tcW w:type="dxa" w:w="738"/>
          </w:tcPr>
          <w:p>
            <w:pPr>
              <w:spacing w:after="0" w:line="252" w:lineRule="auto"/>
            </w:pPr>
            <w:r>
              <w:rPr>
                <w:sz w:val="17"/>
              </w:rPr>
              <w:t>Ja</w:t>
            </w:r>
          </w:p>
        </w:tc>
        <w:tc>
          <w:tcPr>
            <w:tcW w:type="dxa" w:w="4024"/>
          </w:tcPr>
          <w:p>
            <w:pPr>
              <w:spacing w:after="0" w:line="252" w:lineRule="auto"/>
            </w:pPr>
            <w:r>
              <w:rPr>
                <w:sz w:val="17"/>
              </w:rPr>
              <w:t>Format des eingerichteten Systempartners (z. B. CSV, Festlänge, XML, JSON)</w:t>
            </w:r>
          </w:p>
        </w:tc>
      </w:tr>
      <w:tr>
        <w:tc>
          <w:tcPr>
            <w:tcW w:type="dxa" w:w="4024"/>
          </w:tcPr>
          <w:p>
            <w:pPr>
              <w:spacing w:after="0" w:line="252" w:lineRule="auto"/>
            </w:pPr>
            <w:r>
              <w:rPr>
                <w:sz w:val="17"/>
              </w:rPr>
              <w:t xml:space="preserve">Excel-Import aus </w:t>
            </w:r>
            <w:r>
              <w:rPr>
                <w:b/>
                <w:sz w:val="17"/>
              </w:rPr>
              <w:t>MD001</w:t>
            </w:r>
            <w:r>
              <w:rPr>
                <w:sz w:val="17"/>
              </w:rPr>
              <w:t xml:space="preserve"> → </w:t>
            </w:r>
            <w:r>
              <w:rPr>
                <w:b/>
                <w:sz w:val="17"/>
              </w:rPr>
              <w:t>Artikel importieren</w:t>
            </w:r>
            <w:r>
              <w:rPr>
                <w:sz w:val="17"/>
              </w:rPr>
              <w:t xml:space="preserve"> → </w:t>
            </w:r>
            <w:r>
              <w:rPr>
                <w:b/>
                <w:sz w:val="17"/>
              </w:rPr>
              <w:t>LM163</w:t>
            </w:r>
            <w:r>
              <w:rPr>
                <w:sz w:val="17"/>
              </w:rPr>
              <w:t xml:space="preserve"> mit Zuordnungsprofil (</w:t>
            </w:r>
            <w:r>
              <w:rPr>
                <w:b/>
                <w:sz w:val="17"/>
              </w:rPr>
              <w:t>LM161</w:t>
            </w:r>
            <w:r>
              <w:rPr>
                <w:sz w:val="17"/>
              </w:rPr>
              <w:t>)</w:t>
            </w:r>
          </w:p>
        </w:tc>
        <w:tc>
          <w:tcPr>
            <w:tcW w:type="dxa" w:w="738"/>
          </w:tcPr>
          <w:p>
            <w:pPr>
              <w:spacing w:after="0" w:line="252" w:lineRule="auto"/>
            </w:pPr>
            <w:r>
              <w:rPr>
                <w:sz w:val="17"/>
              </w:rPr>
              <w:t>Nein</w:t>
            </w:r>
          </w:p>
        </w:tc>
        <w:tc>
          <w:tcPr>
            <w:tcW w:type="dxa" w:w="738"/>
          </w:tcPr>
          <w:p>
            <w:pPr>
              <w:spacing w:after="0" w:line="252" w:lineRule="auto"/>
            </w:pPr>
            <w:r>
              <w:rPr>
                <w:sz w:val="17"/>
              </w:rPr>
              <w:t>Ja</w:t>
            </w:r>
          </w:p>
        </w:tc>
        <w:tc>
          <w:tcPr>
            <w:tcW w:type="dxa" w:w="4024"/>
          </w:tcPr>
          <w:p>
            <w:pPr>
              <w:spacing w:after="0" w:line="252" w:lineRule="auto"/>
            </w:pPr>
            <w:r>
              <w:rPr>
                <w:sz w:val="17"/>
              </w:rPr>
              <w:t>Excel-Datei, Aufbau frei, über Profil zugeordnet</w:t>
            </w:r>
          </w:p>
        </w:tc>
      </w:tr>
      <w:tr>
        <w:tc>
          <w:tcPr>
            <w:tcW w:type="dxa" w:w="4024"/>
          </w:tcPr>
          <w:p>
            <w:pPr>
              <w:spacing w:after="0" w:line="252" w:lineRule="auto"/>
            </w:pPr>
            <w:r>
              <w:rPr>
                <w:sz w:val="17"/>
              </w:rPr>
              <w:t>Excel-Import für Einlager-, Kommissionier- und Inventurbedarfe</w:t>
            </w:r>
          </w:p>
        </w:tc>
        <w:tc>
          <w:tcPr>
            <w:tcW w:type="dxa" w:w="738"/>
          </w:tcPr>
          <w:p>
            <w:pPr>
              <w:spacing w:after="0" w:line="252" w:lineRule="auto"/>
            </w:pPr>
            <w:r>
              <w:rPr>
                <w:sz w:val="17"/>
              </w:rPr>
              <w:t>Nein</w:t>
            </w:r>
          </w:p>
        </w:tc>
        <w:tc>
          <w:tcPr>
            <w:tcW w:type="dxa" w:w="738"/>
          </w:tcPr>
          <w:p>
            <w:pPr>
              <w:spacing w:after="0" w:line="252" w:lineRule="auto"/>
            </w:pPr>
            <w:r>
              <w:rPr>
                <w:sz w:val="17"/>
              </w:rPr>
              <w:t>Ja</w:t>
            </w:r>
          </w:p>
        </w:tc>
        <w:tc>
          <w:tcPr>
            <w:tcW w:type="dxa" w:w="4024"/>
          </w:tcPr>
          <w:p>
            <w:pPr>
              <w:spacing w:after="0" w:line="252" w:lineRule="auto"/>
            </w:pPr>
            <w:r>
              <w:rPr>
                <w:sz w:val="17"/>
              </w:rPr>
              <w:t>wie oben, aus LM080, LM071 bzw. LM090</w:t>
            </w:r>
          </w:p>
        </w:tc>
      </w:tr>
      <w:tr>
        <w:tc>
          <w:tcPr>
            <w:tcW w:type="dxa" w:w="4024"/>
          </w:tcPr>
          <w:p>
            <w:pPr>
              <w:spacing w:after="0" w:line="252" w:lineRule="auto"/>
            </w:pPr>
            <w:r>
              <w:rPr>
                <w:sz w:val="17"/>
              </w:rPr>
              <w:t>Werte aus Excel in Tabellen einfügen (Kopieren/Einfügen)</w:t>
            </w:r>
          </w:p>
        </w:tc>
        <w:tc>
          <w:tcPr>
            <w:tcW w:type="dxa" w:w="738"/>
          </w:tcPr>
          <w:p>
            <w:pPr>
              <w:spacing w:after="0" w:line="252" w:lineRule="auto"/>
            </w:pPr>
            <w:r>
              <w:rPr>
                <w:sz w:val="17"/>
              </w:rPr>
              <w:t>Ja</w:t>
            </w:r>
          </w:p>
        </w:tc>
        <w:tc>
          <w:tcPr>
            <w:tcW w:type="dxa" w:w="738"/>
          </w:tcPr>
          <w:p>
            <w:pPr>
              <w:spacing w:after="0" w:line="252" w:lineRule="auto"/>
            </w:pPr>
            <w:r>
              <w:rPr>
                <w:sz w:val="17"/>
              </w:rPr>
              <w:t>Ja</w:t>
            </w:r>
          </w:p>
        </w:tc>
        <w:tc>
          <w:tcPr>
            <w:tcW w:type="dxa" w:w="4024"/>
          </w:tcPr>
          <w:p>
            <w:pPr>
              <w:spacing w:after="0" w:line="252" w:lineRule="auto"/>
            </w:pPr>
            <w:r>
              <w:rPr>
                <w:sz w:val="17"/>
              </w:rPr>
              <w:t>Zwischenablage; ersetzt keinen Import</w:t>
            </w:r>
          </w:p>
        </w:tc>
      </w:tr>
    </w:tbl>
    <w:p>
      <w:pPr>
        <w:pStyle w:val="BeschriftungSSI"/>
      </w:pPr>
      <w:r>
        <w:t>Tab. 11: Importmöglichkeiten</w:t>
      </w:r>
    </w:p>
    <w:p>
      <w:pPr>
        <w:pStyle w:val="Heading2"/>
      </w:pPr>
      <w:r>
        <w:t>8.2 Prinzip: Jeder Import ist eine Systempartnernachricht</w:t>
      </w:r>
    </w:p>
    <w:p>
      <w:r>
        <w:t xml:space="preserve">Ein Import schreibt </w:t>
      </w:r>
      <w:r>
        <w:rPr>
          <w:b/>
        </w:rPr>
        <w:t>nicht direkt</w:t>
      </w:r>
      <w:r>
        <w:t xml:space="preserve"> in den Artikelstamm. WAMAS wandelt die Datei in </w:t>
      </w:r>
      <w:r>
        <w:rPr>
          <w:b/>
        </w:rPr>
        <w:t>Systempartnernachrichten</w:t>
      </w:r>
      <w:r>
        <w:t xml:space="preserve"> um und verarbeitet sie genauso, als kämen sie von einem ERP. Daraus folgt:</w:t>
      </w:r>
    </w:p>
    <w:p>
      <w:pPr>
        <w:pStyle w:val="ListBullet"/>
      </w:pPr>
      <w:r>
        <w:t xml:space="preserve">Artikel werden erst angelegt oder geändert, wenn die Nachricht </w:t>
      </w:r>
      <w:r>
        <w:rPr>
          <w:b/>
        </w:rPr>
        <w:t>erfolgreich verarbeitet</w:t>
      </w:r>
      <w:r>
        <w:t xml:space="preserve"> wurde. Schlägt die Verarbeitung fehl, wird nichts angelegt oder geändert.</w:t>
      </w:r>
    </w:p>
    <w:p>
      <w:pPr>
        <w:pStyle w:val="ListBullet"/>
      </w:pPr>
      <w:r>
        <w:t xml:space="preserve">Sie sehen jede importierte Nachricht im Dialog </w:t>
      </w:r>
      <w:r>
        <w:rPr>
          <w:b/>
        </w:rPr>
        <w:t>DI002 Übersicht eingehende Systempartnernachrichten</w:t>
      </w:r>
      <w:r>
        <w:t xml:space="preserve"> und können Fehler dort korrigieren (Kapitel 8.6).</w:t>
      </w:r>
    </w:p>
    <w:p>
      <w:pPr>
        <w:pStyle w:val="ListBullet"/>
      </w:pPr>
      <w:r>
        <w:t>Es gelten die Pflichtfelder und Längen der Artikelstamm-Schnittstelle (Kapitel 8.5.2).</w:t>
      </w:r>
    </w:p>
    <w:p>
      <w:pPr>
        <w:pStyle w:val="Quelle"/>
      </w:pPr>
      <w:r>
        <w:rPr>
          <w:b/>
        </w:rPr>
        <w:t xml:space="preserve">Quelle: </w:t>
      </w:r>
      <w:r>
        <w:rPr>
          <w:sz w:val="17"/>
        </w:rPr>
        <w:t>Administrator Manual 2.8, Kap. 3.5.5 und 3.5.6 (S. 89–90)</w:t>
      </w:r>
    </w:p>
    <w:p>
      <w:pPr>
        <w:pStyle w:val="Heading2"/>
      </w:pPr>
      <w:r>
        <w:t>8.3 [2.8] Excel-Import mit Zuordnungsprofil</w:t>
      </w:r>
    </w:p>
    <w:p>
      <w:pPr>
        <w:pStyle w:val="Heading3"/>
      </w:pPr>
      <w:r>
        <w:t>8.3.1 Zuordnungsprofil einrichten (einmalig, Administrator)</w:t>
      </w:r>
    </w:p>
    <w:p>
      <w:r>
        <w:t>Das Profil legt fest, welche Spalte Ihrer Excel-Datei in welches Artikelfeld geht. Eine feste Excel-Vorlage gibt es nicht: Ihr Dateiaufbau wird über das Profil abgebildet.</w:t>
      </w:r>
    </w:p>
    <w:p>
      <w:pPr>
        <w:tabs>
          <w:tab w:pos="425" w:val="left"/>
        </w:tabs>
        <w:spacing w:after="60"/>
        <w:ind w:left="425" w:hanging="425"/>
      </w:pPr>
      <w:r>
        <w:rPr>
          <w:b/>
        </w:rPr>
        <w:t>1.</w:t>
        <w:tab/>
      </w:r>
      <w:r>
        <w:t xml:space="preserve">Dialog </w:t>
      </w:r>
      <w:r>
        <w:rPr>
          <w:b/>
        </w:rPr>
        <w:t>LM161 Schnittstellen-Zuordnungsprofil pflegen</w:t>
      </w:r>
      <w:r>
        <w:t xml:space="preserve"> (Maintain Interface Mapping Profile) öffnen.</w:t>
      </w:r>
    </w:p>
    <w:p>
      <w:pPr>
        <w:tabs>
          <w:tab w:pos="425" w:val="left"/>
        </w:tabs>
        <w:spacing w:after="60"/>
        <w:ind w:left="425" w:hanging="425"/>
      </w:pPr>
      <w:r>
        <w:rPr>
          <w:b/>
        </w:rPr>
        <w:t>2.</w:t>
        <w:tab/>
      </w:r>
      <w:r>
        <w:t xml:space="preserve">Neues Profil: eindeutigen Namen im Feld </w:t>
      </w:r>
      <w:r>
        <w:rPr>
          <w:b/>
        </w:rPr>
        <w:t>Schnittstellen-Zuordnungsprofil</w:t>
      </w:r>
      <w:r>
        <w:t xml:space="preserve"> eingeben. Bestehendes Profil: im selben Feld auswählen.</w:t>
      </w:r>
    </w:p>
    <w:p>
      <w:pPr>
        <w:tabs>
          <w:tab w:pos="425" w:val="left"/>
        </w:tabs>
        <w:spacing w:after="60"/>
        <w:ind w:left="425" w:hanging="425"/>
      </w:pPr>
      <w:r>
        <w:rPr>
          <w:b/>
        </w:rPr>
        <w:t>3.</w:t>
        <w:tab/>
      </w:r>
      <w:r>
        <w:t xml:space="preserve">Registerkarte </w:t>
      </w:r>
      <w:r>
        <w:rPr>
          <w:b/>
        </w:rPr>
        <w:t>Schnittstellenzuordnung</w:t>
      </w:r>
      <w:r>
        <w:t xml:space="preserve"> (Interface Mapping) bearbeiten (Tab. 12).</w:t>
      </w:r>
    </w:p>
    <w:p>
      <w:pPr>
        <w:tabs>
          <w:tab w:pos="425" w:val="left"/>
        </w:tabs>
        <w:spacing w:after="60"/>
        <w:ind w:left="425" w:hanging="425"/>
      </w:pPr>
      <w:r>
        <w:rPr>
          <w:b/>
        </w:rPr>
        <w:t>4.</w:t>
        <w:tab/>
      </w:r>
      <w:r>
        <w:t xml:space="preserve">Registerkarte </w:t>
      </w:r>
      <w:r>
        <w:rPr>
          <w:b/>
        </w:rPr>
        <w:t>Datenzuordnung</w:t>
      </w:r>
      <w:r>
        <w:t xml:space="preserve"> (Data Mapping) bearbeiten (Tab. 13).</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Feld</w:t>
            </w:r>
          </w:p>
        </w:tc>
        <w:tc>
          <w:tcPr>
            <w:tcW w:type="dxa" w:w="3175"/>
            <w:shd w:val="clear" w:color="auto" w:fill="FEEE19"/>
          </w:tcPr>
          <w:p>
            <w:pPr>
              <w:spacing w:after="0"/>
            </w:pPr>
            <w:r>
              <w:rPr>
                <w:b/>
                <w:sz w:val="17"/>
              </w:rPr>
              <w:t>Werte</w:t>
            </w:r>
          </w:p>
        </w:tc>
        <w:tc>
          <w:tcPr>
            <w:tcW w:type="dxa" w:w="3175"/>
            <w:shd w:val="clear" w:color="auto" w:fill="FEEE19"/>
          </w:tcPr>
          <w:p>
            <w:pPr>
              <w:spacing w:after="0"/>
            </w:pPr>
            <w:r>
              <w:rPr>
                <w:b/>
                <w:sz w:val="17"/>
              </w:rPr>
              <w:t>Bedeutung</w:t>
            </w:r>
          </w:p>
        </w:tc>
      </w:tr>
      <w:tr>
        <w:tc>
          <w:tcPr>
            <w:tcW w:type="dxa" w:w="3175"/>
          </w:tcPr>
          <w:p>
            <w:pPr>
              <w:spacing w:after="0" w:line="252" w:lineRule="auto"/>
            </w:pPr>
            <w:r>
              <w:rPr>
                <w:b/>
                <w:sz w:val="17"/>
              </w:rPr>
              <w:t>Datensatz</w:t>
            </w:r>
            <w:r>
              <w:rPr>
                <w:sz w:val="17"/>
              </w:rPr>
              <w:t xml:space="preserve"> (Data record)</w:t>
            </w:r>
          </w:p>
        </w:tc>
        <w:tc>
          <w:tcPr>
            <w:tcW w:type="dxa" w:w="3175"/>
          </w:tcPr>
          <w:p>
            <w:pPr>
              <w:spacing w:after="0" w:line="252" w:lineRule="auto"/>
            </w:pPr>
            <w:r>
              <w:rPr>
                <w:sz w:val="17"/>
              </w:rPr>
              <w:t>Artikel, Einlagerbedarf, Kommissionierbedarf, Inventurbedarf</w:t>
            </w:r>
          </w:p>
        </w:tc>
        <w:tc>
          <w:tcPr>
            <w:tcW w:type="dxa" w:w="3175"/>
          </w:tcPr>
          <w:p>
            <w:pPr>
              <w:spacing w:after="0" w:line="252" w:lineRule="auto"/>
            </w:pPr>
            <w:r>
              <w:rPr>
                <w:sz w:val="17"/>
              </w:rPr>
              <w:t xml:space="preserve">Wofür das Profil gilt; für Artikel: </w:t>
            </w:r>
            <w:r>
              <w:rPr>
                <w:b/>
                <w:sz w:val="17"/>
              </w:rPr>
              <w:t>Artikel</w:t>
            </w:r>
            <w:r>
              <w:rPr>
                <w:sz w:val="17"/>
              </w:rPr>
              <w:t xml:space="preserve"> (Item)</w:t>
            </w:r>
          </w:p>
        </w:tc>
      </w:tr>
      <w:tr>
        <w:tc>
          <w:tcPr>
            <w:tcW w:type="dxa" w:w="3175"/>
          </w:tcPr>
          <w:p>
            <w:pPr>
              <w:spacing w:after="0" w:line="252" w:lineRule="auto"/>
            </w:pPr>
            <w:r>
              <w:rPr>
                <w:b/>
                <w:sz w:val="17"/>
              </w:rPr>
              <w:t>Datenvalidierung</w:t>
            </w:r>
            <w:r>
              <w:rPr>
                <w:sz w:val="17"/>
              </w:rPr>
              <w:t xml:space="preserve"> (Data validation)</w:t>
            </w:r>
          </w:p>
        </w:tc>
        <w:tc>
          <w:tcPr>
            <w:tcW w:type="dxa" w:w="3175"/>
          </w:tcPr>
          <w:p>
            <w:pPr>
              <w:spacing w:after="0" w:line="252" w:lineRule="auto"/>
            </w:pPr>
            <w:r>
              <w:rPr>
                <w:b/>
                <w:sz w:val="17"/>
              </w:rPr>
              <w:t>Import abbrechen</w:t>
            </w:r>
            <w:r>
              <w:rPr>
                <w:sz w:val="17"/>
              </w:rPr>
              <w:t xml:space="preserve"> (Cancel import)</w:t>
            </w:r>
          </w:p>
        </w:tc>
        <w:tc>
          <w:tcPr>
            <w:tcW w:type="dxa" w:w="3175"/>
          </w:tcPr>
          <w:p>
            <w:pPr>
              <w:spacing w:after="0" w:line="252" w:lineRule="auto"/>
            </w:pPr>
            <w:r>
              <w:rPr>
                <w:sz w:val="17"/>
              </w:rPr>
              <w:t>Bei einem Fehler oder einer ungültigen Zeile wird nichts importiert; Fehlermeldung</w:t>
            </w:r>
          </w:p>
        </w:tc>
      </w:tr>
      <w:tr>
        <w:tc>
          <w:tcPr>
            <w:tcW w:type="dxa" w:w="3175"/>
          </w:tcPr>
          <w:p>
            <w:pPr>
              <w:spacing w:after="0" w:line="252" w:lineRule="auto"/>
            </w:pPr>
          </w:p>
        </w:tc>
        <w:tc>
          <w:tcPr>
            <w:tcW w:type="dxa" w:w="3175"/>
          </w:tcPr>
          <w:p>
            <w:pPr>
              <w:spacing w:after="0" w:line="252" w:lineRule="auto"/>
            </w:pPr>
            <w:r>
              <w:rPr>
                <w:b/>
                <w:sz w:val="17"/>
              </w:rPr>
              <w:t>Ungültige Zeilen überspringen</w:t>
            </w:r>
            <w:r>
              <w:rPr>
                <w:sz w:val="17"/>
              </w:rPr>
              <w:t xml:space="preserve"> (Skip invalid lines)</w:t>
            </w:r>
          </w:p>
        </w:tc>
        <w:tc>
          <w:tcPr>
            <w:tcW w:type="dxa" w:w="3175"/>
          </w:tcPr>
          <w:p>
            <w:pPr>
              <w:spacing w:after="0" w:line="252" w:lineRule="auto"/>
            </w:pPr>
            <w:r>
              <w:rPr>
                <w:sz w:val="17"/>
              </w:rPr>
              <w:t>Fehlerhafte Zeile wird übersprungen; gültige Zeilen werden importiert</w:t>
            </w:r>
          </w:p>
        </w:tc>
      </w:tr>
      <w:tr>
        <w:tc>
          <w:tcPr>
            <w:tcW w:type="dxa" w:w="3175"/>
          </w:tcPr>
          <w:p>
            <w:pPr>
              <w:spacing w:after="0" w:line="252" w:lineRule="auto"/>
            </w:pPr>
            <w:r>
              <w:rPr>
                <w:b/>
                <w:sz w:val="17"/>
              </w:rPr>
              <w:t>Aktion bei Zuordnungsfehler</w:t>
            </w:r>
            <w:r>
              <w:rPr>
                <w:sz w:val="17"/>
              </w:rPr>
              <w:t xml:space="preserve"> (Action in case of mapping error)</w:t>
            </w:r>
          </w:p>
        </w:tc>
        <w:tc>
          <w:tcPr>
            <w:tcW w:type="dxa" w:w="3175"/>
          </w:tcPr>
          <w:p>
            <w:pPr>
              <w:spacing w:after="0" w:line="252" w:lineRule="auto"/>
            </w:pPr>
            <w:r>
              <w:rPr>
                <w:b/>
                <w:sz w:val="17"/>
              </w:rPr>
              <w:t>Import abbrechen</w:t>
            </w:r>
          </w:p>
        </w:tc>
        <w:tc>
          <w:tcPr>
            <w:tcW w:type="dxa" w:w="3175"/>
          </w:tcPr>
          <w:p>
            <w:pPr>
              <w:spacing w:after="0" w:line="252" w:lineRule="auto"/>
            </w:pPr>
            <w:r>
              <w:rPr>
                <w:sz w:val="17"/>
              </w:rPr>
              <w:t>Bei nicht zugeordneten Spalten wird die ganze Datei abgewiesen</w:t>
            </w:r>
          </w:p>
        </w:tc>
      </w:tr>
      <w:tr>
        <w:tc>
          <w:tcPr>
            <w:tcW w:type="dxa" w:w="3175"/>
          </w:tcPr>
          <w:p>
            <w:pPr>
              <w:spacing w:after="0" w:line="252" w:lineRule="auto"/>
            </w:pPr>
          </w:p>
        </w:tc>
        <w:tc>
          <w:tcPr>
            <w:tcW w:type="dxa" w:w="3175"/>
          </w:tcPr>
          <w:p>
            <w:pPr>
              <w:spacing w:after="0" w:line="252" w:lineRule="auto"/>
            </w:pPr>
            <w:r>
              <w:rPr>
                <w:b/>
                <w:sz w:val="17"/>
              </w:rPr>
              <w:t>Ungültige Zeilen überspringen</w:t>
            </w:r>
          </w:p>
        </w:tc>
        <w:tc>
          <w:tcPr>
            <w:tcW w:type="dxa" w:w="3175"/>
          </w:tcPr>
          <w:p>
            <w:pPr>
              <w:spacing w:after="0" w:line="252" w:lineRule="auto"/>
            </w:pPr>
            <w:r>
              <w:rPr>
                <w:sz w:val="17"/>
              </w:rPr>
              <w:t>Zeilen mit nicht zugeordneten Spalten werden übersprungen</w:t>
            </w:r>
          </w:p>
        </w:tc>
      </w:tr>
      <w:tr>
        <w:tc>
          <w:tcPr>
            <w:tcW w:type="dxa" w:w="3175"/>
          </w:tcPr>
          <w:p>
            <w:pPr>
              <w:spacing w:after="0" w:line="252" w:lineRule="auto"/>
            </w:pPr>
          </w:p>
        </w:tc>
        <w:tc>
          <w:tcPr>
            <w:tcW w:type="dxa" w:w="3175"/>
          </w:tcPr>
          <w:p>
            <w:pPr>
              <w:spacing w:after="0" w:line="252" w:lineRule="auto"/>
            </w:pPr>
            <w:r>
              <w:rPr>
                <w:b/>
                <w:sz w:val="17"/>
              </w:rPr>
              <w:t>Nicht zugeordnete Felder ignorieren</w:t>
            </w:r>
            <w:r>
              <w:rPr>
                <w:sz w:val="17"/>
              </w:rPr>
              <w:t xml:space="preserve"> (Ignore unmapped fields)</w:t>
            </w:r>
          </w:p>
        </w:tc>
        <w:tc>
          <w:tcPr>
            <w:tcW w:type="dxa" w:w="3175"/>
          </w:tcPr>
          <w:p>
            <w:pPr>
              <w:spacing w:after="0" w:line="252" w:lineRule="auto"/>
            </w:pPr>
            <w:r>
              <w:rPr>
                <w:sz w:val="17"/>
              </w:rPr>
              <w:t>Alle Zeilen werden importiert; nicht zugeordnete Spalten werden ignoriert</w:t>
            </w:r>
          </w:p>
        </w:tc>
      </w:tr>
    </w:tbl>
    <w:p>
      <w:pPr>
        <w:pStyle w:val="BeschriftungSSI"/>
      </w:pPr>
      <w:r>
        <w:t>Tab. 12: Registerkarte „Schnittstellenzuordnung“</w:t>
      </w:r>
    </w:p>
    <w:p>
      <w:r>
        <w:br w:type="page"/>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Feld</w:t>
            </w:r>
          </w:p>
        </w:tc>
        <w:tc>
          <w:tcPr>
            <w:tcW w:type="dxa" w:w="4762"/>
            <w:shd w:val="clear" w:color="auto" w:fill="FEEE19"/>
          </w:tcPr>
          <w:p>
            <w:pPr>
              <w:spacing w:after="0"/>
            </w:pPr>
            <w:r>
              <w:rPr>
                <w:b/>
                <w:sz w:val="17"/>
              </w:rPr>
              <w:t>Bedeutung</w:t>
            </w:r>
          </w:p>
        </w:tc>
      </w:tr>
      <w:tr>
        <w:tc>
          <w:tcPr>
            <w:tcW w:type="dxa" w:w="4762"/>
          </w:tcPr>
          <w:p>
            <w:pPr>
              <w:spacing w:after="0" w:line="252" w:lineRule="auto"/>
            </w:pPr>
            <w:r>
              <w:rPr>
                <w:sz w:val="17"/>
              </w:rPr>
              <w:t xml:space="preserve">Neue Zeile (Icon </w:t>
            </w:r>
            <w:r>
              <w:rPr>
                <w:b/>
                <w:sz w:val="17"/>
              </w:rPr>
              <w:t>Datensatz anlegen</w:t>
            </w:r>
            <w:r>
              <w:rPr>
                <w:sz w:val="17"/>
              </w:rPr>
              <w:t>)</w:t>
            </w:r>
          </w:p>
        </w:tc>
        <w:tc>
          <w:tcPr>
            <w:tcW w:type="dxa" w:w="4762"/>
          </w:tcPr>
          <w:p>
            <w:pPr>
              <w:spacing w:after="0" w:line="252" w:lineRule="auto"/>
            </w:pPr>
            <w:r>
              <w:rPr>
                <w:sz w:val="17"/>
              </w:rPr>
              <w:t>Fügt eine Zuordnungszeile hinzu</w:t>
            </w:r>
          </w:p>
        </w:tc>
      </w:tr>
      <w:tr>
        <w:tc>
          <w:tcPr>
            <w:tcW w:type="dxa" w:w="4762"/>
          </w:tcPr>
          <w:p>
            <w:pPr>
              <w:spacing w:after="0" w:line="252" w:lineRule="auto"/>
            </w:pPr>
            <w:r>
              <w:rPr>
                <w:b/>
                <w:sz w:val="17"/>
              </w:rPr>
              <w:t>Satzart</w:t>
            </w:r>
            <w:r>
              <w:rPr>
                <w:sz w:val="17"/>
              </w:rPr>
              <w:t xml:space="preserve"> (Record type)</w:t>
            </w:r>
          </w:p>
        </w:tc>
        <w:tc>
          <w:tcPr>
            <w:tcW w:type="dxa" w:w="4762"/>
          </w:tcPr>
          <w:p>
            <w:pPr>
              <w:spacing w:after="0" w:line="252" w:lineRule="auto"/>
            </w:pPr>
            <w:r>
              <w:rPr>
                <w:sz w:val="17"/>
              </w:rPr>
              <w:t>Haupt- oder Untersatz der Systempartnernachricht, z. B. Artikel, Bezeichnung, Alias, Verpackungsversion, Mengeneinheit</w:t>
            </w:r>
          </w:p>
        </w:tc>
      </w:tr>
      <w:tr>
        <w:tc>
          <w:tcPr>
            <w:tcW w:type="dxa" w:w="4762"/>
          </w:tcPr>
          <w:p>
            <w:pPr>
              <w:spacing w:after="0" w:line="252" w:lineRule="auto"/>
            </w:pPr>
            <w:r>
              <w:rPr>
                <w:b/>
                <w:sz w:val="17"/>
              </w:rPr>
              <w:t>Datenfeld</w:t>
            </w:r>
            <w:r>
              <w:rPr>
                <w:sz w:val="17"/>
              </w:rPr>
              <w:t xml:space="preserve"> (Data field)</w:t>
            </w:r>
          </w:p>
        </w:tc>
        <w:tc>
          <w:tcPr>
            <w:tcW w:type="dxa" w:w="4762"/>
          </w:tcPr>
          <w:p>
            <w:pPr>
              <w:spacing w:after="0" w:line="252" w:lineRule="auto"/>
            </w:pPr>
            <w:r>
              <w:rPr>
                <w:sz w:val="17"/>
              </w:rPr>
              <w:t>Feld dieser Satzart, z. B. Artikelnummer</w:t>
            </w:r>
          </w:p>
        </w:tc>
      </w:tr>
      <w:tr>
        <w:tc>
          <w:tcPr>
            <w:tcW w:type="dxa" w:w="4762"/>
          </w:tcPr>
          <w:p>
            <w:pPr>
              <w:spacing w:after="0" w:line="252" w:lineRule="auto"/>
            </w:pPr>
            <w:r>
              <w:rPr>
                <w:b/>
                <w:sz w:val="17"/>
              </w:rPr>
              <w:t>Blattindex</w:t>
            </w:r>
            <w:r>
              <w:rPr>
                <w:sz w:val="17"/>
              </w:rPr>
              <w:t xml:space="preserve"> (Sheet index) und </w:t>
            </w:r>
            <w:r>
              <w:rPr>
                <w:b/>
                <w:sz w:val="17"/>
              </w:rPr>
              <w:t>Spaltenindex</w:t>
            </w:r>
            <w:r>
              <w:rPr>
                <w:sz w:val="17"/>
              </w:rPr>
              <w:t xml:space="preserve"> (Column index)</w:t>
            </w:r>
          </w:p>
        </w:tc>
        <w:tc>
          <w:tcPr>
            <w:tcW w:type="dxa" w:w="4762"/>
          </w:tcPr>
          <w:p>
            <w:pPr>
              <w:spacing w:after="0" w:line="252" w:lineRule="auto"/>
            </w:pPr>
            <w:r>
              <w:rPr>
                <w:sz w:val="17"/>
              </w:rPr>
              <w:t>Arbeitsblatt und Spalte in der Excel-Datei; alternativ ein fester Wert (statischer Wert)</w:t>
            </w:r>
          </w:p>
        </w:tc>
      </w:tr>
      <w:tr>
        <w:tc>
          <w:tcPr>
            <w:tcW w:type="dxa" w:w="4762"/>
          </w:tcPr>
          <w:p>
            <w:pPr>
              <w:spacing w:after="0" w:line="252" w:lineRule="auto"/>
            </w:pPr>
            <w:r>
              <w:rPr>
                <w:b/>
                <w:sz w:val="17"/>
              </w:rPr>
              <w:t>Eindeutig</w:t>
            </w:r>
            <w:r>
              <w:rPr>
                <w:sz w:val="17"/>
              </w:rPr>
              <w:t xml:space="preserve"> (Unique)</w:t>
            </w:r>
          </w:p>
        </w:tc>
        <w:tc>
          <w:tcPr>
            <w:tcW w:type="dxa" w:w="4762"/>
          </w:tcPr>
          <w:p>
            <w:pPr>
              <w:spacing w:after="0" w:line="252" w:lineRule="auto"/>
            </w:pPr>
            <w:r>
              <w:rPr>
                <w:sz w:val="17"/>
              </w:rPr>
              <w:t>Für jeden eindeutigen Wert dieser Spalte wird ein eigener Datensatz erzeugt, z. B. ein Artikel je Artikelnummer</w:t>
            </w:r>
          </w:p>
        </w:tc>
      </w:tr>
    </w:tbl>
    <w:p>
      <w:pPr>
        <w:pStyle w:val="BeschriftungSSI"/>
      </w:pPr>
      <w:r>
        <w:t>Tab. 13: Registerkarte „Datenzuordnung“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Feste Werte statt Spalten</w:t>
            </w:r>
          </w:p>
          <w:p>
            <w:pPr>
              <w:spacing w:after="40"/>
            </w:pPr>
            <w:r>
              <w:rPr>
                <w:sz w:val="19"/>
              </w:rPr>
              <w:t xml:space="preserve">Werte, die für alle Artikel gleich sind (z. B. Klient, Artikeltyp, Variante </w:t>
            </w:r>
            <w:r>
              <w:rPr>
                <w:rFonts w:ascii="Consolas" w:hAnsi="Consolas" w:cs="Consolas" w:eastAsia="Consolas"/>
                <w:sz w:val="17"/>
              </w:rPr>
              <w:t>0</w:t>
            </w:r>
            <w:r>
              <w:rPr>
                <w:sz w:val="19"/>
              </w:rPr>
              <w:t>), müssen nicht in der Excel-Datei stehen. Ordnen Sie im Profil einen statischen Wert zu.</w:t>
            </w:r>
          </w:p>
        </w:tc>
      </w:tr>
    </w:tbl>
    <w:p>
      <w:pPr>
        <w:spacing w:after="40"/>
      </w:pPr>
    </w:p>
    <w:p>
      <w:pPr>
        <w:pStyle w:val="Quelle"/>
      </w:pPr>
      <w:r>
        <w:rPr>
          <w:b/>
        </w:rPr>
        <w:t xml:space="preserve">Quelle: </w:t>
      </w:r>
      <w:r>
        <w:rPr>
          <w:sz w:val="17"/>
        </w:rPr>
        <w:t>Administrator Manual 2.8, Kap. 3.5.5–3.5.5.2 (S. 89–90)</w:t>
      </w:r>
    </w:p>
    <w:p>
      <w:pPr>
        <w:pStyle w:val="Heading3"/>
      </w:pPr>
      <w:r>
        <w:t>8.3.2 Excel-Datei vorbereiten</w:t>
      </w:r>
    </w:p>
    <w:p>
      <w:r>
        <w:t>Empfohlener Aufbau (Spalten frei wählbar, Zuordnung über das Profil):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02"/>
        <w:gridCol w:w="6016"/>
        <w:gridCol w:w="2406"/>
      </w:tblGrid>
      <w:tr>
        <w:trPr>
          <w:tblHeader w:val="true"/>
        </w:trPr>
        <w:tc>
          <w:tcPr>
            <w:tcW w:type="dxa" w:w="1103"/>
            <w:shd w:val="clear" w:color="auto" w:fill="FEEE19"/>
          </w:tcPr>
          <w:p>
            <w:pPr>
              <w:spacing w:after="0"/>
            </w:pPr>
            <w:r>
              <w:rPr>
                <w:b/>
                <w:sz w:val="17"/>
              </w:rPr>
              <w:t>Spalte</w:t>
            </w:r>
          </w:p>
        </w:tc>
        <w:tc>
          <w:tcPr>
            <w:tcW w:type="dxa" w:w="6015"/>
            <w:shd w:val="clear" w:color="auto" w:fill="FEEE19"/>
          </w:tcPr>
          <w:p>
            <w:pPr>
              <w:spacing w:after="0"/>
            </w:pPr>
            <w:r>
              <w:rPr>
                <w:b/>
                <w:sz w:val="17"/>
              </w:rPr>
              <w:t>Inhalt</w:t>
            </w:r>
          </w:p>
        </w:tc>
        <w:tc>
          <w:tcPr>
            <w:tcW w:type="dxa" w:w="2406"/>
            <w:shd w:val="clear" w:color="auto" w:fill="FEEE19"/>
          </w:tcPr>
          <w:p>
            <w:pPr>
              <w:spacing w:after="0"/>
            </w:pPr>
            <w:r>
              <w:rPr>
                <w:b/>
                <w:sz w:val="17"/>
              </w:rPr>
              <w:t>Pflicht</w:t>
            </w:r>
          </w:p>
        </w:tc>
      </w:tr>
      <w:tr>
        <w:tc>
          <w:tcPr>
            <w:tcW w:type="dxa" w:w="1103"/>
          </w:tcPr>
          <w:p>
            <w:pPr>
              <w:spacing w:after="0" w:line="252" w:lineRule="auto"/>
            </w:pPr>
            <w:r>
              <w:rPr>
                <w:sz w:val="17"/>
              </w:rPr>
              <w:t>A</w:t>
            </w:r>
          </w:p>
        </w:tc>
        <w:tc>
          <w:tcPr>
            <w:tcW w:type="dxa" w:w="6015"/>
          </w:tcPr>
          <w:p>
            <w:pPr>
              <w:spacing w:after="0" w:line="252" w:lineRule="auto"/>
            </w:pPr>
            <w:r>
              <w:rPr>
                <w:sz w:val="17"/>
              </w:rPr>
              <w:t>Artikelnummer (max. 40 Zeichen)</w:t>
            </w:r>
          </w:p>
        </w:tc>
        <w:tc>
          <w:tcPr>
            <w:tcW w:type="dxa" w:w="2406"/>
          </w:tcPr>
          <w:p>
            <w:pPr>
              <w:spacing w:after="0" w:line="252" w:lineRule="auto"/>
            </w:pPr>
            <w:r>
              <w:rPr>
                <w:sz w:val="17"/>
              </w:rPr>
              <w:t>Ja</w:t>
            </w:r>
          </w:p>
        </w:tc>
      </w:tr>
      <w:tr>
        <w:tc>
          <w:tcPr>
            <w:tcW w:type="dxa" w:w="1103"/>
          </w:tcPr>
          <w:p>
            <w:pPr>
              <w:spacing w:after="0" w:line="252" w:lineRule="auto"/>
            </w:pPr>
            <w:r>
              <w:rPr>
                <w:sz w:val="17"/>
              </w:rPr>
              <w:t>B</w:t>
            </w:r>
          </w:p>
        </w:tc>
        <w:tc>
          <w:tcPr>
            <w:tcW w:type="dxa" w:w="6015"/>
          </w:tcPr>
          <w:p>
            <w:pPr>
              <w:spacing w:after="0" w:line="252" w:lineRule="auto"/>
            </w:pPr>
            <w:r>
              <w:rPr>
                <w:sz w:val="17"/>
              </w:rPr>
              <w:t>Bezeichnung 1 (max. 40 Zeichen)</w:t>
            </w:r>
          </w:p>
        </w:tc>
        <w:tc>
          <w:tcPr>
            <w:tcW w:type="dxa" w:w="2406"/>
          </w:tcPr>
          <w:p>
            <w:pPr>
              <w:spacing w:after="0" w:line="252" w:lineRule="auto"/>
            </w:pPr>
            <w:r>
              <w:rPr>
                <w:sz w:val="17"/>
              </w:rPr>
              <w:t>Empfohlen</w:t>
            </w:r>
          </w:p>
        </w:tc>
      </w:tr>
      <w:tr>
        <w:tc>
          <w:tcPr>
            <w:tcW w:type="dxa" w:w="1103"/>
          </w:tcPr>
          <w:p>
            <w:pPr>
              <w:spacing w:after="0" w:line="252" w:lineRule="auto"/>
            </w:pPr>
            <w:r>
              <w:rPr>
                <w:sz w:val="17"/>
              </w:rPr>
              <w:t>C</w:t>
            </w:r>
          </w:p>
        </w:tc>
        <w:tc>
          <w:tcPr>
            <w:tcW w:type="dxa" w:w="6015"/>
          </w:tcPr>
          <w:p>
            <w:pPr>
              <w:spacing w:after="0" w:line="252" w:lineRule="auto"/>
            </w:pPr>
            <w:r>
              <w:rPr>
                <w:sz w:val="17"/>
              </w:rPr>
              <w:t>Bezeichnung 2</w:t>
            </w:r>
          </w:p>
        </w:tc>
        <w:tc>
          <w:tcPr>
            <w:tcW w:type="dxa" w:w="2406"/>
          </w:tcPr>
          <w:p>
            <w:pPr>
              <w:spacing w:after="0" w:line="252" w:lineRule="auto"/>
            </w:pPr>
            <w:r>
              <w:rPr>
                <w:sz w:val="17"/>
              </w:rPr>
              <w:t>Nein</w:t>
            </w:r>
          </w:p>
        </w:tc>
      </w:tr>
      <w:tr>
        <w:tc>
          <w:tcPr>
            <w:tcW w:type="dxa" w:w="1103"/>
          </w:tcPr>
          <w:p>
            <w:pPr>
              <w:spacing w:after="0" w:line="252" w:lineRule="auto"/>
            </w:pPr>
            <w:r>
              <w:rPr>
                <w:sz w:val="17"/>
              </w:rPr>
              <w:t>D</w:t>
            </w:r>
          </w:p>
        </w:tc>
        <w:tc>
          <w:tcPr>
            <w:tcW w:type="dxa" w:w="6015"/>
          </w:tcPr>
          <w:p>
            <w:pPr>
              <w:spacing w:after="0" w:line="252" w:lineRule="auto"/>
            </w:pPr>
            <w:r>
              <w:rPr>
                <w:sz w:val="17"/>
              </w:rPr>
              <w:t>Basismengeneinheit (wie in MD017, max. 5 Zeichen)</w:t>
            </w:r>
          </w:p>
        </w:tc>
        <w:tc>
          <w:tcPr>
            <w:tcW w:type="dxa" w:w="2406"/>
          </w:tcPr>
          <w:p>
            <w:pPr>
              <w:spacing w:after="0" w:line="252" w:lineRule="auto"/>
            </w:pPr>
            <w:r>
              <w:rPr>
                <w:sz w:val="17"/>
              </w:rPr>
              <w:t>Ja</w:t>
            </w:r>
          </w:p>
        </w:tc>
      </w:tr>
      <w:tr>
        <w:tc>
          <w:tcPr>
            <w:tcW w:type="dxa" w:w="1103"/>
          </w:tcPr>
          <w:p>
            <w:pPr>
              <w:spacing w:after="0" w:line="252" w:lineRule="auto"/>
            </w:pPr>
            <w:r>
              <w:rPr>
                <w:sz w:val="17"/>
              </w:rPr>
              <w:t>E</w:t>
            </w:r>
          </w:p>
        </w:tc>
        <w:tc>
          <w:tcPr>
            <w:tcW w:type="dxa" w:w="6015"/>
          </w:tcPr>
          <w:p>
            <w:pPr>
              <w:spacing w:after="0" w:line="252" w:lineRule="auto"/>
            </w:pPr>
            <w:r>
              <w:rPr>
                <w:sz w:val="17"/>
              </w:rPr>
              <w:t>Artikeltyp (wie in MD017)</w:t>
            </w:r>
          </w:p>
        </w:tc>
        <w:tc>
          <w:tcPr>
            <w:tcW w:type="dxa" w:w="2406"/>
          </w:tcPr>
          <w:p>
            <w:pPr>
              <w:spacing w:after="0" w:line="252" w:lineRule="auto"/>
            </w:pPr>
            <w:r>
              <w:rPr>
                <w:sz w:val="17"/>
              </w:rPr>
              <w:t>Ja, falls nicht statisch</w:t>
            </w:r>
          </w:p>
        </w:tc>
      </w:tr>
      <w:tr>
        <w:tc>
          <w:tcPr>
            <w:tcW w:type="dxa" w:w="1103"/>
          </w:tcPr>
          <w:p>
            <w:pPr>
              <w:spacing w:after="0" w:line="252" w:lineRule="auto"/>
            </w:pPr>
            <w:r>
              <w:rPr>
                <w:sz w:val="17"/>
              </w:rPr>
              <w:t>F</w:t>
            </w:r>
          </w:p>
        </w:tc>
        <w:tc>
          <w:tcPr>
            <w:tcW w:type="dxa" w:w="6015"/>
          </w:tcPr>
          <w:p>
            <w:pPr>
              <w:spacing w:after="0" w:line="252" w:lineRule="auto"/>
            </w:pPr>
            <w:r>
              <w:rPr>
                <w:sz w:val="17"/>
              </w:rPr>
              <w:t>Warengruppe</w:t>
            </w:r>
          </w:p>
        </w:tc>
        <w:tc>
          <w:tcPr>
            <w:tcW w:type="dxa" w:w="2406"/>
          </w:tcPr>
          <w:p>
            <w:pPr>
              <w:spacing w:after="0" w:line="252" w:lineRule="auto"/>
            </w:pPr>
            <w:r>
              <w:rPr>
                <w:sz w:val="17"/>
              </w:rPr>
              <w:t>Nein</w:t>
            </w:r>
          </w:p>
        </w:tc>
      </w:tr>
      <w:tr>
        <w:tc>
          <w:tcPr>
            <w:tcW w:type="dxa" w:w="1103"/>
          </w:tcPr>
          <w:p>
            <w:pPr>
              <w:spacing w:after="0" w:line="252" w:lineRule="auto"/>
            </w:pPr>
            <w:r>
              <w:rPr>
                <w:sz w:val="17"/>
              </w:rPr>
              <w:t>G</w:t>
            </w:r>
          </w:p>
        </w:tc>
        <w:tc>
          <w:tcPr>
            <w:tcW w:type="dxa" w:w="6015"/>
          </w:tcPr>
          <w:p>
            <w:pPr>
              <w:spacing w:after="0" w:line="252" w:lineRule="auto"/>
            </w:pPr>
            <w:r>
              <w:rPr>
                <w:sz w:val="17"/>
              </w:rPr>
              <w:t>GTIN/EAN der Basiseinheit</w:t>
            </w:r>
          </w:p>
        </w:tc>
        <w:tc>
          <w:tcPr>
            <w:tcW w:type="dxa" w:w="2406"/>
          </w:tcPr>
          <w:p>
            <w:pPr>
              <w:spacing w:after="0" w:line="252" w:lineRule="auto"/>
            </w:pPr>
            <w:r>
              <w:rPr>
                <w:sz w:val="17"/>
              </w:rPr>
              <w:t>Nein</w:t>
            </w:r>
          </w:p>
        </w:tc>
      </w:tr>
      <w:tr>
        <w:tc>
          <w:tcPr>
            <w:tcW w:type="dxa" w:w="1103"/>
          </w:tcPr>
          <w:p>
            <w:pPr>
              <w:spacing w:after="0" w:line="252" w:lineRule="auto"/>
            </w:pPr>
            <w:r>
              <w:rPr>
                <w:sz w:val="17"/>
              </w:rPr>
              <w:t>H</w:t>
            </w:r>
          </w:p>
        </w:tc>
        <w:tc>
          <w:tcPr>
            <w:tcW w:type="dxa" w:w="6015"/>
          </w:tcPr>
          <w:p>
            <w:pPr>
              <w:spacing w:after="0" w:line="252" w:lineRule="auto"/>
            </w:pPr>
            <w:r>
              <w:rPr>
                <w:sz w:val="17"/>
              </w:rPr>
              <w:t>Bruttogewicht, Länge, Breite, Höhe der Basiseinheit</w:t>
            </w:r>
          </w:p>
        </w:tc>
        <w:tc>
          <w:tcPr>
            <w:tcW w:type="dxa" w:w="2406"/>
          </w:tcPr>
          <w:p>
            <w:pPr>
              <w:spacing w:after="0" w:line="252" w:lineRule="auto"/>
            </w:pPr>
            <w:r>
              <w:rPr>
                <w:sz w:val="17"/>
              </w:rPr>
              <w:t>Nein</w:t>
            </w:r>
          </w:p>
        </w:tc>
      </w:tr>
      <w:tr>
        <w:tc>
          <w:tcPr>
            <w:tcW w:type="dxa" w:w="1103"/>
          </w:tcPr>
          <w:p>
            <w:pPr>
              <w:spacing w:after="0" w:line="252" w:lineRule="auto"/>
            </w:pPr>
            <w:r>
              <w:rPr>
                <w:sz w:val="17"/>
              </w:rPr>
              <w:t>I</w:t>
            </w:r>
          </w:p>
        </w:tc>
        <w:tc>
          <w:tcPr>
            <w:tcW w:type="dxa" w:w="6015"/>
          </w:tcPr>
          <w:p>
            <w:pPr>
              <w:spacing w:after="0" w:line="252" w:lineRule="auto"/>
            </w:pPr>
            <w:r>
              <w:rPr>
                <w:sz w:val="17"/>
              </w:rPr>
              <w:t xml:space="preserve">Charge Pflicht? (Werte wie in der Schnittstelle, z. B. </w:t>
            </w:r>
            <w:r>
              <w:rPr>
                <w:rFonts w:ascii="Consolas" w:hAnsi="Consolas" w:cs="Consolas" w:eastAsia="Consolas"/>
                <w:sz w:val="15"/>
              </w:rPr>
              <w:t>MANDATORY</w:t>
            </w:r>
            <w:r>
              <w:rPr>
                <w:sz w:val="17"/>
              </w:rPr>
              <w:t xml:space="preserve">, </w:t>
            </w:r>
            <w:r>
              <w:rPr>
                <w:rFonts w:ascii="Consolas" w:hAnsi="Consolas" w:cs="Consolas" w:eastAsia="Consolas"/>
                <w:sz w:val="15"/>
              </w:rPr>
              <w:t>OPTIONAL</w:t>
            </w:r>
            <w:r>
              <w:rPr>
                <w:sz w:val="17"/>
              </w:rPr>
              <w:t>)</w:t>
            </w:r>
          </w:p>
        </w:tc>
        <w:tc>
          <w:tcPr>
            <w:tcW w:type="dxa" w:w="2406"/>
          </w:tcPr>
          <w:p>
            <w:pPr>
              <w:spacing w:after="0" w:line="252" w:lineRule="auto"/>
            </w:pPr>
            <w:r>
              <w:rPr>
                <w:sz w:val="17"/>
              </w:rPr>
              <w:t>Nein</w:t>
            </w:r>
          </w:p>
        </w:tc>
      </w:tr>
    </w:tbl>
    <w:p>
      <w:pPr>
        <w:pStyle w:val="BeschriftungSSI"/>
      </w:pPr>
      <w:r>
        <w:t>Tab. 14: Beispielaufbau der Excel-Datei</w:t>
      </w:r>
    </w:p>
    <w:p>
      <w:pPr>
        <w:pStyle w:val="ListBullet"/>
      </w:pPr>
      <w:r>
        <w:t xml:space="preserve">Werte in Auswahlfeldern (Einheiten, Artikeltyp, Warengruppe) müssen </w:t>
      </w:r>
      <w:r>
        <w:rPr>
          <w:b/>
        </w:rPr>
        <w:t>exakt</w:t>
      </w:r>
      <w:r>
        <w:t xml:space="preserve"> den in MD017 gepflegten Kürzeln entsprechen (Groß-/Kleinschreibung beachten).</w:t>
      </w:r>
    </w:p>
    <w:p>
      <w:pPr>
        <w:pStyle w:val="ListBullet"/>
      </w:pPr>
      <w:r>
        <w:t xml:space="preserve">Artikelnummern als </w:t>
      </w:r>
      <w:r>
        <w:rPr>
          <w:b/>
        </w:rPr>
        <w:t>Text</w:t>
      </w:r>
      <w:r>
        <w:t xml:space="preserve"> formatieren, damit Excel keine führenden Nullen entfernt oder lange Nummern in Exponentialschreibweise wandelt.</w:t>
      </w:r>
    </w:p>
    <w:p>
      <w:pPr>
        <w:pStyle w:val="ListBullet"/>
      </w:pPr>
      <w:r>
        <w:t>Keine verbundenen Zellen, keine Leerzeilen, ein Artikel pro Zeile.</w:t>
      </w:r>
    </w:p>
    <w:p>
      <w:pPr>
        <w:pStyle w:val="Heading3"/>
      </w:pPr>
      <w:r>
        <w:t>8.3.3 Import durchführen</w:t>
      </w:r>
    </w:p>
    <w:p>
      <w:pPr>
        <w:tabs>
          <w:tab w:pos="425" w:val="left"/>
        </w:tabs>
        <w:spacing w:after="60"/>
        <w:ind w:left="425" w:hanging="425"/>
      </w:pPr>
      <w:r>
        <w:rPr>
          <w:b/>
        </w:rPr>
        <w:t>1.</w:t>
        <w:tab/>
      </w:r>
      <w:r>
        <w:rPr>
          <w:b/>
        </w:rPr>
        <w:t>MD001 Übersicht Artikel</w:t>
      </w:r>
      <w:r>
        <w:t xml:space="preserve"> öffnen.</w:t>
      </w:r>
    </w:p>
    <w:p>
      <w:pPr>
        <w:tabs>
          <w:tab w:pos="425" w:val="left"/>
        </w:tabs>
        <w:spacing w:after="60"/>
        <w:ind w:left="425" w:hanging="425"/>
      </w:pPr>
      <w:r>
        <w:rPr>
          <w:b/>
        </w:rPr>
        <w:t>2.</w:t>
        <w:tab/>
      </w:r>
      <w:r>
        <w:t xml:space="preserve">Rechtsklick in den Bereich </w:t>
      </w:r>
      <w:r>
        <w:rPr>
          <w:b/>
        </w:rPr>
        <w:t>Suchergebnis</w:t>
      </w:r>
      <w:r>
        <w:t xml:space="preserve"> → </w:t>
      </w:r>
      <w:r>
        <w:rPr>
          <w:b/>
        </w:rPr>
        <w:t>Artikel importieren</w:t>
      </w:r>
      <w:r>
        <w:t xml:space="preserve"> (Import Item). Der Dialog </w:t>
      </w:r>
      <w:r>
        <w:rPr>
          <w:b/>
        </w:rPr>
        <w:t>LM163 Datei importieren</w:t>
      </w:r>
      <w:r>
        <w:t xml:space="preserve"> (Import File) öffnet sich.</w:t>
      </w:r>
    </w:p>
    <w:p>
      <w:pPr>
        <w:tabs>
          <w:tab w:pos="425" w:val="left"/>
        </w:tabs>
        <w:spacing w:after="60"/>
        <w:ind w:left="425" w:hanging="425"/>
      </w:pPr>
      <w:r>
        <w:rPr>
          <w:b/>
        </w:rPr>
        <w:t>3.</w:t>
        <w:tab/>
      </w:r>
      <w:r>
        <w:rPr>
          <w:b/>
        </w:rPr>
        <w:t>Dateipfad</w:t>
      </w:r>
      <w:r>
        <w:t>: die Excel-Datei wählen.</w:t>
      </w:r>
    </w:p>
    <w:p>
      <w:pPr>
        <w:tabs>
          <w:tab w:pos="425" w:val="left"/>
        </w:tabs>
        <w:spacing w:after="60"/>
        <w:ind w:left="425" w:hanging="425"/>
      </w:pPr>
      <w:r>
        <w:rPr>
          <w:b/>
        </w:rPr>
        <w:t>4.</w:t>
        <w:tab/>
      </w:r>
      <w:r>
        <w:rPr>
          <w:b/>
        </w:rPr>
        <w:t>Schnittstellen-Zuordnungsprofil</w:t>
      </w:r>
      <w:r>
        <w:t>: das Profil aus Kapitel 8.3.1 wählen.</w:t>
      </w:r>
    </w:p>
    <w:p>
      <w:pPr>
        <w:tabs>
          <w:tab w:pos="425" w:val="left"/>
        </w:tabs>
        <w:spacing w:after="60"/>
        <w:ind w:left="425" w:hanging="425"/>
      </w:pPr>
      <w:r>
        <w:rPr>
          <w:b/>
        </w:rPr>
        <w:t>5.</w:t>
        <w:tab/>
      </w:r>
      <w:r>
        <w:rPr>
          <w:b/>
        </w:rPr>
        <w:t>Konverter</w:t>
      </w:r>
      <w:r>
        <w:t xml:space="preserve">: einen </w:t>
      </w:r>
      <w:r>
        <w:rPr>
          <w:b/>
        </w:rPr>
        <w:t>JSON-Konverter</w:t>
      </w:r>
      <w:r>
        <w:t xml:space="preserve"> wählen.</w:t>
      </w:r>
    </w:p>
    <w:p>
      <w:pPr>
        <w:tabs>
          <w:tab w:pos="425" w:val="left"/>
        </w:tabs>
        <w:spacing w:after="60"/>
        <w:ind w:left="425" w:hanging="425"/>
      </w:pPr>
      <w:r>
        <w:rPr>
          <w:b/>
        </w:rPr>
        <w:t>6.</w:t>
        <w:tab/>
      </w:r>
      <w:r>
        <w:rPr>
          <w:b/>
        </w:rPr>
        <w:t>Systempartner</w:t>
      </w:r>
      <w:r>
        <w:t>: den Systempartner wählen, für den die Daten importiert werden.</w:t>
      </w:r>
    </w:p>
    <w:p>
      <w:pPr>
        <w:tabs>
          <w:tab w:pos="425" w:val="left"/>
        </w:tabs>
        <w:spacing w:after="60"/>
        <w:ind w:left="425" w:hanging="425"/>
      </w:pPr>
      <w:r>
        <w:rPr>
          <w:b/>
        </w:rPr>
        <w:t>7.</w:t>
        <w:tab/>
      </w:r>
      <w:r>
        <w:rPr>
          <w:b/>
        </w:rPr>
        <w:t>Importieren</w:t>
      </w:r>
      <w:r>
        <w:t xml:space="preserve"> drücken.</w:t>
      </w:r>
    </w:p>
    <w:p>
      <w:pPr>
        <w:tabs>
          <w:tab w:pos="425" w:val="left"/>
        </w:tabs>
        <w:spacing w:after="60"/>
        <w:ind w:left="425" w:hanging="425"/>
      </w:pPr>
      <w:r>
        <w:rPr>
          <w:b/>
        </w:rPr>
        <w:t>8.</w:t>
        <w:tab/>
      </w:r>
      <w:r>
        <w:t xml:space="preserve">Ergebnis in </w:t>
      </w:r>
      <w:r>
        <w:rPr>
          <w:b/>
        </w:rPr>
        <w:t>DI002</w:t>
      </w:r>
      <w:r>
        <w:t xml:space="preserve"> (Nachrichten) und </w:t>
      </w:r>
      <w:r>
        <w:rPr>
          <w:b/>
        </w:rPr>
        <w:t>MD001</w:t>
      </w:r>
      <w:r>
        <w:t xml:space="preserve"> (Artikel) prüfen.</w:t>
      </w:r>
    </w:p>
    <w:p>
      <w:pPr>
        <w:pStyle w:val="Quelle"/>
      </w:pPr>
      <w:r>
        <w:rPr>
          <w:b/>
        </w:rPr>
        <w:t xml:space="preserve">Quelle: </w:t>
      </w:r>
      <w:r>
        <w:rPr>
          <w:sz w:val="17"/>
        </w:rPr>
        <w:t>Administrator Manual 2.8, Kap. 3.5.6.1 (S. 90–91)</w:t>
      </w:r>
    </w:p>
    <w:p>
      <w:pPr>
        <w:pStyle w:val="Heading3"/>
      </w:pPr>
      <w:r>
        <w:t>8.3.4 Neuanlage oder Aktualisierung</w:t>
      </w:r>
    </w:p>
    <w:p>
      <w:r>
        <w:t xml:space="preserve">Laut Handbuch dient der Excel-Import dazu, Artikel „anzulegen </w:t>
      </w:r>
      <w:r>
        <w:rPr>
          <w:b/>
        </w:rPr>
        <w:t>oder zu aktualisieren</w:t>
      </w:r>
      <w:r>
        <w:t>“. Ein Artikel mit bereits vorhandenem Schlüssel (Klient, Artikelnummer, Variante) wird demnach aktualisiert, ein neuer Schlüssel angelegt.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Details zum Excel-Import (2.8)</w:t>
            </w:r>
          </w:p>
          <w:p>
            <w:pPr>
              <w:spacing w:after="40"/>
            </w:pPr>
            <w:r>
              <w:rPr>
                <w:sz w:val="19"/>
              </w:rPr>
              <w:t>Im Administrator Manual 2.8 nicht beschrieben und daher im System zu prüfen:</w:t>
            </w:r>
          </w:p>
          <w:p>
            <w:pPr>
              <w:spacing w:after="40"/>
            </w:pPr>
            <w:r>
              <w:rPr>
                <w:sz w:val="19"/>
              </w:rPr>
              <w:t>1. Zulässige Dateitypen (z. B. .xlsx und/oder .xls) und maximale Dateigröße.</w:t>
            </w:r>
          </w:p>
          <w:p>
            <w:pPr>
              <w:spacing w:after="40"/>
            </w:pPr>
            <w:r>
              <w:rPr>
                <w:sz w:val="19"/>
              </w:rPr>
              <w:t>2. Ob Blatt- und Spaltenindex bei 0 oder 1 beginnen und wie eine Überschriftenzeile übersprungen wird.</w:t>
            </w:r>
          </w:p>
          <w:p>
            <w:pPr>
              <w:spacing w:after="40"/>
            </w:pPr>
            <w:r>
              <w:rPr>
                <w:sz w:val="19"/>
              </w:rPr>
              <w:t>3. Welche Felder bei einer Aktualisierung überschrieben werden. Bei der Schnittstelle ist die Aktualisierbarkeit je Feld projektspezifisch festgelegt.</w:t>
            </w:r>
          </w:p>
          <w:p>
            <w:pPr>
              <w:spacing w:after="40"/>
            </w:pPr>
            <w:r>
              <w:rPr>
                <w:sz w:val="19"/>
              </w:rPr>
              <w:t>4. Ob leere Zellen bei einer Aktualisierung vorhandene Werte löschen.</w:t>
            </w:r>
          </w:p>
          <w:p>
            <w:pPr>
              <w:spacing w:after="40"/>
            </w:pPr>
            <w:r>
              <w:rPr>
                <w:sz w:val="19"/>
              </w:rPr>
              <w:t>5. Welcher JSON-Konverter und welcher Systempartner in Ihrem System einzutragen sind (Vorgabe aus der Inbetriebnahme).</w:t>
            </w:r>
          </w:p>
          <w:p>
            <w:pPr>
              <w:spacing w:after="40"/>
            </w:pPr>
            <w:r>
              <w:rPr>
                <w:sz w:val="19"/>
              </w:rPr>
              <w:t>6. Ob SSI SCHÄFER ein vorbereitetes Standardprofil ausliefert.</w:t>
            </w:r>
          </w:p>
        </w:tc>
      </w:tr>
    </w:tbl>
    <w:p>
      <w:pPr>
        <w:spacing w:after="40"/>
      </w:pPr>
    </w:p>
    <w:p>
      <w:pPr>
        <w:pStyle w:val="Heading2"/>
      </w:pPr>
      <w:r>
        <w:t>8.4 Initialer Artikelstammimport per Datei (2.7 und 2.8)</w:t>
      </w:r>
    </w:p>
    <w:p>
      <w:r>
        <w:t>Für die Erstbefüllung oder eine einmalige Übernahme aus einem Altsystem bietet WAMAS einen Dateiimport über die Nachrichtenübersicht:</w:t>
      </w:r>
    </w:p>
    <w:p>
      <w:pPr>
        <w:tabs>
          <w:tab w:pos="425" w:val="left"/>
        </w:tabs>
        <w:spacing w:after="60"/>
        <w:ind w:left="425" w:hanging="425"/>
      </w:pPr>
      <w:r>
        <w:rPr>
          <w:b/>
        </w:rPr>
        <w:t>1.</w:t>
        <w:tab/>
      </w:r>
      <w:r>
        <w:t xml:space="preserve">Dialog </w:t>
      </w:r>
      <w:r>
        <w:rPr>
          <w:b/>
        </w:rPr>
        <w:t>DI002 Übersicht eingehende Systempartnernachrichten</w:t>
      </w:r>
      <w:r>
        <w:t xml:space="preserve"> öffnen.</w:t>
      </w:r>
    </w:p>
    <w:p>
      <w:pPr>
        <w:tabs>
          <w:tab w:pos="425" w:val="left"/>
        </w:tabs>
        <w:spacing w:after="60"/>
        <w:ind w:left="425" w:hanging="425"/>
      </w:pPr>
      <w:r>
        <w:rPr>
          <w:b/>
        </w:rPr>
        <w:t>2.</w:t>
        <w:tab/>
      </w:r>
      <w:r>
        <w:t xml:space="preserve">Mit </w:t>
      </w:r>
      <w:r>
        <w:rPr>
          <w:b/>
        </w:rPr>
        <w:t>Suchen</w:t>
      </w:r>
      <w:r>
        <w:t xml:space="preserve"> eine Liste anzeigen.</w:t>
      </w:r>
    </w:p>
    <w:p>
      <w:pPr>
        <w:tabs>
          <w:tab w:pos="425" w:val="left"/>
        </w:tabs>
        <w:spacing w:after="60"/>
        <w:ind w:left="425" w:hanging="425"/>
      </w:pPr>
      <w:r>
        <w:rPr>
          <w:b/>
        </w:rPr>
        <w:t>3.</w:t>
        <w:tab/>
      </w:r>
      <w:r>
        <w:t xml:space="preserve">Rechtsklick in den Bereich </w:t>
      </w:r>
      <w:r>
        <w:rPr>
          <w:b/>
        </w:rPr>
        <w:t>Suchergebnis</w:t>
      </w:r>
      <w:r>
        <w:t xml:space="preserve"> → </w:t>
      </w:r>
      <w:r>
        <w:rPr>
          <w:b/>
        </w:rPr>
        <w:t>Daten importieren</w:t>
      </w:r>
      <w:r>
        <w:t xml:space="preserve"> (2.8: Import Files). Der Dialog </w:t>
      </w:r>
      <w:r>
        <w:rPr>
          <w:b/>
        </w:rPr>
        <w:t>DI014 Dateien auswählen</w:t>
      </w:r>
      <w:r>
        <w:t xml:space="preserve"> öffnet sich.</w:t>
      </w:r>
    </w:p>
    <w:p>
      <w:pPr>
        <w:tabs>
          <w:tab w:pos="425" w:val="left"/>
        </w:tabs>
        <w:spacing w:after="60"/>
        <w:ind w:left="425" w:hanging="425"/>
      </w:pPr>
      <w:r>
        <w:rPr>
          <w:b/>
        </w:rPr>
        <w:t>4.</w:t>
        <w:tab/>
      </w:r>
      <w:r>
        <w:t xml:space="preserve">Im Feld </w:t>
      </w:r>
      <w:r>
        <w:rPr>
          <w:b/>
        </w:rPr>
        <w:t>Dateipfad</w:t>
      </w:r>
      <w:r>
        <w:t xml:space="preserve"> die Datei wählen. </w:t>
      </w:r>
      <w:r>
        <w:rPr>
          <w:b/>
        </w:rPr>
        <w:t>Systempartner</w:t>
      </w:r>
      <w:r>
        <w:t xml:space="preserve">, </w:t>
      </w:r>
      <w:r>
        <w:rPr>
          <w:b/>
        </w:rPr>
        <w:t>Zeichencodierung</w:t>
      </w:r>
      <w:r>
        <w:t xml:space="preserve"> usw. werden automatisch befüllt.</w:t>
      </w:r>
    </w:p>
    <w:p>
      <w:pPr>
        <w:tabs>
          <w:tab w:pos="425" w:val="left"/>
        </w:tabs>
        <w:spacing w:after="60"/>
        <w:ind w:left="425" w:hanging="425"/>
      </w:pPr>
      <w:r>
        <w:rPr>
          <w:b/>
        </w:rPr>
        <w:t>5.</w:t>
        <w:tab/>
      </w:r>
      <w:r>
        <w:rPr>
          <w:b/>
        </w:rPr>
        <w:t>Importieren</w:t>
      </w:r>
      <w:r>
        <w:t xml:space="preserve"> drücken.</w:t>
      </w:r>
    </w:p>
    <w:p>
      <w:pPr>
        <w:tabs>
          <w:tab w:pos="425" w:val="left"/>
        </w:tabs>
        <w:spacing w:after="60"/>
        <w:ind w:left="425" w:hanging="425"/>
      </w:pPr>
      <w:r>
        <w:rPr>
          <w:b/>
        </w:rPr>
        <w:t>6.</w:t>
        <w:tab/>
      </w:r>
      <w:r>
        <w:t xml:space="preserve">Die entstandene Nachricht in </w:t>
      </w:r>
      <w:r>
        <w:rPr>
          <w:b/>
        </w:rPr>
        <w:t>DI002</w:t>
      </w:r>
      <w:r>
        <w:t xml:space="preserve"> prüfen (Kapitel 8.6) und die Artikel in </w:t>
      </w:r>
      <w:r>
        <w:rPr>
          <w:b/>
        </w:rPr>
        <w:t>MD001</w:t>
      </w:r>
      <w:r>
        <w:t xml:space="preserve"> kontrollieren.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Kein Zuordnungsprofil</w:t>
            </w:r>
          </w:p>
          <w:p>
            <w:pPr>
              <w:spacing w:after="40"/>
            </w:pPr>
            <w:r>
              <w:rPr>
                <w:sz w:val="19"/>
              </w:rPr>
              <w:t>Anders als der Excel-Import in 2.8 nutzt dieser Weg kein Zuordnungsprofil. Die Datei wird mit dem für den Systempartner eingerichteten Konverter verarbeitet. Sie muss daher genau dem Format entsprechen, das bei der Inbetriebnahme für diesen Systempartner festgelegt wurde.</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Akzeptiertes Dateiformat in DI014</w:t>
            </w:r>
          </w:p>
          <w:p>
            <w:pPr>
              <w:spacing w:after="40"/>
            </w:pPr>
            <w:r>
              <w:rPr>
                <w:sz w:val="19"/>
              </w:rPr>
              <w:t>Das Handbuch 2.8 schreibt, dieser Import sei für kundenspezifische Excel-Dateien „ohne definiertes WAMAS-Format“ gedacht, beschreibt aber nicht, wie die Datei verarbeitet wird. Das Handbuch 2.7 nennt kein Format. Nach dem Schnittstellenhandbuch versteht WAMAS Artikelstammsätze in CSV, Festlänge, XML und JSON. Welches Format Ihr System hier annimmt und ob Excel direkt möglich ist, klären Sie bitte mit SSI SCHÄFER.</w:t>
            </w:r>
          </w:p>
        </w:tc>
      </w:tr>
    </w:tbl>
    <w:p>
      <w:pPr>
        <w:spacing w:after="40"/>
      </w:pPr>
    </w:p>
    <w:p>
      <w:pPr>
        <w:pStyle w:val="Quelle"/>
      </w:pPr>
      <w:r>
        <w:rPr>
          <w:b/>
        </w:rPr>
        <w:t xml:space="preserve">Quelle: </w:t>
      </w:r>
      <w:r>
        <w:rPr>
          <w:sz w:val="17"/>
        </w:rPr>
        <w:t>Administratorhandbuch 2.7, Kap. 3.5.5.1.5 (S. 96); Administrator Manual 2.8, Kap. 3.5.6.5 (S. 92)</w:t>
      </w:r>
    </w:p>
    <w:p>
      <w:pPr>
        <w:pStyle w:val="Heading2"/>
      </w:pPr>
      <w:r>
        <w:t>8.5 Aufbau einer Artikelstamm-Datei (Schnittstellenformat)</w:t>
      </w:r>
    </w:p>
    <w:p>
      <w:pPr>
        <w:pStyle w:val="Heading3"/>
      </w:pPr>
      <w:r>
        <w:t>8.5.1 Satzarten</w:t>
      </w:r>
    </w:p>
    <w:p>
      <w:r>
        <w:t>Ein Artikel besteht in der Datei aus einem Hauptsatz und optionalen Untersätzen: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1"/>
        <w:gridCol w:w="5379"/>
        <w:gridCol w:w="1905"/>
      </w:tblGrid>
      <w:tr>
        <w:trPr>
          <w:tblHeader w:val="true"/>
        </w:trPr>
        <w:tc>
          <w:tcPr>
            <w:tcW w:type="dxa" w:w="2241"/>
            <w:shd w:val="clear" w:color="auto" w:fill="FEEE19"/>
          </w:tcPr>
          <w:p>
            <w:pPr>
              <w:spacing w:after="0"/>
            </w:pPr>
            <w:r>
              <w:rPr>
                <w:b/>
                <w:sz w:val="17"/>
              </w:rPr>
              <w:t>Satzart</w:t>
            </w:r>
          </w:p>
        </w:tc>
        <w:tc>
          <w:tcPr>
            <w:tcW w:type="dxa" w:w="5378"/>
            <w:shd w:val="clear" w:color="auto" w:fill="FEEE19"/>
          </w:tcPr>
          <w:p>
            <w:pPr>
              <w:spacing w:after="0"/>
            </w:pPr>
            <w:r>
              <w:rPr>
                <w:b/>
                <w:sz w:val="17"/>
              </w:rPr>
              <w:t>Inhalt</w:t>
            </w:r>
          </w:p>
        </w:tc>
        <w:tc>
          <w:tcPr>
            <w:tcW w:type="dxa" w:w="1905"/>
            <w:shd w:val="clear" w:color="auto" w:fill="FEEE19"/>
          </w:tcPr>
          <w:p>
            <w:pPr>
              <w:spacing w:after="0"/>
            </w:pPr>
            <w:r>
              <w:rPr>
                <w:b/>
                <w:sz w:val="17"/>
              </w:rPr>
              <w:t>Anzahl je Artikel</w:t>
            </w:r>
          </w:p>
        </w:tc>
      </w:tr>
      <w:tr>
        <w:tc>
          <w:tcPr>
            <w:tcW w:type="dxa" w:w="2241"/>
          </w:tcPr>
          <w:p>
            <w:pPr>
              <w:spacing w:after="0" w:line="252" w:lineRule="auto"/>
            </w:pPr>
            <w:r>
              <w:rPr>
                <w:rFonts w:ascii="Consolas" w:hAnsi="Consolas" w:cs="Consolas" w:eastAsia="Consolas"/>
                <w:sz w:val="15"/>
              </w:rPr>
              <w:t>WLSITEM001</w:t>
            </w:r>
          </w:p>
        </w:tc>
        <w:tc>
          <w:tcPr>
            <w:tcW w:type="dxa" w:w="5378"/>
          </w:tcPr>
          <w:p>
            <w:pPr>
              <w:spacing w:after="0" w:line="252" w:lineRule="auto"/>
            </w:pPr>
            <w:r>
              <w:rPr>
                <w:sz w:val="17"/>
              </w:rPr>
              <w:t>Artikel (Hauptsatz)</w:t>
            </w:r>
          </w:p>
        </w:tc>
        <w:tc>
          <w:tcPr>
            <w:tcW w:type="dxa" w:w="1905"/>
          </w:tcPr>
          <w:p>
            <w:pPr>
              <w:spacing w:after="0" w:line="252" w:lineRule="auto"/>
            </w:pPr>
            <w:r>
              <w:rPr>
                <w:sz w:val="17"/>
              </w:rPr>
              <w:t>genau 1</w:t>
            </w:r>
          </w:p>
        </w:tc>
      </w:tr>
      <w:tr>
        <w:tc>
          <w:tcPr>
            <w:tcW w:type="dxa" w:w="2241"/>
          </w:tcPr>
          <w:p>
            <w:pPr>
              <w:spacing w:after="0" w:line="252" w:lineRule="auto"/>
            </w:pPr>
            <w:r>
              <w:rPr>
                <w:rFonts w:ascii="Consolas" w:hAnsi="Consolas" w:cs="Consolas" w:eastAsia="Consolas"/>
                <w:sz w:val="15"/>
              </w:rPr>
              <w:t>WLSITEMDESC001</w:t>
            </w:r>
          </w:p>
        </w:tc>
        <w:tc>
          <w:tcPr>
            <w:tcW w:type="dxa" w:w="5378"/>
          </w:tcPr>
          <w:p>
            <w:pPr>
              <w:spacing w:after="0" w:line="252" w:lineRule="auto"/>
            </w:pPr>
            <w:r>
              <w:rPr>
                <w:sz w:val="17"/>
              </w:rPr>
              <w:t>Bezeichnung je Sprache</w:t>
            </w:r>
          </w:p>
        </w:tc>
        <w:tc>
          <w:tcPr>
            <w:tcW w:type="dxa" w:w="1905"/>
          </w:tcPr>
          <w:p>
            <w:pPr>
              <w:spacing w:after="0" w:line="252" w:lineRule="auto"/>
            </w:pPr>
            <w:r>
              <w:rPr>
                <w:sz w:val="17"/>
              </w:rPr>
              <w:t>0…n</w:t>
            </w:r>
          </w:p>
        </w:tc>
      </w:tr>
      <w:tr>
        <w:tc>
          <w:tcPr>
            <w:tcW w:type="dxa" w:w="2241"/>
          </w:tcPr>
          <w:p>
            <w:pPr>
              <w:spacing w:after="0" w:line="252" w:lineRule="auto"/>
            </w:pPr>
            <w:r>
              <w:rPr>
                <w:rFonts w:ascii="Consolas" w:hAnsi="Consolas" w:cs="Consolas" w:eastAsia="Consolas"/>
                <w:sz w:val="15"/>
              </w:rPr>
              <w:t>WLSITEMALIAS001</w:t>
            </w:r>
          </w:p>
        </w:tc>
        <w:tc>
          <w:tcPr>
            <w:tcW w:type="dxa" w:w="5378"/>
          </w:tcPr>
          <w:p>
            <w:pPr>
              <w:spacing w:after="0" w:line="252" w:lineRule="auto"/>
            </w:pPr>
            <w:r>
              <w:rPr>
                <w:sz w:val="17"/>
              </w:rPr>
              <w:t>Artikel-Alias (z. B. GTIN)</w:t>
            </w:r>
          </w:p>
        </w:tc>
        <w:tc>
          <w:tcPr>
            <w:tcW w:type="dxa" w:w="1905"/>
          </w:tcPr>
          <w:p>
            <w:pPr>
              <w:spacing w:after="0" w:line="252" w:lineRule="auto"/>
            </w:pPr>
            <w:r>
              <w:rPr>
                <w:sz w:val="17"/>
              </w:rPr>
              <w:t>0…n</w:t>
            </w:r>
          </w:p>
        </w:tc>
      </w:tr>
      <w:tr>
        <w:tc>
          <w:tcPr>
            <w:tcW w:type="dxa" w:w="2241"/>
          </w:tcPr>
          <w:p>
            <w:pPr>
              <w:spacing w:after="0" w:line="252" w:lineRule="auto"/>
            </w:pPr>
            <w:r>
              <w:rPr>
                <w:rFonts w:ascii="Consolas" w:hAnsi="Consolas" w:cs="Consolas" w:eastAsia="Consolas"/>
                <w:sz w:val="15"/>
              </w:rPr>
              <w:t>WLSPKV001</w:t>
            </w:r>
          </w:p>
        </w:tc>
        <w:tc>
          <w:tcPr>
            <w:tcW w:type="dxa" w:w="5378"/>
          </w:tcPr>
          <w:p>
            <w:pPr>
              <w:spacing w:after="0" w:line="252" w:lineRule="auto"/>
            </w:pPr>
            <w:r>
              <w:rPr>
                <w:sz w:val="17"/>
              </w:rPr>
              <w:t>Verpackungsversion</w:t>
            </w:r>
          </w:p>
        </w:tc>
        <w:tc>
          <w:tcPr>
            <w:tcW w:type="dxa" w:w="1905"/>
          </w:tcPr>
          <w:p>
            <w:pPr>
              <w:spacing w:after="0" w:line="252" w:lineRule="auto"/>
            </w:pPr>
            <w:r>
              <w:rPr>
                <w:sz w:val="17"/>
              </w:rPr>
              <w:t>0…n</w:t>
            </w:r>
          </w:p>
        </w:tc>
      </w:tr>
      <w:tr>
        <w:tc>
          <w:tcPr>
            <w:tcW w:type="dxa" w:w="2241"/>
          </w:tcPr>
          <w:p>
            <w:pPr>
              <w:spacing w:after="0" w:line="252" w:lineRule="auto"/>
            </w:pPr>
            <w:r>
              <w:rPr>
                <w:rFonts w:ascii="Consolas" w:hAnsi="Consolas" w:cs="Consolas" w:eastAsia="Consolas"/>
                <w:sz w:val="15"/>
              </w:rPr>
              <w:t>WLSQTYUNIT001</w:t>
            </w:r>
          </w:p>
        </w:tc>
        <w:tc>
          <w:tcPr>
            <w:tcW w:type="dxa" w:w="5378"/>
          </w:tcPr>
          <w:p>
            <w:pPr>
              <w:spacing w:after="0" w:line="252" w:lineRule="auto"/>
            </w:pPr>
            <w:r>
              <w:rPr>
                <w:sz w:val="17"/>
              </w:rPr>
              <w:t>Artikelmengeneinheit mit Abmessungen und Gewicht</w:t>
            </w:r>
          </w:p>
        </w:tc>
        <w:tc>
          <w:tcPr>
            <w:tcW w:type="dxa" w:w="1905"/>
          </w:tcPr>
          <w:p>
            <w:pPr>
              <w:spacing w:after="0" w:line="252" w:lineRule="auto"/>
            </w:pPr>
            <w:r>
              <w:rPr>
                <w:sz w:val="17"/>
              </w:rPr>
              <w:t>0…n</w:t>
            </w:r>
          </w:p>
        </w:tc>
      </w:tr>
      <w:tr>
        <w:tc>
          <w:tcPr>
            <w:tcW w:type="dxa" w:w="2241"/>
          </w:tcPr>
          <w:p>
            <w:pPr>
              <w:spacing w:after="0" w:line="252" w:lineRule="auto"/>
            </w:pPr>
            <w:r>
              <w:rPr>
                <w:rFonts w:ascii="Consolas" w:hAnsi="Consolas" w:cs="Consolas" w:eastAsia="Consolas"/>
                <w:sz w:val="15"/>
              </w:rPr>
              <w:t>WLSITEMCUBATURE001</w:t>
            </w:r>
          </w:p>
        </w:tc>
        <w:tc>
          <w:tcPr>
            <w:tcW w:type="dxa" w:w="5378"/>
          </w:tcPr>
          <w:p>
            <w:pPr>
              <w:spacing w:after="0" w:line="252" w:lineRule="auto"/>
            </w:pPr>
            <w:r>
              <w:rPr>
                <w:sz w:val="17"/>
              </w:rPr>
              <w:t>Zuordnung zu einer LE-Kubatur (Boxtyp)</w:t>
            </w:r>
          </w:p>
        </w:tc>
        <w:tc>
          <w:tcPr>
            <w:tcW w:type="dxa" w:w="1905"/>
          </w:tcPr>
          <w:p>
            <w:pPr>
              <w:spacing w:after="0" w:line="252" w:lineRule="auto"/>
            </w:pPr>
            <w:r>
              <w:rPr>
                <w:sz w:val="17"/>
              </w:rPr>
              <w:t>0…n</w:t>
            </w:r>
          </w:p>
        </w:tc>
      </w:tr>
    </w:tbl>
    <w:p>
      <w:pPr>
        <w:pStyle w:val="BeschriftungSSI"/>
      </w:pPr>
      <w:r>
        <w:t>Tab. 15: Satzarten des Artikelstamms</w:t>
      </w:r>
    </w:p>
    <w:p>
      <w:pPr>
        <w:pStyle w:val="Quelle"/>
      </w:pPr>
      <w:r>
        <w:rPr>
          <w:b/>
        </w:rPr>
        <w:t xml:space="preserve">Quelle: </w:t>
      </w:r>
      <w:r>
        <w:rPr>
          <w:sz w:val="17"/>
        </w:rPr>
        <w:t>Schnittstellenhandbuch WLS–ERP 2.7, Kap. 5.1 (S. 42)</w:t>
      </w:r>
    </w:p>
    <w:p>
      <w:pPr>
        <w:pStyle w:val="Heading3"/>
      </w:pPr>
      <w:r>
        <w:t>8.5.2 Pflichtfelder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3"/>
        <w:gridCol w:w="7422"/>
      </w:tblGrid>
      <w:tr>
        <w:trPr>
          <w:tblHeader w:val="true"/>
        </w:trPr>
        <w:tc>
          <w:tcPr>
            <w:tcW w:type="dxa" w:w="2103"/>
            <w:shd w:val="clear" w:color="auto" w:fill="FEEE19"/>
          </w:tcPr>
          <w:p>
            <w:pPr>
              <w:spacing w:after="0"/>
            </w:pPr>
            <w:r>
              <w:rPr>
                <w:b/>
                <w:sz w:val="17"/>
              </w:rPr>
              <w:t>Satzart</w:t>
            </w:r>
          </w:p>
        </w:tc>
        <w:tc>
          <w:tcPr>
            <w:tcW w:type="dxa" w:w="7422"/>
            <w:shd w:val="clear" w:color="auto" w:fill="FEEE19"/>
          </w:tcPr>
          <w:p>
            <w:pPr>
              <w:spacing w:after="0"/>
            </w:pPr>
            <w:r>
              <w:rPr>
                <w:b/>
                <w:sz w:val="17"/>
              </w:rPr>
              <w:t>Pflichtfelder laut Schnittstellenhandbuch</w:t>
            </w:r>
          </w:p>
        </w:tc>
      </w:tr>
      <w:tr>
        <w:tc>
          <w:tcPr>
            <w:tcW w:type="dxa" w:w="2103"/>
          </w:tcPr>
          <w:p>
            <w:pPr>
              <w:spacing w:after="0" w:line="252" w:lineRule="auto"/>
            </w:pPr>
            <w:r>
              <w:rPr>
                <w:rFonts w:ascii="Consolas" w:hAnsi="Consolas" w:cs="Consolas" w:eastAsia="Consolas"/>
                <w:sz w:val="15"/>
              </w:rPr>
              <w:t>WLSITEM001</w:t>
            </w:r>
          </w:p>
        </w:tc>
        <w:tc>
          <w:tcPr>
            <w:tcW w:type="dxa" w:w="7422"/>
          </w:tcPr>
          <w:p>
            <w:pPr>
              <w:spacing w:after="0" w:line="252" w:lineRule="auto"/>
            </w:pPr>
            <w:r>
              <w:rPr>
                <w:sz w:val="17"/>
              </w:rPr>
              <w:t>Klient, Artikelnummer (max. 40), Basismengeneinheit (max. 5), Artikeltyp</w:t>
            </w:r>
          </w:p>
        </w:tc>
      </w:tr>
      <w:tr>
        <w:tc>
          <w:tcPr>
            <w:tcW w:type="dxa" w:w="2103"/>
          </w:tcPr>
          <w:p>
            <w:pPr>
              <w:spacing w:after="0" w:line="252" w:lineRule="auto"/>
            </w:pPr>
            <w:r>
              <w:rPr>
                <w:rFonts w:ascii="Consolas" w:hAnsi="Consolas" w:cs="Consolas" w:eastAsia="Consolas"/>
                <w:sz w:val="15"/>
              </w:rPr>
              <w:t>WLSITEMDESC001</w:t>
            </w:r>
          </w:p>
        </w:tc>
        <w:tc>
          <w:tcPr>
            <w:tcW w:type="dxa" w:w="7422"/>
          </w:tcPr>
          <w:p>
            <w:pPr>
              <w:spacing w:after="0" w:line="252" w:lineRule="auto"/>
            </w:pPr>
            <w:r>
              <w:rPr>
                <w:sz w:val="17"/>
              </w:rPr>
              <w:t>Klient, Artikelnummer, Variante, Bezeichnung (max. 40), Sprache</w:t>
            </w:r>
          </w:p>
        </w:tc>
      </w:tr>
      <w:tr>
        <w:tc>
          <w:tcPr>
            <w:tcW w:type="dxa" w:w="2103"/>
          </w:tcPr>
          <w:p>
            <w:pPr>
              <w:spacing w:after="0" w:line="252" w:lineRule="auto"/>
            </w:pPr>
            <w:r>
              <w:rPr>
                <w:rFonts w:ascii="Consolas" w:hAnsi="Consolas" w:cs="Consolas" w:eastAsia="Consolas"/>
                <w:sz w:val="15"/>
              </w:rPr>
              <w:t>WLSITEMALIAS001</w:t>
            </w:r>
          </w:p>
        </w:tc>
        <w:tc>
          <w:tcPr>
            <w:tcW w:type="dxa" w:w="7422"/>
          </w:tcPr>
          <w:p>
            <w:pPr>
              <w:spacing w:after="0" w:line="252" w:lineRule="auto"/>
            </w:pPr>
            <w:r>
              <w:rPr>
                <w:sz w:val="17"/>
              </w:rPr>
              <w:t>Klient, Artikelnummer, Variante, Aliasnummer (max. 30)</w:t>
            </w:r>
          </w:p>
        </w:tc>
      </w:tr>
      <w:tr>
        <w:tc>
          <w:tcPr>
            <w:tcW w:type="dxa" w:w="2103"/>
          </w:tcPr>
          <w:p>
            <w:pPr>
              <w:spacing w:after="0" w:line="252" w:lineRule="auto"/>
            </w:pPr>
            <w:r>
              <w:rPr>
                <w:rFonts w:ascii="Consolas" w:hAnsi="Consolas" w:cs="Consolas" w:eastAsia="Consolas"/>
                <w:sz w:val="15"/>
              </w:rPr>
              <w:t>WLSPKV001</w:t>
            </w:r>
          </w:p>
        </w:tc>
        <w:tc>
          <w:tcPr>
            <w:tcW w:type="dxa" w:w="7422"/>
          </w:tcPr>
          <w:p>
            <w:pPr>
              <w:spacing w:after="0" w:line="252" w:lineRule="auto"/>
            </w:pPr>
            <w:r>
              <w:rPr>
                <w:sz w:val="17"/>
              </w:rPr>
              <w:t>Klient, Artikelnummer, Variante, Nummer der Verpackungsversion, Lagermengeneinheit, Standard</w:t>
            </w:r>
          </w:p>
        </w:tc>
      </w:tr>
      <w:tr>
        <w:tc>
          <w:tcPr>
            <w:tcW w:type="dxa" w:w="2103"/>
          </w:tcPr>
          <w:p>
            <w:pPr>
              <w:spacing w:after="0" w:line="252" w:lineRule="auto"/>
            </w:pPr>
            <w:r>
              <w:rPr>
                <w:rFonts w:ascii="Consolas" w:hAnsi="Consolas" w:cs="Consolas" w:eastAsia="Consolas"/>
                <w:sz w:val="15"/>
              </w:rPr>
              <w:t>WLSQTYUNIT001</w:t>
            </w:r>
          </w:p>
        </w:tc>
        <w:tc>
          <w:tcPr>
            <w:tcW w:type="dxa" w:w="7422"/>
          </w:tcPr>
          <w:p>
            <w:pPr>
              <w:spacing w:after="0" w:line="252" w:lineRule="auto"/>
            </w:pPr>
            <w:r>
              <w:rPr>
                <w:sz w:val="17"/>
              </w:rPr>
              <w:t>Klient, Artikelnummer, Variante, Verpackungsversion, Faktor</w:t>
            </w:r>
          </w:p>
        </w:tc>
      </w:tr>
    </w:tbl>
    <w:p>
      <w:pPr>
        <w:pStyle w:val="BeschriftungSSI"/>
      </w:pPr>
      <w:r>
        <w:t>Tab. 16: Pflichtfelder je Satzart (Auszug)</w:t>
      </w:r>
    </w:p>
    <w:p>
      <w:r>
        <w:t>Werte, die auf andere Stammdaten verweisen (Klient, Einheiten, Artikeltyp), müssen in WAMAS bereits vorhanden sein. Werden Feldlängen überschritten, geht die Nachricht in den Fehlerstatus.</w:t>
      </w:r>
    </w:p>
    <w:p>
      <w:pPr>
        <w:pStyle w:val="Quelle"/>
      </w:pPr>
      <w:r>
        <w:rPr>
          <w:b/>
        </w:rPr>
        <w:t xml:space="preserve">Quelle: </w:t>
      </w:r>
      <w:r>
        <w:rPr>
          <w:sz w:val="17"/>
        </w:rPr>
        <w:t>Schnittstellenhandbuch WLS–ERP 2.7, Kap. 2.1.6 (Legende, S. 30) und 5.1.1 (S. 43–56)</w:t>
      </w:r>
    </w:p>
    <w:p>
      <w:pPr>
        <w:pStyle w:val="Heading3"/>
      </w:pPr>
      <w:r>
        <w:t>8.5.3 Beispiel im CSV-Format</w:t>
      </w:r>
    </w:p>
    <w:p>
      <w:r>
        <w:t>Auszug aus der Beispieldatei von SSI SCHÄFER (Semikolon als Trennzeichen). Jede Zeile beginnt mit Quelle, Ziel, laufender Nummer, Zeitstempel und Satzart: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HOST;WAMAS;2;20250311164331;WLSITEMALIAS001;DEFAULT;dsi1236;0;1234;ALIAS</w:t>
            </w:r>
          </w:p>
          <w:p>
            <w:pPr>
              <w:pStyle w:val="Code"/>
            </w:pPr>
            <w:r>
              <w:t>HOST;WAMAS;3;20250311164331;WLSITEMDESC001;DEFAULT;dsi1236;0;desc1;desc2;eng-US</w:t>
            </w:r>
          </w:p>
          <w:p>
            <w:pPr>
              <w:pStyle w:val="Code"/>
            </w:pPr>
            <w:r>
              <w:t>HOST;WAMAS;4;20250311164331;WLSPKV001;DEFAULT;dsi1236;0;1;PKG;1</w:t>
            </w:r>
          </w:p>
          <w:p>
            <w:pPr>
              <w:pStyle w:val="Code"/>
            </w:pPr>
            <w:r>
              <w:t>HOST;WAMAS;5;20250311164331;WLSQTYUNIT001;DEFAULT;dsi1236;0;1;PCS;1;;150;230;150;300</w:t>
            </w:r>
          </w:p>
          <w:p>
            <w:pPr>
              <w:pStyle w:val="Code"/>
            </w:pPr>
            <w:r>
              <w:t>HOST;WAMAS;6;20250311164331;WLSQTYUNIT001;DEFAULT;dsi1236;0;1;PKG;5;PCS;300;300;300;1000</w:t>
            </w:r>
          </w:p>
        </w:tc>
      </w:tr>
    </w:tbl>
    <w:p>
      <w:pPr>
        <w:pStyle w:val="BeschriftungSSI"/>
      </w:pPr>
      <w:r>
        <w:t>Abb. 2: Untersätze eines Artikels im CSV-Format (Auszug)</w:t>
      </w:r>
    </w:p>
    <w:p>
      <w:r>
        <w:t>So lesen Sie die Zeilen:</w:t>
      </w:r>
    </w:p>
    <w:p>
      <w:pPr>
        <w:pStyle w:val="ListBullet"/>
      </w:pPr>
      <w:r>
        <w:t xml:space="preserve">Zeile 2: Alias </w:t>
      </w:r>
      <w:r>
        <w:rPr>
          <w:rFonts w:ascii="Consolas" w:hAnsi="Consolas" w:cs="Consolas" w:eastAsia="Consolas"/>
          <w:sz w:val="18"/>
        </w:rPr>
        <w:t>1234</w:t>
      </w:r>
      <w:r>
        <w:t xml:space="preserve"> der Art </w:t>
      </w:r>
      <w:r>
        <w:rPr>
          <w:rFonts w:ascii="Consolas" w:hAnsi="Consolas" w:cs="Consolas" w:eastAsia="Consolas"/>
          <w:sz w:val="18"/>
        </w:rPr>
        <w:t>ALIAS</w:t>
      </w:r>
      <w:r>
        <w:t xml:space="preserve"> für Artikel </w:t>
      </w:r>
      <w:r>
        <w:rPr>
          <w:rFonts w:ascii="Consolas" w:hAnsi="Consolas" w:cs="Consolas" w:eastAsia="Consolas"/>
          <w:sz w:val="18"/>
        </w:rPr>
        <w:t>dsi1236</w:t>
      </w:r>
      <w:r>
        <w:t xml:space="preserve">, Variante </w:t>
      </w:r>
      <w:r>
        <w:rPr>
          <w:rFonts w:ascii="Consolas" w:hAnsi="Consolas" w:cs="Consolas" w:eastAsia="Consolas"/>
          <w:sz w:val="18"/>
        </w:rPr>
        <w:t>0</w:t>
      </w:r>
      <w:r>
        <w:t xml:space="preserve">, Klient </w:t>
      </w:r>
      <w:r>
        <w:rPr>
          <w:rFonts w:ascii="Consolas" w:hAnsi="Consolas" w:cs="Consolas" w:eastAsia="Consolas"/>
          <w:sz w:val="18"/>
        </w:rPr>
        <w:t>DEFAULT</w:t>
      </w:r>
      <w:r>
        <w:t>.</w:t>
      </w:r>
    </w:p>
    <w:p>
      <w:pPr>
        <w:pStyle w:val="ListBullet"/>
      </w:pPr>
      <w:r>
        <w:t xml:space="preserve">Zeile 3: Bezeichnungen </w:t>
      </w:r>
      <w:r>
        <w:rPr>
          <w:rFonts w:ascii="Consolas" w:hAnsi="Consolas" w:cs="Consolas" w:eastAsia="Consolas"/>
          <w:sz w:val="18"/>
        </w:rPr>
        <w:t>desc1</w:t>
      </w:r>
      <w:r>
        <w:t>/</w:t>
      </w:r>
      <w:r>
        <w:rPr>
          <w:rFonts w:ascii="Consolas" w:hAnsi="Consolas" w:cs="Consolas" w:eastAsia="Consolas"/>
          <w:sz w:val="18"/>
        </w:rPr>
        <w:t>desc2</w:t>
      </w:r>
      <w:r>
        <w:t xml:space="preserve"> in der Sprache </w:t>
      </w:r>
      <w:r>
        <w:rPr>
          <w:rFonts w:ascii="Consolas" w:hAnsi="Consolas" w:cs="Consolas" w:eastAsia="Consolas"/>
          <w:sz w:val="18"/>
        </w:rPr>
        <w:t>eng-US</w:t>
      </w:r>
      <w:r>
        <w:t>.</w:t>
      </w:r>
    </w:p>
    <w:p>
      <w:pPr>
        <w:pStyle w:val="ListBullet"/>
      </w:pPr>
      <w:r>
        <w:t xml:space="preserve">Zeile 4: Verpackungsversion </w:t>
      </w:r>
      <w:r>
        <w:rPr>
          <w:rFonts w:ascii="Consolas" w:hAnsi="Consolas" w:cs="Consolas" w:eastAsia="Consolas"/>
          <w:sz w:val="18"/>
        </w:rPr>
        <w:t>1</w:t>
      </w:r>
      <w:r>
        <w:t xml:space="preserve"> mit Lagermengeneinheit </w:t>
      </w:r>
      <w:r>
        <w:rPr>
          <w:rFonts w:ascii="Consolas" w:hAnsi="Consolas" w:cs="Consolas" w:eastAsia="Consolas"/>
          <w:sz w:val="18"/>
        </w:rPr>
        <w:t>PKG</w:t>
      </w:r>
      <w:r>
        <w:t xml:space="preserve">, Standard = </w:t>
      </w:r>
      <w:r>
        <w:rPr>
          <w:rFonts w:ascii="Consolas" w:hAnsi="Consolas" w:cs="Consolas" w:eastAsia="Consolas"/>
          <w:sz w:val="18"/>
        </w:rPr>
        <w:t>1</w:t>
      </w:r>
      <w:r>
        <w:t xml:space="preserve"> (ja).</w:t>
      </w:r>
    </w:p>
    <w:p>
      <w:pPr>
        <w:pStyle w:val="ListBullet"/>
      </w:pPr>
      <w:r>
        <w:t xml:space="preserve">Zeile 5: Basiseinheit </w:t>
      </w:r>
      <w:r>
        <w:rPr>
          <w:rFonts w:ascii="Consolas" w:hAnsi="Consolas" w:cs="Consolas" w:eastAsia="Consolas"/>
          <w:sz w:val="18"/>
        </w:rPr>
        <w:t>PCS</w:t>
      </w:r>
      <w:r>
        <w:t xml:space="preserve">, Faktor </w:t>
      </w:r>
      <w:r>
        <w:rPr>
          <w:rFonts w:ascii="Consolas" w:hAnsi="Consolas" w:cs="Consolas" w:eastAsia="Consolas"/>
          <w:sz w:val="18"/>
        </w:rPr>
        <w:t>1</w:t>
      </w:r>
      <w:r>
        <w:t xml:space="preserve">, keine Referenz, Breite/Höhe/Länge </w:t>
      </w:r>
      <w:r>
        <w:rPr>
          <w:rFonts w:ascii="Consolas" w:hAnsi="Consolas" w:cs="Consolas" w:eastAsia="Consolas"/>
          <w:sz w:val="18"/>
        </w:rPr>
        <w:t>150</w:t>
      </w:r>
      <w:r>
        <w:t>/</w:t>
      </w:r>
      <w:r>
        <w:rPr>
          <w:rFonts w:ascii="Consolas" w:hAnsi="Consolas" w:cs="Consolas" w:eastAsia="Consolas"/>
          <w:sz w:val="18"/>
        </w:rPr>
        <w:t>230</w:t>
      </w:r>
      <w:r>
        <w:t>/</w:t>
      </w:r>
      <w:r>
        <w:rPr>
          <w:rFonts w:ascii="Consolas" w:hAnsi="Consolas" w:cs="Consolas" w:eastAsia="Consolas"/>
          <w:sz w:val="18"/>
        </w:rPr>
        <w:t>150</w:t>
      </w:r>
      <w:r>
        <w:t xml:space="preserve">, Bruttogewicht </w:t>
      </w:r>
      <w:r>
        <w:rPr>
          <w:rFonts w:ascii="Consolas" w:hAnsi="Consolas" w:cs="Consolas" w:eastAsia="Consolas"/>
          <w:sz w:val="18"/>
        </w:rPr>
        <w:t>300</w:t>
      </w:r>
      <w:r>
        <w:t>.</w:t>
      </w:r>
    </w:p>
    <w:p>
      <w:pPr>
        <w:pStyle w:val="ListBullet"/>
      </w:pPr>
      <w:r>
        <w:t xml:space="preserve">Zeile 6: </w:t>
      </w:r>
      <w:r>
        <w:rPr>
          <w:rFonts w:ascii="Consolas" w:hAnsi="Consolas" w:cs="Consolas" w:eastAsia="Consolas"/>
          <w:sz w:val="18"/>
        </w:rPr>
        <w:t>1 PKG = 5 PCS</w:t>
      </w:r>
      <w:r>
        <w:t xml:space="preserve">, Maße </w:t>
      </w:r>
      <w:r>
        <w:rPr>
          <w:rFonts w:ascii="Consolas" w:hAnsi="Consolas" w:cs="Consolas" w:eastAsia="Consolas"/>
          <w:sz w:val="18"/>
        </w:rPr>
        <w:t>300</w:t>
      </w:r>
      <w:r>
        <w:t>/</w:t>
      </w:r>
      <w:r>
        <w:rPr>
          <w:rFonts w:ascii="Consolas" w:hAnsi="Consolas" w:cs="Consolas" w:eastAsia="Consolas"/>
          <w:sz w:val="18"/>
        </w:rPr>
        <w:t>300</w:t>
      </w:r>
      <w:r>
        <w:t>/</w:t>
      </w:r>
      <w:r>
        <w:rPr>
          <w:rFonts w:ascii="Consolas" w:hAnsi="Consolas" w:cs="Consolas" w:eastAsia="Consolas"/>
          <w:sz w:val="18"/>
        </w:rPr>
        <w:t>300</w:t>
      </w:r>
      <w:r>
        <w:t xml:space="preserve">, Bruttogewicht </w:t>
      </w:r>
      <w:r>
        <w:rPr>
          <w:rFonts w:ascii="Consolas" w:hAnsi="Consolas" w:cs="Consolas" w:eastAsia="Consolas"/>
          <w:sz w:val="18"/>
        </w:rPr>
        <w:t>1000</w:t>
      </w:r>
      <w:r>
        <w:t>.</w:t>
      </w:r>
    </w:p>
    <w:p>
      <w:r>
        <w:t xml:space="preserve">Der Hauptsatz </w:t>
      </w:r>
      <w:r>
        <w:rPr>
          <w:rFonts w:ascii="Consolas" w:hAnsi="Consolas" w:cs="Consolas" w:eastAsia="Consolas"/>
          <w:sz w:val="18"/>
        </w:rPr>
        <w:t>WLSITEM001</w:t>
      </w:r>
      <w:r>
        <w:t xml:space="preserve"> umfasst rund 100 Positionen (u. a. BIA-Modi, ABC-Wert, Gleichwertigkeitsdauer, Artikeltyp, Warengruppe). Erstellen Sie ihn nicht von Hand, sondern verwenden Sie die Musterdateien, die Sie von SSI SCHÄFER erhalten.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Maßeinheiten und Aktualisierung im Dateiformat</w:t>
            </w:r>
          </w:p>
          <w:p>
            <w:pPr>
              <w:spacing w:after="40"/>
            </w:pPr>
            <w:r>
              <w:rPr>
                <w:sz w:val="19"/>
              </w:rPr>
              <w:t>In welchen Einheiten Maße und Gewicht übergeben werden (z. B. mm und g) und welche Felder bei einem erneuten Import überschrieben werden („Updateable“), ist projektspezifisch festgelegt. Bitte bei SSI SCHÄFER erfragen.</w:t>
            </w:r>
          </w:p>
        </w:tc>
      </w:tr>
    </w:tbl>
    <w:p>
      <w:pPr>
        <w:spacing w:after="40"/>
      </w:pPr>
    </w:p>
    <w:p>
      <w:pPr>
        <w:pStyle w:val="Quelle"/>
      </w:pPr>
      <w:r>
        <w:rPr>
          <w:b/>
        </w:rPr>
        <w:t xml:space="preserve">Quelle: </w:t>
      </w:r>
      <w:r>
        <w:rPr>
          <w:sz w:val="17"/>
        </w:rPr>
        <w:t>Schnittstellenhandbuch WLS–ERP 2.7, Kap. 5.1.1.2–5.1.1.6; Beispieldateien 2.7.0 (ITEM)</w:t>
      </w:r>
    </w:p>
    <w:p>
      <w:pPr>
        <w:pStyle w:val="Heading2"/>
      </w:pPr>
      <w:r>
        <w:t>8.6 Importergebnis prüfen und Fehler beheben (DI002)</w:t>
      </w:r>
    </w:p>
    <w:p>
      <w:pPr>
        <w:tabs>
          <w:tab w:pos="425" w:val="left"/>
        </w:tabs>
        <w:spacing w:after="60"/>
        <w:ind w:left="425" w:hanging="425"/>
      </w:pPr>
      <w:r>
        <w:rPr>
          <w:b/>
        </w:rPr>
        <w:t>1.</w:t>
        <w:tab/>
      </w:r>
      <w:r>
        <w:rPr>
          <w:b/>
        </w:rPr>
        <w:t>DI002</w:t>
      </w:r>
      <w:r>
        <w:t xml:space="preserve"> öffnen und die Nachricht suchen (</w:t>
      </w:r>
      <w:r>
        <w:rPr>
          <w:b/>
        </w:rPr>
        <w:t>Suche</w:t>
      </w:r>
      <w:r>
        <w:t xml:space="preserve"> bzw. </w:t>
      </w:r>
      <w:r>
        <w:rPr>
          <w:b/>
        </w:rPr>
        <w:t>Erweiterte Suche</w:t>
      </w:r>
      <w:r>
        <w:t>).</w:t>
      </w:r>
    </w:p>
    <w:p>
      <w:pPr>
        <w:tabs>
          <w:tab w:pos="425" w:val="left"/>
        </w:tabs>
        <w:spacing w:after="60"/>
        <w:ind w:left="425" w:hanging="425"/>
      </w:pPr>
      <w:r>
        <w:rPr>
          <w:b/>
        </w:rPr>
        <w:t>2.</w:t>
        <w:tab/>
      </w:r>
      <w:r>
        <w:t xml:space="preserve">Ist die Nachricht fehlerhaft, die Registerkarte </w:t>
      </w:r>
      <w:r>
        <w:rPr>
          <w:b/>
        </w:rPr>
        <w:t>Fehlerhafte eingehende Systempartnernachricht</w:t>
      </w:r>
      <w:r>
        <w:t xml:space="preserve"> im Bereich </w:t>
      </w:r>
      <w:r>
        <w:rPr>
          <w:b/>
        </w:rPr>
        <w:t>Details</w:t>
      </w:r>
      <w:r>
        <w:t xml:space="preserve"> öffnen.</w:t>
      </w:r>
    </w:p>
    <w:p>
      <w:pPr>
        <w:tabs>
          <w:tab w:pos="425" w:val="left"/>
        </w:tabs>
        <w:spacing w:after="60"/>
        <w:ind w:left="425" w:hanging="425"/>
      </w:pPr>
      <w:r>
        <w:rPr>
          <w:b/>
        </w:rPr>
        <w:t>3.</w:t>
        <w:tab/>
      </w:r>
      <w:r>
        <w:t xml:space="preserve">Rechtsklick → </w:t>
      </w:r>
      <w:r>
        <w:rPr>
          <w:b/>
        </w:rPr>
        <w:t>Fehlerprotokoll</w:t>
      </w:r>
      <w:r>
        <w:t xml:space="preserve"> (</w:t>
      </w:r>
      <w:r>
        <w:rPr>
          <w:b/>
        </w:rPr>
        <w:t>DI003</w:t>
      </w:r>
      <w:r>
        <w:t xml:space="preserve">): Hier steht, was falsch ist und ob der Fehler beim Konvertieren oder beim Verarbeiten entstand. Optional einen </w:t>
      </w:r>
      <w:r>
        <w:rPr>
          <w:b/>
        </w:rPr>
        <w:t>Kommentar</w:t>
      </w:r>
      <w:r>
        <w:t xml:space="preserve"> speichern.</w:t>
      </w:r>
    </w:p>
    <w:p>
      <w:pPr>
        <w:tabs>
          <w:tab w:pos="425" w:val="left"/>
        </w:tabs>
        <w:spacing w:after="60"/>
        <w:ind w:left="425" w:hanging="425"/>
      </w:pPr>
      <w:r>
        <w:rPr>
          <w:b/>
        </w:rPr>
        <w:t>4.</w:t>
        <w:tab/>
      </w:r>
      <w:r>
        <w:t xml:space="preserve">Rechtsklick → </w:t>
      </w:r>
      <w:r>
        <w:rPr>
          <w:b/>
        </w:rPr>
        <w:t>Bearbeiten</w:t>
      </w:r>
      <w:r>
        <w:t xml:space="preserve"> (</w:t>
      </w:r>
      <w:r>
        <w:rPr>
          <w:b/>
        </w:rPr>
        <w:t>DI005 SPM-Dateneditor</w:t>
      </w:r>
      <w:r>
        <w:t xml:space="preserve">): Daten direkt korrigieren. Nur Fehler-SPM im Status </w:t>
      </w:r>
      <w:r>
        <w:rPr>
          <w:b/>
        </w:rPr>
        <w:t>Neu</w:t>
      </w:r>
      <w:r>
        <w:t xml:space="preserve"> sind bearbeitbar. Nachrichten über 1 MB müssen extern bearbeitet werden.</w:t>
      </w:r>
    </w:p>
    <w:p>
      <w:pPr>
        <w:tabs>
          <w:tab w:pos="425" w:val="left"/>
        </w:tabs>
        <w:spacing w:after="60"/>
        <w:ind w:left="425" w:hanging="425"/>
      </w:pPr>
      <w:r>
        <w:rPr>
          <w:b/>
        </w:rPr>
        <w:t>5.</w:t>
        <w:tab/>
      </w:r>
      <w:r>
        <w:t xml:space="preserve">Rechtsklick → </w:t>
      </w:r>
      <w:r>
        <w:rPr>
          <w:b/>
        </w:rPr>
        <w:t>Wiederholen</w:t>
      </w:r>
      <w:r>
        <w:t xml:space="preserve">: Die korrigierte Nachricht wird erneut verarbeitet. Bei Erfolg wechselt der Status auf </w:t>
      </w:r>
      <w:r>
        <w:rPr>
          <w:b/>
        </w:rPr>
        <w:t>Fertiggestellt</w:t>
      </w:r>
      <w:r>
        <w:t>.</w:t>
      </w:r>
    </w:p>
    <w:p>
      <w:pPr>
        <w:tabs>
          <w:tab w:pos="425" w:val="left"/>
        </w:tabs>
        <w:spacing w:after="60"/>
        <w:ind w:left="425" w:hanging="425"/>
      </w:pPr>
      <w:r>
        <w:rPr>
          <w:b/>
        </w:rPr>
        <w:t>6.</w:t>
        <w:tab/>
      </w:r>
      <w:r>
        <w:t xml:space="preserve">Nicht korrigierbare Nachrichten mit </w:t>
      </w:r>
      <w:r>
        <w:rPr>
          <w:b/>
        </w:rPr>
        <w:t>Stornieren</w:t>
      </w:r>
      <w:r>
        <w:t xml:space="preserve"> abschließen.</w:t>
      </w:r>
    </w:p>
    <w:p>
      <w:r>
        <w:t xml:space="preserve">Typische Fehlerursachen: unbekannte Mengeneinheit oder unbekannter Artikeltyp, Feld zu lang, Pflichtfeld leer, doppelte Aliasnummer, falsche Reihenfolge (Änderung vor Neuanlage – dann genügt </w:t>
      </w:r>
      <w:r>
        <w:rPr>
          <w:b/>
        </w:rPr>
        <w:t>Wiederholen</w:t>
      </w:r>
      <w:r>
        <w:t xml:space="preserve"> ohne Änderung).</w:t>
      </w:r>
    </w:p>
    <w:p>
      <w:pPr>
        <w:pStyle w:val="Quelle"/>
      </w:pPr>
      <w:r>
        <w:rPr>
          <w:b/>
        </w:rPr>
        <w:t xml:space="preserve">Quelle: </w:t>
      </w:r>
      <w:r>
        <w:rPr>
          <w:sz w:val="17"/>
        </w:rPr>
        <w:t>Administratorhandbuch 2.7, Kap. 3.5.5.1–3.5.5.1.4 (S. 93–96); Administrator Manual 2.8, Kap. 3.5.7.1 (S. 93–95)</w:t>
      </w:r>
    </w:p>
    <w:p>
      <w:pPr>
        <w:pStyle w:val="Heading2"/>
      </w:pPr>
      <w:r>
        <w:t>8.7 Weitere Hilfsmittel</w:t>
      </w:r>
    </w:p>
    <w:p>
      <w:pPr>
        <w:pStyle w:val="ListBullet"/>
      </w:pPr>
      <w:r>
        <w:rPr>
          <w:b/>
        </w:rPr>
        <w:t>Export</w:t>
      </w:r>
      <w:r>
        <w:t xml:space="preserve">: Suchergebnisse jeder Übersicht (z. B. </w:t>
      </w:r>
      <w:r>
        <w:rPr>
          <w:b/>
        </w:rPr>
        <w:t>MD001</w:t>
      </w:r>
      <w:r>
        <w:t>) lassen sich als HTML, CSV oder Excel exportieren. Ideal, um den Artikelstamm zu kontrollieren oder eine Importliste vorzubereiten.</w:t>
      </w:r>
    </w:p>
    <w:p>
      <w:pPr>
        <w:pStyle w:val="ListBullet"/>
      </w:pPr>
      <w:r>
        <w:rPr>
          <w:b/>
        </w:rPr>
        <w:t>Kopieren und Einfügen</w:t>
      </w:r>
      <w:r>
        <w:t>: Tabelleninhalte lassen sich mit Excel austauschen. Beim Einfügen müssen genauso viele Zellen markiert sein wie kopiert wurden. Das ersetzt keinen Import.</w:t>
      </w:r>
    </w:p>
    <w:p>
      <w:pPr>
        <w:pStyle w:val="ListBullet"/>
      </w:pPr>
      <w:r>
        <w:rPr>
          <w:b/>
        </w:rPr>
        <w:t>SE030 Daten importieren</w:t>
      </w:r>
      <w:r>
        <w:t>: ein allgemeiner Tabellenimport für Tabellen, die im Applikations-Zugriffsprofil freigegeben sind.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SE030 Daten importieren</w:t>
            </w:r>
          </w:p>
          <w:p>
            <w:pPr>
              <w:spacing w:after="40"/>
            </w:pPr>
            <w:r>
              <w:rPr>
                <w:sz w:val="19"/>
              </w:rPr>
              <w:t>Der Dialog wird nur im Zusammenhang mit Berechtigungen erwähnt. Bedienung, Dateiformat und Eignung für Artikelstammdaten sind nicht beschrieben. Bitte nur nach Rücksprache mit SSI SCHÄFER verwenden.</w:t>
            </w:r>
          </w:p>
        </w:tc>
      </w:tr>
    </w:tbl>
    <w:p>
      <w:pPr>
        <w:spacing w:after="40"/>
      </w:pPr>
    </w:p>
    <w:p>
      <w:pPr>
        <w:pStyle w:val="Quelle"/>
      </w:pPr>
      <w:r>
        <w:rPr>
          <w:b/>
        </w:rPr>
        <w:t xml:space="preserve">Quelle: </w:t>
      </w:r>
      <w:r>
        <w:rPr>
          <w:sz w:val="17"/>
        </w:rPr>
        <w:t>Benutzerhandbuch 2.7, Kap. 3.3.1.2 (S. 36) und 3.4.4 (S. 46); Administratorhandbuch 2.7, Kap. 3.3.4.5</w:t>
      </w:r>
    </w:p>
    <w:p>
      <w:pPr>
        <w:pStyle w:val="Heading1"/>
      </w:pPr>
      <w:r>
        <w:t>9 Was nicht möglich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Nicht möglich</w:t>
            </w:r>
          </w:p>
        </w:tc>
        <w:tc>
          <w:tcPr>
            <w:tcW w:type="dxa" w:w="4762"/>
            <w:shd w:val="clear" w:color="auto" w:fill="FEEE19"/>
          </w:tcPr>
          <w:p>
            <w:pPr>
              <w:spacing w:after="0"/>
            </w:pPr>
            <w:r>
              <w:rPr>
                <w:b/>
                <w:sz w:val="17"/>
              </w:rPr>
              <w:t>Grund / Alternative</w:t>
            </w:r>
          </w:p>
        </w:tc>
      </w:tr>
      <w:tr>
        <w:tc>
          <w:tcPr>
            <w:tcW w:type="dxa" w:w="4762"/>
          </w:tcPr>
          <w:p>
            <w:pPr>
              <w:spacing w:after="0" w:line="252" w:lineRule="auto"/>
            </w:pPr>
            <w:r>
              <w:rPr>
                <w:sz w:val="17"/>
              </w:rPr>
              <w:t>Excel-Import für Artikel in Version 2.7</w:t>
            </w:r>
          </w:p>
        </w:tc>
        <w:tc>
          <w:tcPr>
            <w:tcW w:type="dxa" w:w="4762"/>
          </w:tcPr>
          <w:p>
            <w:pPr>
              <w:spacing w:after="0" w:line="252" w:lineRule="auto"/>
            </w:pPr>
            <w:r>
              <w:rPr>
                <w:sz w:val="17"/>
              </w:rPr>
              <w:t>Erst ab 2.8 (</w:t>
            </w:r>
            <w:r>
              <w:rPr>
                <w:b/>
                <w:sz w:val="17"/>
              </w:rPr>
              <w:t>LM161</w:t>
            </w:r>
            <w:r>
              <w:rPr>
                <w:sz w:val="17"/>
              </w:rPr>
              <w:t>/</w:t>
            </w:r>
            <w:r>
              <w:rPr>
                <w:b/>
                <w:sz w:val="17"/>
              </w:rPr>
              <w:t>LM163</w:t>
            </w:r>
            <w:r>
              <w:rPr>
                <w:sz w:val="17"/>
              </w:rPr>
              <w:t xml:space="preserve">); in 2.7 Dateiimport über </w:t>
            </w:r>
            <w:r>
              <w:rPr>
                <w:b/>
                <w:sz w:val="17"/>
              </w:rPr>
              <w:t>DI014</w:t>
            </w:r>
            <w:r>
              <w:rPr>
                <w:sz w:val="17"/>
              </w:rPr>
              <w:t xml:space="preserve"> im Schnittstellenformat</w:t>
            </w:r>
          </w:p>
        </w:tc>
      </w:tr>
      <w:tr>
        <w:tc>
          <w:tcPr>
            <w:tcW w:type="dxa" w:w="4762"/>
          </w:tcPr>
          <w:p>
            <w:pPr>
              <w:spacing w:after="0" w:line="252" w:lineRule="auto"/>
            </w:pPr>
            <w:r>
              <w:rPr>
                <w:sz w:val="17"/>
              </w:rPr>
              <w:t>Klient, Artikelnummer oder Variante nachträglich ändern</w:t>
            </w:r>
          </w:p>
        </w:tc>
        <w:tc>
          <w:tcPr>
            <w:tcW w:type="dxa" w:w="4762"/>
          </w:tcPr>
          <w:p>
            <w:pPr>
              <w:spacing w:after="0" w:line="252" w:lineRule="auto"/>
            </w:pPr>
            <w:r>
              <w:rPr>
                <w:sz w:val="17"/>
              </w:rPr>
              <w:t>Schlüsselfelder; neuen Artikel anlegen (ggf. duplizieren)</w:t>
            </w:r>
          </w:p>
        </w:tc>
      </w:tr>
      <w:tr>
        <w:tc>
          <w:tcPr>
            <w:tcW w:type="dxa" w:w="4762"/>
          </w:tcPr>
          <w:p>
            <w:pPr>
              <w:spacing w:after="0" w:line="252" w:lineRule="auto"/>
            </w:pPr>
            <w:r>
              <w:rPr>
                <w:sz w:val="17"/>
              </w:rPr>
              <w:t>Artikelbilder per Schnittstelle oder Import übertragen</w:t>
            </w:r>
          </w:p>
        </w:tc>
        <w:tc>
          <w:tcPr>
            <w:tcW w:type="dxa" w:w="4762"/>
          </w:tcPr>
          <w:p>
            <w:pPr>
              <w:spacing w:after="0" w:line="252" w:lineRule="auto"/>
            </w:pPr>
            <w:r>
              <w:rPr>
                <w:sz w:val="17"/>
              </w:rPr>
              <w:t xml:space="preserve">Nur manuell bzw. Sammel-Upload mit </w:t>
            </w:r>
            <w:r>
              <w:rPr>
                <w:b/>
                <w:sz w:val="17"/>
              </w:rPr>
              <w:t>LM114</w:t>
            </w:r>
          </w:p>
        </w:tc>
      </w:tr>
      <w:tr>
        <w:tc>
          <w:tcPr>
            <w:tcW w:type="dxa" w:w="4762"/>
          </w:tcPr>
          <w:p>
            <w:pPr>
              <w:spacing w:after="0" w:line="252" w:lineRule="auto"/>
            </w:pPr>
            <w:r>
              <w:rPr>
                <w:sz w:val="17"/>
              </w:rPr>
              <w:t>Mehr als eine Basismengeneinheit je Artikel</w:t>
            </w:r>
          </w:p>
        </w:tc>
        <w:tc>
          <w:tcPr>
            <w:tcW w:type="dxa" w:w="4762"/>
          </w:tcPr>
          <w:p>
            <w:pPr>
              <w:spacing w:after="0" w:line="252" w:lineRule="auto"/>
            </w:pPr>
            <w:r>
              <w:rPr>
                <w:sz w:val="17"/>
              </w:rPr>
              <w:t>Weitere Einheiten als Artikelmengeneinheiten anlegen</w:t>
            </w:r>
          </w:p>
        </w:tc>
      </w:tr>
      <w:tr>
        <w:tc>
          <w:tcPr>
            <w:tcW w:type="dxa" w:w="4762"/>
          </w:tcPr>
          <w:p>
            <w:pPr>
              <w:spacing w:after="0" w:line="252" w:lineRule="auto"/>
            </w:pPr>
            <w:r>
              <w:rPr>
                <w:sz w:val="17"/>
              </w:rPr>
              <w:t>GTIN-Alias ohne Mengeneinheit</w:t>
            </w:r>
          </w:p>
        </w:tc>
        <w:tc>
          <w:tcPr>
            <w:tcW w:type="dxa" w:w="4762"/>
          </w:tcPr>
          <w:p>
            <w:pPr>
              <w:spacing w:after="0" w:line="252" w:lineRule="auto"/>
            </w:pPr>
            <w:r>
              <w:rPr>
                <w:sz w:val="17"/>
              </w:rPr>
              <w:t>Mengeneinheit ist bei GTIN Pflicht</w:t>
            </w:r>
          </w:p>
        </w:tc>
      </w:tr>
      <w:tr>
        <w:tc>
          <w:tcPr>
            <w:tcW w:type="dxa" w:w="4762"/>
          </w:tcPr>
          <w:p>
            <w:pPr>
              <w:spacing w:after="0" w:line="252" w:lineRule="auto"/>
            </w:pPr>
            <w:r>
              <w:rPr>
                <w:sz w:val="17"/>
              </w:rPr>
              <w:t>Verpackungsversion löschen, solange sie verwendet wird</w:t>
            </w:r>
          </w:p>
        </w:tc>
        <w:tc>
          <w:tcPr>
            <w:tcW w:type="dxa" w:w="4762"/>
          </w:tcPr>
          <w:p>
            <w:pPr>
              <w:spacing w:after="0" w:line="252" w:lineRule="auto"/>
            </w:pPr>
            <w:r>
              <w:rPr>
                <w:sz w:val="17"/>
              </w:rPr>
              <w:t>Erst Bestände, Bedarfe und Zuordnungen auflösen</w:t>
            </w:r>
          </w:p>
        </w:tc>
      </w:tr>
      <w:tr>
        <w:tc>
          <w:tcPr>
            <w:tcW w:type="dxa" w:w="4762"/>
          </w:tcPr>
          <w:p>
            <w:pPr>
              <w:spacing w:after="0" w:line="252" w:lineRule="auto"/>
            </w:pPr>
            <w:r>
              <w:rPr>
                <w:sz w:val="17"/>
              </w:rPr>
              <w:t>Artikel-zu-Box-Zuordnung aufheben, wenn die Box Bestand enthält</w:t>
            </w:r>
          </w:p>
        </w:tc>
        <w:tc>
          <w:tcPr>
            <w:tcW w:type="dxa" w:w="4762"/>
          </w:tcPr>
          <w:p>
            <w:pPr>
              <w:spacing w:after="0" w:line="252" w:lineRule="auto"/>
            </w:pPr>
            <w:r>
              <w:rPr>
                <w:sz w:val="17"/>
              </w:rPr>
              <w:t>Box zuerst leeren</w:t>
            </w:r>
          </w:p>
        </w:tc>
      </w:tr>
      <w:tr>
        <w:tc>
          <w:tcPr>
            <w:tcW w:type="dxa" w:w="4762"/>
          </w:tcPr>
          <w:p>
            <w:pPr>
              <w:spacing w:after="0" w:line="252" w:lineRule="auto"/>
            </w:pPr>
            <w:r>
              <w:rPr>
                <w:sz w:val="17"/>
              </w:rPr>
              <w:t>Externe Artikel am Touch-Client bearbeiten</w:t>
            </w:r>
          </w:p>
        </w:tc>
        <w:tc>
          <w:tcPr>
            <w:tcW w:type="dxa" w:w="4762"/>
          </w:tcPr>
          <w:p>
            <w:pPr>
              <w:spacing w:after="0" w:line="252" w:lineRule="auto"/>
            </w:pPr>
            <w:r>
              <w:rPr>
                <w:sz w:val="17"/>
              </w:rPr>
              <w:t>Nur am Mobilterminal</w:t>
            </w:r>
          </w:p>
        </w:tc>
      </w:tr>
      <w:tr>
        <w:tc>
          <w:tcPr>
            <w:tcW w:type="dxa" w:w="4762"/>
          </w:tcPr>
          <w:p>
            <w:pPr>
              <w:spacing w:after="0" w:line="252" w:lineRule="auto"/>
            </w:pPr>
            <w:r>
              <w:rPr>
                <w:sz w:val="17"/>
              </w:rPr>
              <w:t>Große Artikel an externen Lagerplätzen lagern</w:t>
            </w:r>
          </w:p>
        </w:tc>
        <w:tc>
          <w:tcPr>
            <w:tcW w:type="dxa" w:w="4762"/>
          </w:tcPr>
          <w:p>
            <w:pPr>
              <w:spacing w:after="0" w:line="252" w:lineRule="auto"/>
            </w:pPr>
            <w:r>
              <w:rPr>
                <w:sz w:val="17"/>
              </w:rPr>
              <w:t>Nur im SSI LOGIMAT</w:t>
            </w:r>
          </w:p>
        </w:tc>
      </w:tr>
      <w:tr>
        <w:tc>
          <w:tcPr>
            <w:tcW w:type="dxa" w:w="4762"/>
          </w:tcPr>
          <w:p>
            <w:pPr>
              <w:spacing w:after="0" w:line="252" w:lineRule="auto"/>
            </w:pPr>
            <w:r>
              <w:rPr>
                <w:sz w:val="17"/>
              </w:rPr>
              <w:t>Bedarfe ohne Artikelstamm freigeben</w:t>
            </w:r>
          </w:p>
        </w:tc>
        <w:tc>
          <w:tcPr>
            <w:tcW w:type="dxa" w:w="4762"/>
          </w:tcPr>
          <w:p>
            <w:pPr>
              <w:spacing w:after="0" w:line="252" w:lineRule="auto"/>
            </w:pPr>
            <w:r>
              <w:rPr>
                <w:sz w:val="17"/>
              </w:rPr>
              <w:t>Mit entsprechender Systempartner-Einstellung anlegbar, aber erst nach vollständigen Stammdaten freigebbar</w:t>
            </w:r>
          </w:p>
        </w:tc>
      </w:tr>
      <w:tr>
        <w:tc>
          <w:tcPr>
            <w:tcW w:type="dxa" w:w="4762"/>
          </w:tcPr>
          <w:p>
            <w:pPr>
              <w:spacing w:after="0" w:line="252" w:lineRule="auto"/>
            </w:pPr>
            <w:r>
              <w:rPr>
                <w:sz w:val="17"/>
              </w:rPr>
              <w:t>Einzelne Felder per Import löschen oder Artikel per Import löschen</w:t>
            </w:r>
          </w:p>
        </w:tc>
        <w:tc>
          <w:tcPr>
            <w:tcW w:type="dxa" w:w="4762"/>
          </w:tcPr>
          <w:p>
            <w:pPr>
              <w:spacing w:after="0" w:line="252" w:lineRule="auto"/>
            </w:pPr>
            <w:r>
              <w:rPr>
                <w:sz w:val="17"/>
              </w:rPr>
              <w:t xml:space="preserve">Nicht beschrieben; Status manuell auf </w:t>
            </w:r>
            <w:r>
              <w:rPr>
                <w:b/>
                <w:sz w:val="17"/>
              </w:rPr>
              <w:t>Gesperrt</w:t>
            </w:r>
            <w:r>
              <w:rPr>
                <w:sz w:val="17"/>
              </w:rPr>
              <w:t xml:space="preserve"> setzen</w:t>
            </w:r>
          </w:p>
        </w:tc>
      </w:tr>
      <w:tr>
        <w:tc>
          <w:tcPr>
            <w:tcW w:type="dxa" w:w="4762"/>
          </w:tcPr>
          <w:p>
            <w:pPr>
              <w:spacing w:after="0" w:line="252" w:lineRule="auto"/>
            </w:pPr>
            <w:r>
              <w:rPr>
                <w:sz w:val="17"/>
              </w:rPr>
              <w:t xml:space="preserve">Im Touch-Client mehr als 50 Treffer in </w:t>
            </w:r>
            <w:r>
              <w:rPr>
                <w:b/>
                <w:sz w:val="17"/>
              </w:rPr>
              <w:t>LM007</w:t>
            </w:r>
            <w:r>
              <w:rPr>
                <w:sz w:val="17"/>
              </w:rPr>
              <w:t xml:space="preserve"> anzeigen [2.8]</w:t>
            </w:r>
          </w:p>
        </w:tc>
        <w:tc>
          <w:tcPr>
            <w:tcW w:type="dxa" w:w="4762"/>
          </w:tcPr>
          <w:p>
            <w:pPr>
              <w:spacing w:after="0" w:line="252" w:lineRule="auto"/>
            </w:pPr>
            <w:r>
              <w:rPr>
                <w:sz w:val="17"/>
              </w:rPr>
              <w:t>Suche einschränken</w:t>
            </w:r>
          </w:p>
        </w:tc>
      </w:tr>
    </w:tbl>
    <w:p>
      <w:pPr>
        <w:pStyle w:val="BeschriftungSSI"/>
      </w:pPr>
      <w:r>
        <w:t>Tab. 17: Abgrenzungen</w:t>
      </w:r>
    </w:p>
    <w:p>
      <w:pPr>
        <w:pStyle w:val="Quelle"/>
      </w:pPr>
      <w:r>
        <w:rPr>
          <w:b/>
        </w:rPr>
        <w:t xml:space="preserve">Quelle: </w:t>
      </w:r>
      <w:r>
        <w:rPr>
          <w:sz w:val="17"/>
        </w:rPr>
        <w:t>Zusammenstellung aus Kapitel 4 bis 8; Administratorhandbuch 2.7, Kap. 3.5.2.1</w:t>
      </w:r>
    </w:p>
    <w:p>
      <w:pPr>
        <w:pStyle w:val="Heading1"/>
      </w:pPr>
      <w:r>
        <w:t>10 Stolperfallen</w:t>
      </w:r>
    </w:p>
    <w:p>
      <w:pPr>
        <w:pStyle w:val="ListBullet"/>
      </w:pPr>
      <w:r>
        <w:rPr>
          <w:b/>
        </w:rPr>
        <w:t>Stammdaten fehlen im Klienten:</w:t>
      </w:r>
      <w:r>
        <w:t xml:space="preserve"> Unbekannte Mengeneinheiten, Artikeltypen oder Warengruppen sind die häufigste Fehlerursache bei Anlage und Import. Erst MD017 pflegen, dann Artikel.</w:t>
      </w:r>
    </w:p>
    <w:p>
      <w:pPr>
        <w:pStyle w:val="ListBullet"/>
      </w:pPr>
      <w:r>
        <w:rPr>
          <w:b/>
        </w:rPr>
        <w:t>Zähler falsch herum:</w:t>
      </w:r>
      <w:r>
        <w:t xml:space="preserve"> Der Zähler gibt an, wie viele </w:t>
      </w:r>
      <w:r>
        <w:rPr>
          <w:b/>
        </w:rPr>
        <w:t>nächstkleinere</w:t>
      </w:r>
      <w:r>
        <w:t xml:space="preserve"> Einheiten in der Einheit stecken (Karton: Zähler 10, Referenz Stück) – nicht umgekehrt.</w:t>
      </w:r>
    </w:p>
    <w:p>
      <w:pPr>
        <w:pStyle w:val="ListBullet"/>
      </w:pPr>
      <w:r>
        <w:rPr>
          <w:b/>
        </w:rPr>
        <w:t>Basiseinheit mit Referenz:</w:t>
      </w:r>
      <w:r>
        <w:t xml:space="preserve"> Die Basismengeneinheit erhält Zähler </w:t>
      </w:r>
      <w:r>
        <w:rPr>
          <w:rFonts w:ascii="Consolas" w:hAnsi="Consolas" w:cs="Consolas" w:eastAsia="Consolas"/>
          <w:sz w:val="18"/>
        </w:rPr>
        <w:t>1</w:t>
      </w:r>
      <w:r>
        <w:t xml:space="preserve"> und </w:t>
      </w:r>
      <w:r>
        <w:rPr>
          <w:b/>
        </w:rPr>
        <w:t>keine</w:t>
      </w:r>
      <w:r>
        <w:t xml:space="preserve"> Referenzmengeneinheit.</w:t>
      </w:r>
    </w:p>
    <w:p>
      <w:pPr>
        <w:pStyle w:val="ListBullet"/>
      </w:pPr>
      <w:r>
        <w:rPr>
          <w:b/>
        </w:rPr>
        <w:t>Keine Standard-Verpackungsversion</w:t>
      </w:r>
      <w:r>
        <w:t xml:space="preserve"> oder keine </w:t>
      </w:r>
      <w:r>
        <w:rPr>
          <w:b/>
        </w:rPr>
        <w:t>Lagermengeneinheit</w:t>
      </w:r>
      <w:r>
        <w:t>: Der Artikel ist nicht vollständig nutzbar.</w:t>
      </w:r>
    </w:p>
    <w:p>
      <w:pPr>
        <w:pStyle w:val="ListBullet"/>
      </w:pPr>
      <w:r>
        <w:rPr>
          <w:b/>
        </w:rPr>
        <w:t>GTIN doppelt oder ohne Mengeneinheit:</w:t>
      </w:r>
      <w:r>
        <w:t xml:space="preserve"> Aliasnummern müssen eindeutig sein; bei GTIN ist die Mengeneinheit Pflicht. Achtung beim Duplizieren.</w:t>
      </w:r>
    </w:p>
    <w:p>
      <w:pPr>
        <w:pStyle w:val="ListBullet"/>
      </w:pPr>
      <w:r>
        <w:rPr>
          <w:b/>
        </w:rPr>
        <w:t>Fehlende Boxtyp-Zuordnung:</w:t>
      </w:r>
      <w:r>
        <w:t xml:space="preserve"> Ohne Zuordnung findet die Einlagerung keine passende Box. Nutzen Sie LM084, LM144 oder LM012.</w:t>
      </w:r>
    </w:p>
    <w:p>
      <w:pPr>
        <w:pStyle w:val="ListBullet"/>
      </w:pPr>
      <w:r>
        <w:rPr>
          <w:b/>
        </w:rPr>
        <w:t>Großer Artikel ohne Ganz-Ladeeinheit:</w:t>
      </w:r>
      <w:r>
        <w:t xml:space="preserve"> Bei </w:t>
      </w:r>
      <w:r>
        <w:rPr>
          <w:b/>
        </w:rPr>
        <w:t>Großer Artikel</w:t>
      </w:r>
      <w:r>
        <w:t xml:space="preserve"> muss eine Artikelmengeneinheit als </w:t>
      </w:r>
      <w:r>
        <w:rPr>
          <w:b/>
        </w:rPr>
        <w:t>Ganz-Ladeeinheit</w:t>
      </w:r>
      <w:r>
        <w:t xml:space="preserve"> gekennzeichnet sein.</w:t>
      </w:r>
    </w:p>
    <w:p>
      <w:pPr>
        <w:pStyle w:val="ListBullet"/>
      </w:pPr>
      <w:r>
        <w:rPr>
          <w:b/>
        </w:rPr>
        <w:t>Charge oder MHD auf „Obligatorisch“</w:t>
      </w:r>
      <w:r>
        <w:t xml:space="preserve"> ohne Schulung der Mitarbeitenden: Jede Einlagerung verlangt dann die Eingabe.</w:t>
      </w:r>
    </w:p>
    <w:p>
      <w:pPr>
        <w:pStyle w:val="ListBullet"/>
      </w:pPr>
      <w:r>
        <w:rPr>
          <w:b/>
        </w:rPr>
        <w:t>Excel wandelt Artikelnummern um</w:t>
      </w:r>
      <w:r>
        <w:t xml:space="preserve"> (führende Nullen, Exponentialschreibweise): Spalte als Text formatieren.</w:t>
      </w:r>
    </w:p>
    <w:p>
      <w:pPr>
        <w:pStyle w:val="ListBullet"/>
      </w:pPr>
      <w:r>
        <w:rPr>
          <w:b/>
        </w:rPr>
        <w:t>Groß-/Kleinschreibung:</w:t>
      </w:r>
      <w:r>
        <w:t xml:space="preserve"> Kürzel wie </w:t>
      </w:r>
      <w:r>
        <w:rPr>
          <w:rFonts w:ascii="Consolas" w:hAnsi="Consolas" w:cs="Consolas" w:eastAsia="Consolas"/>
          <w:sz w:val="18"/>
        </w:rPr>
        <w:t>STK</w:t>
      </w:r>
      <w:r>
        <w:t xml:space="preserve"> und </w:t>
      </w:r>
      <w:r>
        <w:rPr>
          <w:rFonts w:ascii="Consolas" w:hAnsi="Consolas" w:cs="Consolas" w:eastAsia="Consolas"/>
          <w:sz w:val="18"/>
        </w:rPr>
        <w:t>stk</w:t>
      </w:r>
      <w:r>
        <w:t xml:space="preserve"> sind verschieden.</w:t>
      </w:r>
    </w:p>
    <w:p>
      <w:pPr>
        <w:pStyle w:val="ListBullet"/>
      </w:pPr>
      <w:r>
        <w:rPr>
          <w:b/>
        </w:rPr>
        <w:t>„Ungültige Zeilen überspringen“</w:t>
      </w:r>
      <w:r>
        <w:t xml:space="preserve"> beim Import: Fehlerhafte Zeilen fehlen danach unbemerkt. Anschließend in DI002 und MD001 die Anzahl kontrollieren.</w:t>
      </w:r>
    </w:p>
    <w:p>
      <w:pPr>
        <w:pStyle w:val="ListBullet"/>
      </w:pPr>
      <w:r>
        <w:rPr>
          <w:b/>
        </w:rPr>
        <w:t>„Nicht zugeordnete Felder ignorieren“:</w:t>
      </w:r>
      <w:r>
        <w:t xml:space="preserve"> Spalten mit Tippfehler im Profil werden stillschweigend nicht übernommen.</w:t>
      </w:r>
    </w:p>
    <w:p>
      <w:pPr>
        <w:pStyle w:val="ListBullet"/>
      </w:pPr>
      <w:r>
        <w:rPr>
          <w:b/>
        </w:rPr>
        <w:t>Import ist kein sofortiger Eintrag:</w:t>
      </w:r>
      <w:r>
        <w:t xml:space="preserve"> Erst die erfolgreich verarbeitete Systempartnernachricht legt den Artikel an. Den Status in DI002 prüfen.</w:t>
      </w:r>
    </w:p>
    <w:p>
      <w:pPr>
        <w:pStyle w:val="ListBullet"/>
      </w:pPr>
      <w:r>
        <w:rPr>
          <w:b/>
        </w:rPr>
        <w:t>Schnell angelegte Artikel (LM041)</w:t>
      </w:r>
      <w:r>
        <w:t xml:space="preserve"> bleiben unvollständig, wenn niemand sie nachpflegt. Regelmäßig in MD001 nach Status </w:t>
      </w:r>
      <w:r>
        <w:rPr>
          <w:b/>
        </w:rPr>
        <w:t>Unvollständig</w:t>
      </w:r>
      <w:r>
        <w:t xml:space="preserve"> bzw. fehlender Bezeichnung suchen.</w:t>
      </w:r>
    </w:p>
    <w:p>
      <w:pPr>
        <w:pStyle w:val="ListBullet"/>
      </w:pPr>
      <w:r>
        <w:rPr>
          <w:b/>
        </w:rPr>
        <w:t>Mengeneinheit nicht ganzzahlig:</w:t>
      </w:r>
      <w:r>
        <w:t xml:space="preserve"> Ohne </w:t>
      </w:r>
      <w:r>
        <w:rPr>
          <w:b/>
        </w:rPr>
        <w:t>Ganzzahl</w:t>
      </w:r>
      <w:r>
        <w:t xml:space="preserve"> lassen sich Dezimalmengen buchen.</w:t>
      </w:r>
    </w:p>
    <w:p>
      <w:pPr>
        <w:pStyle w:val="ListBullet"/>
      </w:pPr>
      <w:r>
        <w:rPr>
          <w:b/>
        </w:rPr>
        <w:t>Gleichwertigkeitsdauer ohne Wirkung:</w:t>
      </w:r>
      <w:r>
        <w:t xml:space="preserve"> Zusätzlich die Strategie </w:t>
      </w:r>
      <w:r>
        <w:rPr>
          <w:b/>
        </w:rPr>
        <w:t>Mild</w:t>
      </w:r>
      <w:r>
        <w:t xml:space="preserve"> beim Partner einstellen.</w:t>
      </w:r>
    </w:p>
    <w:p>
      <w:pPr>
        <w:pStyle w:val="Quelle"/>
      </w:pPr>
      <w:r>
        <w:rPr>
          <w:b/>
        </w:rPr>
        <w:t xml:space="preserve">Quelle: </w:t>
      </w:r>
      <w:r>
        <w:rPr>
          <w:sz w:val="17"/>
        </w:rPr>
        <w:t>Zusammenstellung aus Kapitel 3 bis 8</w:t>
      </w:r>
    </w:p>
    <w:p>
      <w:pPr>
        <w:pStyle w:val="Heading1"/>
      </w:pPr>
      <w:r>
        <w:t>11 Praxisbeispiele</w:t>
      </w:r>
    </w:p>
    <w:p>
      <w:pPr>
        <w:pStyle w:val="Heading2"/>
      </w:pPr>
      <w:r>
        <w:t>11.1 Artikel mit Karton-Einheit und EAN am Desktop anlegen und Etikett drucken</w:t>
      </w:r>
    </w:p>
    <w:p>
      <w:r>
        <w:t xml:space="preserve">Beispiel (Werte frei gewählt): Neuer Artikel </w:t>
      </w:r>
      <w:r>
        <w:rPr>
          <w:rFonts w:ascii="Consolas" w:hAnsi="Consolas" w:cs="Consolas" w:eastAsia="Consolas"/>
          <w:sz w:val="18"/>
        </w:rPr>
        <w:t>100245</w:t>
      </w:r>
      <w:r>
        <w:t xml:space="preserve"> „Sechskantschraube M8x40 verz.“, Lagerung stückweise in Boxen, Anlieferung in Kartons zu 100 Stück. Stück-EAN </w:t>
      </w:r>
      <w:r>
        <w:rPr>
          <w:rFonts w:ascii="Consolas" w:hAnsi="Consolas" w:cs="Consolas" w:eastAsia="Consolas"/>
          <w:sz w:val="18"/>
        </w:rPr>
        <w:t>4012345000017</w:t>
      </w:r>
      <w:r>
        <w:t xml:space="preserve">, Karton-EAN </w:t>
      </w:r>
      <w:r>
        <w:rPr>
          <w:rFonts w:ascii="Consolas" w:hAnsi="Consolas" w:cs="Consolas" w:eastAsia="Consolas"/>
          <w:sz w:val="18"/>
        </w:rPr>
        <w:t>4012345000024</w:t>
      </w:r>
      <w:r>
        <w:t xml:space="preserve">. Charge soll im Wareneingang optional erfasst werden. Mengeneinheiten </w:t>
      </w:r>
      <w:r>
        <w:rPr>
          <w:rFonts w:ascii="Consolas" w:hAnsi="Consolas" w:cs="Consolas" w:eastAsia="Consolas"/>
          <w:sz w:val="18"/>
        </w:rPr>
        <w:t>STK</w:t>
      </w:r>
      <w:r>
        <w:t xml:space="preserve"> (Ganzzahl) und </w:t>
      </w:r>
      <w:r>
        <w:rPr>
          <w:rFonts w:ascii="Consolas" w:hAnsi="Consolas" w:cs="Consolas" w:eastAsia="Consolas"/>
          <w:sz w:val="18"/>
        </w:rPr>
        <w:t>KRT</w:t>
      </w:r>
      <w:r>
        <w:t xml:space="preserve"> sowie Artikeltyp Handelsware sind in </w:t>
      </w:r>
      <w:r>
        <w:rPr>
          <w:b/>
        </w:rPr>
        <w:t>MD017</w:t>
      </w:r>
      <w:r>
        <w:t xml:space="preserve"> vorhanden.</w:t>
      </w:r>
    </w:p>
    <w:p>
      <w:pPr>
        <w:tabs>
          <w:tab w:pos="425" w:val="left"/>
        </w:tabs>
        <w:spacing w:after="60"/>
        <w:ind w:left="425" w:hanging="425"/>
      </w:pPr>
      <w:r>
        <w:rPr>
          <w:b/>
        </w:rPr>
        <w:t>1.</w:t>
        <w:tab/>
      </w:r>
      <w:r>
        <w:rPr>
          <w:b/>
        </w:rPr>
        <w:t>MD002</w:t>
      </w:r>
      <w:r>
        <w:t xml:space="preserve"> öffnen: Klient eingeben, Artikelnummer </w:t>
      </w:r>
      <w:r>
        <w:rPr>
          <w:rFonts w:ascii="Consolas" w:hAnsi="Consolas" w:cs="Consolas" w:eastAsia="Consolas"/>
          <w:sz w:val="18"/>
        </w:rPr>
        <w:t>100245</w:t>
      </w:r>
      <w:r>
        <w:t xml:space="preserve">, Variante </w:t>
      </w:r>
      <w:r>
        <w:rPr>
          <w:rFonts w:ascii="Consolas" w:hAnsi="Consolas" w:cs="Consolas" w:eastAsia="Consolas"/>
          <w:sz w:val="18"/>
        </w:rPr>
        <w:t>0</w:t>
      </w:r>
      <w:r>
        <w:t>.</w:t>
      </w:r>
    </w:p>
    <w:p>
      <w:pPr>
        <w:tabs>
          <w:tab w:pos="425" w:val="left"/>
        </w:tabs>
        <w:spacing w:after="60"/>
        <w:ind w:left="425" w:hanging="425"/>
      </w:pPr>
      <w:r>
        <w:rPr>
          <w:b/>
        </w:rPr>
        <w:t>2.</w:t>
        <w:tab/>
      </w:r>
      <w:r>
        <w:t xml:space="preserve">Registerkarte </w:t>
      </w:r>
      <w:r>
        <w:rPr>
          <w:b/>
        </w:rPr>
        <w:t>Artikel</w:t>
      </w:r>
      <w:r>
        <w:t xml:space="preserve">: Bezeichnung „Sechskantschraube M8x40 verz.“, </w:t>
      </w:r>
      <w:r>
        <w:rPr>
          <w:b/>
        </w:rPr>
        <w:t>Basismengeneinheit</w:t>
      </w:r>
      <w:r>
        <w:t xml:space="preserve"> </w:t>
      </w:r>
      <w:r>
        <w:rPr>
          <w:rFonts w:ascii="Consolas" w:hAnsi="Consolas" w:cs="Consolas" w:eastAsia="Consolas"/>
          <w:sz w:val="18"/>
        </w:rPr>
        <w:t>STK</w:t>
      </w:r>
      <w:r>
        <w:t xml:space="preserve">, </w:t>
      </w:r>
      <w:r>
        <w:rPr>
          <w:b/>
        </w:rPr>
        <w:t>Artikeltyp</w:t>
      </w:r>
      <w:r>
        <w:t xml:space="preserve"> Handelsware, </w:t>
      </w:r>
      <w:r>
        <w:rPr>
          <w:b/>
        </w:rPr>
        <w:t>Warengruppe</w:t>
      </w:r>
      <w:r>
        <w:t xml:space="preserve"> „Normteile“, </w:t>
      </w:r>
      <w:r>
        <w:rPr>
          <w:b/>
        </w:rPr>
        <w:t>Hauptsystempartner</w:t>
      </w:r>
      <w:r>
        <w:t xml:space="preserve"> wählen, </w:t>
      </w:r>
      <w:r>
        <w:rPr>
          <w:b/>
        </w:rPr>
        <w:t>Stammdatenstatus</w:t>
      </w:r>
      <w:r>
        <w:t xml:space="preserve"> Normal.</w:t>
      </w:r>
    </w:p>
    <w:p>
      <w:pPr>
        <w:tabs>
          <w:tab w:pos="425" w:val="left"/>
        </w:tabs>
        <w:spacing w:after="60"/>
        <w:ind w:left="425" w:hanging="425"/>
      </w:pPr>
      <w:r>
        <w:rPr>
          <w:b/>
        </w:rPr>
        <w:t>3.</w:t>
        <w:tab/>
      </w:r>
      <w:r>
        <w:t xml:space="preserve">Registerkarte </w:t>
      </w:r>
      <w:r>
        <w:rPr>
          <w:b/>
        </w:rPr>
        <w:t>Verpackungsversion</w:t>
      </w:r>
      <w:r>
        <w:t xml:space="preserve">: Verpackungsversion anlegen. Zeile </w:t>
      </w:r>
      <w:r>
        <w:rPr>
          <w:rFonts w:ascii="Consolas" w:hAnsi="Consolas" w:cs="Consolas" w:eastAsia="Consolas"/>
          <w:sz w:val="18"/>
        </w:rPr>
        <w:t>STK</w:t>
      </w:r>
      <w:r>
        <w:t xml:space="preserve"> mit Zähler </w:t>
      </w:r>
      <w:r>
        <w:rPr>
          <w:rFonts w:ascii="Consolas" w:hAnsi="Consolas" w:cs="Consolas" w:eastAsia="Consolas"/>
          <w:sz w:val="18"/>
        </w:rPr>
        <w:t>1</w:t>
      </w:r>
      <w:r>
        <w:t xml:space="preserve">, ohne Referenz, Bruttogewicht 0,03 kg, Maße 40 × 13 × 13 mm. Zeile </w:t>
      </w:r>
      <w:r>
        <w:rPr>
          <w:rFonts w:ascii="Consolas" w:hAnsi="Consolas" w:cs="Consolas" w:eastAsia="Consolas"/>
          <w:sz w:val="18"/>
        </w:rPr>
        <w:t>KRT</w:t>
      </w:r>
      <w:r>
        <w:t xml:space="preserve"> mit Zähler </w:t>
      </w:r>
      <w:r>
        <w:rPr>
          <w:rFonts w:ascii="Consolas" w:hAnsi="Consolas" w:cs="Consolas" w:eastAsia="Consolas"/>
          <w:sz w:val="18"/>
        </w:rPr>
        <w:t>100</w:t>
      </w:r>
      <w:r>
        <w:t xml:space="preserve">, Referenz </w:t>
      </w:r>
      <w:r>
        <w:rPr>
          <w:rFonts w:ascii="Consolas" w:hAnsi="Consolas" w:cs="Consolas" w:eastAsia="Consolas"/>
          <w:sz w:val="18"/>
        </w:rPr>
        <w:t>STK</w:t>
      </w:r>
      <w:r>
        <w:t>, Bruttogewicht 3,2 kg, Maße 200 × 150 × 80 mm.</w:t>
      </w:r>
    </w:p>
    <w:p>
      <w:pPr>
        <w:tabs>
          <w:tab w:pos="425" w:val="left"/>
        </w:tabs>
        <w:spacing w:after="60"/>
        <w:ind w:left="425" w:hanging="425"/>
      </w:pPr>
      <w:r>
        <w:rPr>
          <w:b/>
        </w:rPr>
        <w:t>4.</w:t>
        <w:tab/>
      </w:r>
      <w:r>
        <w:t xml:space="preserve">In </w:t>
      </w:r>
      <w:r>
        <w:rPr>
          <w:b/>
        </w:rPr>
        <w:t>MD039</w:t>
      </w:r>
      <w:r>
        <w:t xml:space="preserve"> die </w:t>
      </w:r>
      <w:r>
        <w:rPr>
          <w:b/>
        </w:rPr>
        <w:t>Lagermengeneinheit</w:t>
      </w:r>
      <w:r>
        <w:t xml:space="preserve"> </w:t>
      </w:r>
      <w:r>
        <w:rPr>
          <w:rFonts w:ascii="Consolas" w:hAnsi="Consolas" w:cs="Consolas" w:eastAsia="Consolas"/>
          <w:sz w:val="18"/>
        </w:rPr>
        <w:t>STK</w:t>
      </w:r>
      <w:r>
        <w:t xml:space="preserve"> setzen und die Verpackungsversion als </w:t>
      </w:r>
      <w:r>
        <w:rPr>
          <w:b/>
        </w:rPr>
        <w:t>Standard</w:t>
      </w:r>
      <w:r>
        <w:t xml:space="preserve"> markieren.</w:t>
      </w:r>
    </w:p>
    <w:p>
      <w:pPr>
        <w:tabs>
          <w:tab w:pos="425" w:val="left"/>
        </w:tabs>
        <w:spacing w:after="60"/>
        <w:ind w:left="425" w:hanging="425"/>
      </w:pPr>
      <w:r>
        <w:rPr>
          <w:b/>
        </w:rPr>
        <w:t>5.</w:t>
        <w:tab/>
      </w:r>
      <w:r>
        <w:t xml:space="preserve">Registerkarte </w:t>
      </w:r>
      <w:r>
        <w:rPr>
          <w:b/>
        </w:rPr>
        <w:t>Kubatur</w:t>
      </w:r>
      <w:r>
        <w:t xml:space="preserve">: Boxtyp „Box 1/8“ mit </w:t>
      </w:r>
      <w:r>
        <w:rPr>
          <w:b/>
        </w:rPr>
        <w:t># Basismengeneinheiten (max.)</w:t>
      </w:r>
      <w:r>
        <w:t xml:space="preserve"> = 400.</w:t>
      </w:r>
    </w:p>
    <w:p>
      <w:pPr>
        <w:tabs>
          <w:tab w:pos="425" w:val="left"/>
        </w:tabs>
        <w:spacing w:after="60"/>
        <w:ind w:left="425" w:hanging="425"/>
      </w:pPr>
      <w:r>
        <w:rPr>
          <w:b/>
        </w:rPr>
        <w:t>6.</w:t>
        <w:tab/>
      </w:r>
      <w:r>
        <w:t xml:space="preserve">Registerkarte </w:t>
      </w:r>
      <w:r>
        <w:rPr>
          <w:b/>
        </w:rPr>
        <w:t>Bestandsidentifizierende Attribute</w:t>
      </w:r>
      <w:r>
        <w:t xml:space="preserve">: </w:t>
      </w:r>
      <w:r>
        <w:rPr>
          <w:b/>
        </w:rPr>
        <w:t>Charge</w:t>
      </w:r>
      <w:r>
        <w:t xml:space="preserve"> = Optional, </w:t>
      </w:r>
      <w:r>
        <w:rPr>
          <w:b/>
        </w:rPr>
        <w:t>MHD</w:t>
      </w:r>
      <w:r>
        <w:t xml:space="preserve"> = Nicht anwendbar.</w:t>
      </w:r>
    </w:p>
    <w:p>
      <w:pPr>
        <w:tabs>
          <w:tab w:pos="425" w:val="left"/>
        </w:tabs>
        <w:spacing w:after="60"/>
        <w:ind w:left="425" w:hanging="425"/>
      </w:pPr>
      <w:r>
        <w:rPr>
          <w:b/>
        </w:rPr>
        <w:t>7.</w:t>
        <w:tab/>
      </w:r>
      <w:r>
        <w:t xml:space="preserve">Registerkarte </w:t>
      </w:r>
      <w:r>
        <w:rPr>
          <w:b/>
        </w:rPr>
        <w:t>Artikel-Alias</w:t>
      </w:r>
      <w:r>
        <w:t xml:space="preserve">: GTIN </w:t>
      </w:r>
      <w:r>
        <w:rPr>
          <w:rFonts w:ascii="Consolas" w:hAnsi="Consolas" w:cs="Consolas" w:eastAsia="Consolas"/>
          <w:sz w:val="18"/>
        </w:rPr>
        <w:t>4012345000017</w:t>
      </w:r>
      <w:r>
        <w:t xml:space="preserve"> mit Mengeneinheit </w:t>
      </w:r>
      <w:r>
        <w:rPr>
          <w:rFonts w:ascii="Consolas" w:hAnsi="Consolas" w:cs="Consolas" w:eastAsia="Consolas"/>
          <w:sz w:val="18"/>
        </w:rPr>
        <w:t>STK</w:t>
      </w:r>
      <w:r>
        <w:t xml:space="preserve"> sowie GTIN </w:t>
      </w:r>
      <w:r>
        <w:rPr>
          <w:rFonts w:ascii="Consolas" w:hAnsi="Consolas" w:cs="Consolas" w:eastAsia="Consolas"/>
          <w:sz w:val="18"/>
        </w:rPr>
        <w:t>4012345000024</w:t>
      </w:r>
      <w:r>
        <w:t xml:space="preserve"> mit Mengeneinheit </w:t>
      </w:r>
      <w:r>
        <w:rPr>
          <w:rFonts w:ascii="Consolas" w:hAnsi="Consolas" w:cs="Consolas" w:eastAsia="Consolas"/>
          <w:sz w:val="18"/>
        </w:rPr>
        <w:t>KRT</w:t>
      </w:r>
      <w:r>
        <w:t>.</w:t>
      </w:r>
    </w:p>
    <w:p>
      <w:pPr>
        <w:tabs>
          <w:tab w:pos="425" w:val="left"/>
        </w:tabs>
        <w:spacing w:after="60"/>
        <w:ind w:left="425" w:hanging="425"/>
      </w:pPr>
      <w:r>
        <w:rPr>
          <w:b/>
        </w:rPr>
        <w:t>8.</w:t>
        <w:tab/>
      </w:r>
      <w:r>
        <w:t xml:space="preserve">Registerkarte </w:t>
      </w:r>
      <w:r>
        <w:rPr>
          <w:b/>
        </w:rPr>
        <w:t>WLS Artikel</w:t>
      </w:r>
      <w:r>
        <w:t xml:space="preserve">: </w:t>
      </w:r>
      <w:r>
        <w:rPr>
          <w:b/>
        </w:rPr>
        <w:t>Kippen ist erlaubt</w:t>
      </w:r>
      <w:r>
        <w:t xml:space="preserve"> = Ja, </w:t>
      </w:r>
      <w:r>
        <w:rPr>
          <w:b/>
        </w:rPr>
        <w:t>Lagerreservierungsstrategie</w:t>
      </w:r>
      <w:r>
        <w:t xml:space="preserve"> = ASSIGNMENT, Artikelzuordnung </w:t>
      </w:r>
      <w:r>
        <w:rPr>
          <w:b/>
        </w:rPr>
        <w:t>Fixiert</w:t>
      </w:r>
      <w:r>
        <w:t xml:space="preserve"> für den Lagerbereich des LOGIMAT.</w:t>
      </w:r>
    </w:p>
    <w:p>
      <w:pPr>
        <w:tabs>
          <w:tab w:pos="425" w:val="left"/>
        </w:tabs>
        <w:spacing w:after="60"/>
        <w:ind w:left="425" w:hanging="425"/>
      </w:pPr>
      <w:r>
        <w:rPr>
          <w:b/>
        </w:rPr>
        <w:t>9.</w:t>
        <w:tab/>
      </w:r>
      <w:r>
        <w:rPr>
          <w:b/>
        </w:rPr>
        <w:t>Speichern</w:t>
      </w:r>
      <w:r>
        <w:t>.</w:t>
      </w:r>
    </w:p>
    <w:p>
      <w:pPr>
        <w:tabs>
          <w:tab w:pos="425" w:val="left"/>
        </w:tabs>
        <w:spacing w:after="60"/>
        <w:ind w:left="425" w:hanging="425"/>
      </w:pPr>
      <w:r>
        <w:rPr>
          <w:b/>
        </w:rPr>
        <w:t>10.</w:t>
        <w:tab/>
      </w:r>
      <w:r>
        <w:rPr>
          <w:b/>
        </w:rPr>
        <w:t>MD001</w:t>
      </w:r>
      <w:r>
        <w:t xml:space="preserve">: Artikel suchen → Rechtsklick → </w:t>
      </w:r>
      <w:r>
        <w:rPr>
          <w:b/>
        </w:rPr>
        <w:t>Artikeletikett drucken</w:t>
      </w:r>
      <w:r>
        <w:t xml:space="preserve"> → Verpackungsversion 1, Alias </w:t>
      </w:r>
      <w:r>
        <w:rPr>
          <w:rFonts w:ascii="Consolas" w:hAnsi="Consolas" w:cs="Consolas" w:eastAsia="Consolas"/>
          <w:sz w:val="18"/>
        </w:rPr>
        <w:t>4012345000017</w:t>
      </w:r>
      <w:r>
        <w:t xml:space="preserve">, Anzahl 2 → </w:t>
      </w:r>
      <w:r>
        <w:rPr>
          <w:b/>
        </w:rPr>
        <w:t>Generieren</w:t>
      </w:r>
      <w:r>
        <w:t xml:space="preserve"> → Layout und Drucker wählen → </w:t>
      </w:r>
      <w:r>
        <w:rPr>
          <w:b/>
        </w:rPr>
        <w:t>Generieren</w:t>
      </w:r>
      <w:r>
        <w:t>.</w:t>
      </w:r>
    </w:p>
    <w:p>
      <w:r>
        <w:t>Ergebnis: Der Artikel ist vollständig angelegt, kann per EAN gescannt und in eine Box 1/8 eingelagert werden. Zwei Etiketten für die Box liegen am Drucker.</w:t>
      </w:r>
    </w:p>
    <w:p>
      <w:pPr>
        <w:pStyle w:val="Heading2"/>
      </w:pPr>
      <w:r>
        <w:t>11.2 Erstbefüllung: 350 Artikel aus Excel übernehmen [2.8]</w:t>
      </w:r>
    </w:p>
    <w:p>
      <w:r>
        <w:t>Beispiel (Werte frei gewählt): Ein Kunde ohne ERP-Schnittstelle startet mit WAMAS Lift &amp; Store 2.8. Aus dem Altsystem liegt eine Excel-Liste mit 350 Artikeln vor (Artikelnummer, Bezeichnung, Einheit, EAN).</w:t>
      </w:r>
    </w:p>
    <w:p>
      <w:pPr>
        <w:tabs>
          <w:tab w:pos="425" w:val="left"/>
        </w:tabs>
        <w:spacing w:after="60"/>
        <w:ind w:left="425" w:hanging="425"/>
      </w:pPr>
      <w:r>
        <w:rPr>
          <w:b/>
        </w:rPr>
        <w:t>1.</w:t>
        <w:tab/>
      </w:r>
      <w:r>
        <w:rPr>
          <w:b/>
        </w:rPr>
        <w:t>Vorbereitung</w:t>
      </w:r>
      <w:r>
        <w:t xml:space="preserve">: In </w:t>
      </w:r>
      <w:r>
        <w:rPr>
          <w:b/>
        </w:rPr>
        <w:t>MD017</w:t>
      </w:r>
      <w:r>
        <w:t xml:space="preserve"> fehlende Mengeneinheiten anlegen (z. B. </w:t>
      </w:r>
      <w:r>
        <w:rPr>
          <w:rFonts w:ascii="Consolas" w:hAnsi="Consolas" w:cs="Consolas" w:eastAsia="Consolas"/>
          <w:sz w:val="18"/>
        </w:rPr>
        <w:t>STK</w:t>
      </w:r>
      <w:r>
        <w:t xml:space="preserve">, </w:t>
      </w:r>
      <w:r>
        <w:rPr>
          <w:rFonts w:ascii="Consolas" w:hAnsi="Consolas" w:cs="Consolas" w:eastAsia="Consolas"/>
          <w:sz w:val="18"/>
        </w:rPr>
        <w:t>PAA</w:t>
      </w:r>
      <w:r>
        <w:t xml:space="preserve">, </w:t>
      </w:r>
      <w:r>
        <w:rPr>
          <w:rFonts w:ascii="Consolas" w:hAnsi="Consolas" w:cs="Consolas" w:eastAsia="Consolas"/>
          <w:sz w:val="18"/>
        </w:rPr>
        <w:t>M</w:t>
      </w:r>
      <w:r>
        <w:t>). Excel-Spalte Artikelnummer als Text formatieren, Einheiten auf die WAMAS-Kürzel vereinheitlichen.</w:t>
      </w:r>
    </w:p>
    <w:p>
      <w:pPr>
        <w:tabs>
          <w:tab w:pos="425" w:val="left"/>
        </w:tabs>
        <w:spacing w:after="60"/>
        <w:ind w:left="425" w:hanging="425"/>
      </w:pPr>
      <w:r>
        <w:rPr>
          <w:b/>
        </w:rPr>
        <w:t>2.</w:t>
        <w:tab/>
      </w:r>
      <w:r>
        <w:rPr>
          <w:b/>
        </w:rPr>
        <w:t>Profil</w:t>
      </w:r>
      <w:r>
        <w:t xml:space="preserve"> in </w:t>
      </w:r>
      <w:r>
        <w:rPr>
          <w:b/>
        </w:rPr>
        <w:t>LM161</w:t>
      </w:r>
      <w:r>
        <w:t xml:space="preserve"> anlegen, z. B. „ARTIKEL_ALT“: </w:t>
      </w:r>
      <w:r>
        <w:rPr>
          <w:b/>
        </w:rPr>
        <w:t>Datensatz</w:t>
      </w:r>
      <w:r>
        <w:t xml:space="preserve"> Artikel, </w:t>
      </w:r>
      <w:r>
        <w:rPr>
          <w:b/>
        </w:rPr>
        <w:t>Datenvalidierung</w:t>
      </w:r>
      <w:r>
        <w:t xml:space="preserve"> Ungültige Zeilen überspringen, </w:t>
      </w:r>
      <w:r>
        <w:rPr>
          <w:b/>
        </w:rPr>
        <w:t>Aktion bei Zuordnungsfehler</w:t>
      </w:r>
      <w:r>
        <w:t xml:space="preserve"> Import abbrechen.</w:t>
      </w:r>
    </w:p>
    <w:p>
      <w:pPr>
        <w:tabs>
          <w:tab w:pos="425" w:val="left"/>
        </w:tabs>
        <w:spacing w:after="60"/>
        <w:ind w:left="425" w:hanging="425"/>
      </w:pPr>
      <w:r>
        <w:rPr>
          <w:b/>
        </w:rPr>
        <w:t>3.</w:t>
        <w:tab/>
      </w:r>
      <w:r>
        <w:rPr>
          <w:b/>
        </w:rPr>
        <w:t>Datenzuordnung</w:t>
      </w:r>
      <w:r>
        <w:t xml:space="preserve">: Artikelnummer → Blatt 1, Spalte A, </w:t>
      </w:r>
      <w:r>
        <w:rPr>
          <w:b/>
        </w:rPr>
        <w:t>Eindeutig</w:t>
      </w:r>
      <w:r>
        <w:t xml:space="preserve"> aktiviert. Bezeichnung → Spalte B. Basismengeneinheit → Spalte C. GTIN (Alias) → Spalte D. Klient, Variante </w:t>
      </w:r>
      <w:r>
        <w:rPr>
          <w:rFonts w:ascii="Consolas" w:hAnsi="Consolas" w:cs="Consolas" w:eastAsia="Consolas"/>
          <w:sz w:val="18"/>
        </w:rPr>
        <w:t>0</w:t>
      </w:r>
      <w:r>
        <w:t xml:space="preserve"> und Artikeltyp als statische Werte.</w:t>
      </w:r>
    </w:p>
    <w:p>
      <w:pPr>
        <w:tabs>
          <w:tab w:pos="425" w:val="left"/>
        </w:tabs>
        <w:spacing w:after="60"/>
        <w:ind w:left="425" w:hanging="425"/>
      </w:pPr>
      <w:r>
        <w:rPr>
          <w:b/>
        </w:rPr>
        <w:t>4.</w:t>
        <w:tab/>
      </w:r>
      <w:r>
        <w:rPr>
          <w:b/>
        </w:rPr>
        <w:t>Test</w:t>
      </w:r>
      <w:r>
        <w:t xml:space="preserve">: Eine Kopie der Datei mit nur 5 Zeilen über </w:t>
      </w:r>
      <w:r>
        <w:rPr>
          <w:b/>
        </w:rPr>
        <w:t>MD001</w:t>
      </w:r>
      <w:r>
        <w:t xml:space="preserve"> → </w:t>
      </w:r>
      <w:r>
        <w:rPr>
          <w:b/>
        </w:rPr>
        <w:t>Artikel importieren</w:t>
      </w:r>
      <w:r>
        <w:t xml:space="preserve"> → </w:t>
      </w:r>
      <w:r>
        <w:rPr>
          <w:b/>
        </w:rPr>
        <w:t>LM163</w:t>
      </w:r>
      <w:r>
        <w:t xml:space="preserve"> (Profil, JSON-Konverter, Systempartner) importieren.</w:t>
      </w:r>
    </w:p>
    <w:p>
      <w:pPr>
        <w:tabs>
          <w:tab w:pos="425" w:val="left"/>
        </w:tabs>
        <w:spacing w:after="60"/>
        <w:ind w:left="425" w:hanging="425"/>
      </w:pPr>
      <w:r>
        <w:rPr>
          <w:b/>
        </w:rPr>
        <w:t>5.</w:t>
        <w:tab/>
      </w:r>
      <w:r>
        <w:t xml:space="preserve">In </w:t>
      </w:r>
      <w:r>
        <w:rPr>
          <w:b/>
        </w:rPr>
        <w:t>DI002</w:t>
      </w:r>
      <w:r>
        <w:t xml:space="preserve"> prüfen, ob die Nachricht fertiggestellt ist. In </w:t>
      </w:r>
      <w:r>
        <w:rPr>
          <w:b/>
        </w:rPr>
        <w:t>MD001</w:t>
      </w:r>
      <w:r>
        <w:t xml:space="preserve"> die 5 Artikel öffnen und Einheiten, Verpackungsversion und Alias kontrollieren.</w:t>
      </w:r>
    </w:p>
    <w:p>
      <w:pPr>
        <w:tabs>
          <w:tab w:pos="425" w:val="left"/>
        </w:tabs>
        <w:spacing w:after="60"/>
        <w:ind w:left="425" w:hanging="425"/>
      </w:pPr>
      <w:r>
        <w:rPr>
          <w:b/>
        </w:rPr>
        <w:t>6.</w:t>
        <w:tab/>
      </w:r>
      <w:r>
        <w:t>Profil bei Bedarf korrigieren. Dann die vollständige Datei importieren.</w:t>
      </w:r>
    </w:p>
    <w:p>
      <w:pPr>
        <w:tabs>
          <w:tab w:pos="425" w:val="left"/>
        </w:tabs>
        <w:spacing w:after="60"/>
        <w:ind w:left="425" w:hanging="425"/>
      </w:pPr>
      <w:r>
        <w:rPr>
          <w:b/>
        </w:rPr>
        <w:t>7.</w:t>
        <w:tab/>
      </w:r>
      <w:r>
        <w:rPr>
          <w:b/>
        </w:rPr>
        <w:t>Kontrolle</w:t>
      </w:r>
      <w:r>
        <w:t xml:space="preserve">: In DI002 fehlerhafte Nachrichten über das </w:t>
      </w:r>
      <w:r>
        <w:rPr>
          <w:b/>
        </w:rPr>
        <w:t>Fehlerprotokoll</w:t>
      </w:r>
      <w:r>
        <w:t xml:space="preserve"> auswerten, korrigieren und </w:t>
      </w:r>
      <w:r>
        <w:rPr>
          <w:b/>
        </w:rPr>
        <w:t>Wiederholen</w:t>
      </w:r>
      <w:r>
        <w:t>. In MD001 die Trefferanzahl mit der Excel-Liste vergleichen (Export als Excel).</w:t>
      </w:r>
    </w:p>
    <w:p>
      <w:pPr>
        <w:tabs>
          <w:tab w:pos="425" w:val="left"/>
        </w:tabs>
        <w:spacing w:after="60"/>
        <w:ind w:left="425" w:hanging="425"/>
      </w:pPr>
      <w:r>
        <w:rPr>
          <w:b/>
        </w:rPr>
        <w:t>8.</w:t>
        <w:tab/>
      </w:r>
      <w:r>
        <w:t>Abmessungen, Gewichte und Boxtyp-Zuordnungen für Artikel im LOGIMAT nachpflegen (manuell oder über einen zweiten Import).</w:t>
      </w:r>
    </w:p>
    <w:p>
      <w:r>
        <w:t>Ergebnis: 350 Artikel stehen im System. Fehlerhafte Zeilen sind dokumentiert und nachbearbeitet.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Variante für Version 2.7</w:t>
            </w:r>
          </w:p>
          <w:p>
            <w:pPr>
              <w:spacing w:after="40"/>
            </w:pPr>
            <w:r>
              <w:rPr>
                <w:sz w:val="19"/>
              </w:rPr>
              <w:t xml:space="preserve">In 2.7 gibt es keinen Excel-Import. Lassen Sie die Liste mit der Vorlage von SSI SCHÄFER in das Schnittstellenformat (z. B. CSV, Kapitel 8.5) umsetzen und importieren Sie die Datei über </w:t>
            </w:r>
            <w:r>
              <w:rPr>
                <w:b/>
                <w:sz w:val="19"/>
              </w:rPr>
              <w:t>DI002</w:t>
            </w:r>
            <w:r>
              <w:rPr>
                <w:sz w:val="19"/>
              </w:rPr>
              <w:t xml:space="preserve"> → </w:t>
            </w:r>
            <w:r>
              <w:rPr>
                <w:b/>
                <w:sz w:val="19"/>
              </w:rPr>
              <w:t>Daten importieren</w:t>
            </w:r>
            <w:r>
              <w:rPr>
                <w:sz w:val="19"/>
              </w:rPr>
              <w:t xml:space="preserve"> → </w:t>
            </w:r>
            <w:r>
              <w:rPr>
                <w:b/>
                <w:sz w:val="19"/>
              </w:rPr>
              <w:t>DI014</w:t>
            </w:r>
            <w:r>
              <w:rPr>
                <w:sz w:val="19"/>
              </w:rPr>
              <w:t>. Die Prüfung erfolgt ebenfalls in DI002.</w:t>
            </w:r>
          </w:p>
        </w:tc>
      </w:tr>
    </w:tbl>
    <w:p>
      <w:pPr>
        <w:spacing w:after="40"/>
      </w:pPr>
    </w:p>
    <w:p>
      <w:pPr>
        <w:pStyle w:val="Heading1"/>
      </w:pPr>
      <w:r>
        <w:t>12 Schulungsteil</w:t>
      </w:r>
    </w:p>
    <w:p>
      <w:pPr>
        <w:pStyle w:val="Heading2"/>
      </w:pPr>
      <w:r>
        <w:t>12.1 Lernziele</w:t>
      </w:r>
    </w:p>
    <w:p>
      <w:r>
        <w:t>Nach der Schulung können die Teilnehmenden</w:t>
      </w:r>
    </w:p>
    <w:p>
      <w:pPr>
        <w:pStyle w:val="ListBullet"/>
      </w:pPr>
      <w:r>
        <w:t>erklären, woraus ein Artikel besteht (Schlüssel, Basismengeneinheit, Verpackungsversion),</w:t>
      </w:r>
    </w:p>
    <w:p>
      <w:pPr>
        <w:pStyle w:val="ListBullet"/>
      </w:pPr>
      <w:r>
        <w:t>einen Artikel am Desktop und am Touch-Client vollständig anlegen,</w:t>
      </w:r>
    </w:p>
    <w:p>
      <w:pPr>
        <w:pStyle w:val="ListBullet"/>
      </w:pPr>
      <w:r>
        <w:t>GTIN, Charge/MHD und eine Boxtyp-Zuordnung pflegen,</w:t>
      </w:r>
    </w:p>
    <w:p>
      <w:pPr>
        <w:pStyle w:val="ListBullet"/>
      </w:pPr>
      <w:r>
        <w:t>einen Artikel ändern, duplizieren und sperren,</w:t>
      </w:r>
    </w:p>
    <w:p>
      <w:pPr>
        <w:pStyle w:val="ListBullet"/>
      </w:pPr>
      <w:r>
        <w:t>ein Artikeletikett drucken,</w:t>
      </w:r>
    </w:p>
    <w:p>
      <w:pPr>
        <w:pStyle w:val="ListBullet"/>
      </w:pPr>
      <w:r>
        <w:t>einen Import durchführen und Fehler in DI002 beheben.</w:t>
      </w:r>
    </w:p>
    <w:p>
      <w:pPr>
        <w:pStyle w:val="Heading2"/>
      </w:pPr>
      <w:r>
        <w:t>12.2 Übungen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9"/>
        <w:gridCol w:w="4362"/>
        <w:gridCol w:w="4362"/>
      </w:tblGrid>
      <w:tr>
        <w:trPr>
          <w:tblHeader w:val="true"/>
        </w:trPr>
        <w:tc>
          <w:tcPr>
            <w:tcW w:type="dxa" w:w="800"/>
            <w:shd w:val="clear" w:color="auto" w:fill="FEEE19"/>
          </w:tcPr>
          <w:p>
            <w:pPr>
              <w:spacing w:after="0"/>
            </w:pPr>
            <w:r>
              <w:rPr>
                <w:b/>
                <w:sz w:val="17"/>
              </w:rPr>
              <w:t>Nr.</w:t>
            </w:r>
          </w:p>
        </w:tc>
        <w:tc>
          <w:tcPr>
            <w:tcW w:type="dxa" w:w="4362"/>
            <w:shd w:val="clear" w:color="auto" w:fill="FEEE19"/>
          </w:tcPr>
          <w:p>
            <w:pPr>
              <w:spacing w:after="0"/>
            </w:pPr>
            <w:r>
              <w:rPr>
                <w:b/>
                <w:sz w:val="17"/>
              </w:rPr>
              <w:t>Aufgabe</w:t>
            </w:r>
          </w:p>
        </w:tc>
        <w:tc>
          <w:tcPr>
            <w:tcW w:type="dxa" w:w="4362"/>
            <w:shd w:val="clear" w:color="auto" w:fill="FEEE19"/>
          </w:tcPr>
          <w:p>
            <w:pPr>
              <w:spacing w:after="0"/>
            </w:pPr>
            <w:r>
              <w:rPr>
                <w:b/>
                <w:sz w:val="17"/>
              </w:rPr>
              <w:t>Erwartetes Ergebnis</w:t>
            </w:r>
          </w:p>
        </w:tc>
      </w:tr>
      <w:tr>
        <w:tc>
          <w:tcPr>
            <w:tcW w:type="dxa" w:w="800"/>
          </w:tcPr>
          <w:p>
            <w:pPr>
              <w:spacing w:after="0" w:line="252" w:lineRule="auto"/>
            </w:pPr>
            <w:r>
              <w:rPr>
                <w:sz w:val="17"/>
              </w:rPr>
              <w:t>1</w:t>
            </w:r>
          </w:p>
        </w:tc>
        <w:tc>
          <w:tcPr>
            <w:tcW w:type="dxa" w:w="4362"/>
          </w:tcPr>
          <w:p>
            <w:pPr>
              <w:spacing w:after="0" w:line="252" w:lineRule="auto"/>
            </w:pPr>
            <w:r>
              <w:rPr>
                <w:sz w:val="17"/>
              </w:rPr>
              <w:t xml:space="preserve">Prüfen Sie in </w:t>
            </w:r>
            <w:r>
              <w:rPr>
                <w:b/>
                <w:sz w:val="17"/>
              </w:rPr>
              <w:t>MD017</w:t>
            </w:r>
            <w:r>
              <w:rPr>
                <w:sz w:val="17"/>
              </w:rPr>
              <w:t>, welche Mengeneinheiten und Artikeltypen für Ihren Klienten existieren</w:t>
            </w:r>
          </w:p>
        </w:tc>
        <w:tc>
          <w:tcPr>
            <w:tcW w:type="dxa" w:w="4362"/>
          </w:tcPr>
          <w:p>
            <w:pPr>
              <w:spacing w:after="0" w:line="252" w:lineRule="auto"/>
            </w:pPr>
            <w:r>
              <w:rPr>
                <w:sz w:val="17"/>
              </w:rPr>
              <w:t>Liste der Kürzel, z. B. STK, KRT, Handelsware</w:t>
            </w:r>
          </w:p>
        </w:tc>
      </w:tr>
      <w:tr>
        <w:tc>
          <w:tcPr>
            <w:tcW w:type="dxa" w:w="800"/>
          </w:tcPr>
          <w:p>
            <w:pPr>
              <w:spacing w:after="0" w:line="252" w:lineRule="auto"/>
            </w:pPr>
            <w:r>
              <w:rPr>
                <w:sz w:val="17"/>
              </w:rPr>
              <w:t>2</w:t>
            </w:r>
          </w:p>
        </w:tc>
        <w:tc>
          <w:tcPr>
            <w:tcW w:type="dxa" w:w="4362"/>
          </w:tcPr>
          <w:p>
            <w:pPr>
              <w:spacing w:after="0" w:line="252" w:lineRule="auto"/>
            </w:pPr>
            <w:r>
              <w:rPr>
                <w:sz w:val="17"/>
              </w:rPr>
              <w:t xml:space="preserve">Legen Sie in </w:t>
            </w:r>
            <w:r>
              <w:rPr>
                <w:b/>
                <w:sz w:val="17"/>
              </w:rPr>
              <w:t>MD002</w:t>
            </w:r>
            <w:r>
              <w:rPr>
                <w:sz w:val="17"/>
              </w:rPr>
              <w:t xml:space="preserve"> den Artikel </w:t>
            </w:r>
            <w:r>
              <w:rPr>
                <w:rFonts w:ascii="Consolas" w:hAnsi="Consolas" w:cs="Consolas" w:eastAsia="Consolas"/>
                <w:sz w:val="15"/>
              </w:rPr>
              <w:t>SCH-001</w:t>
            </w:r>
            <w:r>
              <w:rPr>
                <w:sz w:val="17"/>
              </w:rPr>
              <w:t xml:space="preserve"> mit Basiseinheit Stück und Karton = 20 Stück an</w:t>
            </w:r>
          </w:p>
        </w:tc>
        <w:tc>
          <w:tcPr>
            <w:tcW w:type="dxa" w:w="4362"/>
          </w:tcPr>
          <w:p>
            <w:pPr>
              <w:spacing w:after="0" w:line="252" w:lineRule="auto"/>
            </w:pPr>
            <w:r>
              <w:rPr>
                <w:sz w:val="17"/>
              </w:rPr>
              <w:t>Artikel mit Verpackungsversion und zwei Mengeneinheiten</w:t>
            </w:r>
          </w:p>
        </w:tc>
      </w:tr>
      <w:tr>
        <w:tc>
          <w:tcPr>
            <w:tcW w:type="dxa" w:w="800"/>
          </w:tcPr>
          <w:p>
            <w:pPr>
              <w:spacing w:after="0" w:line="252" w:lineRule="auto"/>
            </w:pPr>
            <w:r>
              <w:rPr>
                <w:sz w:val="17"/>
              </w:rPr>
              <w:t>3</w:t>
            </w:r>
          </w:p>
        </w:tc>
        <w:tc>
          <w:tcPr>
            <w:tcW w:type="dxa" w:w="4362"/>
          </w:tcPr>
          <w:p>
            <w:pPr>
              <w:spacing w:after="0" w:line="252" w:lineRule="auto"/>
            </w:pPr>
            <w:r>
              <w:rPr>
                <w:sz w:val="17"/>
              </w:rPr>
              <w:t xml:space="preserve">Ergänzen Sie eine GTIN für den Karton und setzen Sie </w:t>
            </w:r>
            <w:r>
              <w:rPr>
                <w:b/>
                <w:sz w:val="17"/>
              </w:rPr>
              <w:t>Charge</w:t>
            </w:r>
            <w:r>
              <w:rPr>
                <w:sz w:val="17"/>
              </w:rPr>
              <w:t xml:space="preserve"> auf Obligatorisch</w:t>
            </w:r>
          </w:p>
        </w:tc>
        <w:tc>
          <w:tcPr>
            <w:tcW w:type="dxa" w:w="4362"/>
          </w:tcPr>
          <w:p>
            <w:pPr>
              <w:spacing w:after="0" w:line="252" w:lineRule="auto"/>
            </w:pPr>
            <w:r>
              <w:rPr>
                <w:sz w:val="17"/>
              </w:rPr>
              <w:t>Alias mit Mengeneinheit Karton; Charge wird beim Einlagern abgefragt</w:t>
            </w:r>
          </w:p>
        </w:tc>
      </w:tr>
      <w:tr>
        <w:tc>
          <w:tcPr>
            <w:tcW w:type="dxa" w:w="800"/>
          </w:tcPr>
          <w:p>
            <w:pPr>
              <w:spacing w:after="0" w:line="252" w:lineRule="auto"/>
            </w:pPr>
            <w:r>
              <w:rPr>
                <w:sz w:val="17"/>
              </w:rPr>
              <w:t>4</w:t>
            </w:r>
          </w:p>
        </w:tc>
        <w:tc>
          <w:tcPr>
            <w:tcW w:type="dxa" w:w="4362"/>
          </w:tcPr>
          <w:p>
            <w:pPr>
              <w:spacing w:after="0" w:line="252" w:lineRule="auto"/>
            </w:pPr>
            <w:r>
              <w:rPr>
                <w:sz w:val="17"/>
              </w:rPr>
              <w:t xml:space="preserve">Legen Sie am Touch-Client über </w:t>
            </w:r>
            <w:r>
              <w:rPr>
                <w:b/>
                <w:sz w:val="17"/>
              </w:rPr>
              <w:t>LM002</w:t>
            </w:r>
            <w:r>
              <w:rPr>
                <w:sz w:val="17"/>
              </w:rPr>
              <w:t xml:space="preserve"> eine Box-Zuordnung an und erzeugen Sie dabei mit </w:t>
            </w:r>
            <w:r>
              <w:rPr>
                <w:b/>
                <w:sz w:val="17"/>
              </w:rPr>
              <w:t>LM041</w:t>
            </w:r>
            <w:r>
              <w:rPr>
                <w:sz w:val="17"/>
              </w:rPr>
              <w:t xml:space="preserve"> den Artikel </w:t>
            </w:r>
            <w:r>
              <w:rPr>
                <w:rFonts w:ascii="Consolas" w:hAnsi="Consolas" w:cs="Consolas" w:eastAsia="Consolas"/>
                <w:sz w:val="15"/>
              </w:rPr>
              <w:t>SCH-002</w:t>
            </w:r>
          </w:p>
        </w:tc>
        <w:tc>
          <w:tcPr>
            <w:tcW w:type="dxa" w:w="4362"/>
          </w:tcPr>
          <w:p>
            <w:pPr>
              <w:spacing w:after="0" w:line="252" w:lineRule="auto"/>
            </w:pPr>
            <w:r>
              <w:rPr>
                <w:sz w:val="17"/>
              </w:rPr>
              <w:t>Neuer Artikel ist der Box zugeordnet</w:t>
            </w:r>
          </w:p>
        </w:tc>
      </w:tr>
      <w:tr>
        <w:tc>
          <w:tcPr>
            <w:tcW w:type="dxa" w:w="800"/>
          </w:tcPr>
          <w:p>
            <w:pPr>
              <w:spacing w:after="0" w:line="252" w:lineRule="auto"/>
            </w:pPr>
            <w:r>
              <w:rPr>
                <w:sz w:val="17"/>
              </w:rPr>
              <w:t>5</w:t>
            </w:r>
          </w:p>
        </w:tc>
        <w:tc>
          <w:tcPr>
            <w:tcW w:type="dxa" w:w="4362"/>
          </w:tcPr>
          <w:p>
            <w:pPr>
              <w:spacing w:after="0" w:line="252" w:lineRule="auto"/>
            </w:pPr>
            <w:r>
              <w:rPr>
                <w:sz w:val="17"/>
              </w:rPr>
              <w:t xml:space="preserve">Ergänzen Sie </w:t>
            </w:r>
            <w:r>
              <w:rPr>
                <w:rFonts w:ascii="Consolas" w:hAnsi="Consolas" w:cs="Consolas" w:eastAsia="Consolas"/>
                <w:sz w:val="15"/>
              </w:rPr>
              <w:t>SCH-002</w:t>
            </w:r>
            <w:r>
              <w:rPr>
                <w:sz w:val="17"/>
              </w:rPr>
              <w:t xml:space="preserve"> in </w:t>
            </w:r>
            <w:r>
              <w:rPr>
                <w:b/>
                <w:sz w:val="17"/>
              </w:rPr>
              <w:t>MD001</w:t>
            </w:r>
            <w:r>
              <w:rPr>
                <w:sz w:val="17"/>
              </w:rPr>
              <w:t>/</w:t>
            </w:r>
            <w:r>
              <w:rPr>
                <w:b/>
                <w:sz w:val="17"/>
              </w:rPr>
              <w:t>MD002</w:t>
            </w:r>
            <w:r>
              <w:rPr>
                <w:sz w:val="17"/>
              </w:rPr>
              <w:t xml:space="preserve"> um Bezeichnung und Artikeltyp</w:t>
            </w:r>
          </w:p>
        </w:tc>
        <w:tc>
          <w:tcPr>
            <w:tcW w:type="dxa" w:w="4362"/>
          </w:tcPr>
          <w:p>
            <w:pPr>
              <w:spacing w:after="0" w:line="252" w:lineRule="auto"/>
            </w:pPr>
            <w:r>
              <w:rPr>
                <w:sz w:val="17"/>
              </w:rPr>
              <w:t>Artikel vollständig</w:t>
            </w:r>
          </w:p>
        </w:tc>
      </w:tr>
      <w:tr>
        <w:tc>
          <w:tcPr>
            <w:tcW w:type="dxa" w:w="800"/>
          </w:tcPr>
          <w:p>
            <w:pPr>
              <w:spacing w:after="0" w:line="252" w:lineRule="auto"/>
            </w:pPr>
            <w:r>
              <w:rPr>
                <w:sz w:val="17"/>
              </w:rPr>
              <w:t>6</w:t>
            </w:r>
          </w:p>
        </w:tc>
        <w:tc>
          <w:tcPr>
            <w:tcW w:type="dxa" w:w="4362"/>
          </w:tcPr>
          <w:p>
            <w:pPr>
              <w:spacing w:after="0" w:line="252" w:lineRule="auto"/>
            </w:pPr>
            <w:r>
              <w:rPr>
                <w:sz w:val="17"/>
              </w:rPr>
              <w:t xml:space="preserve">Duplizieren Sie </w:t>
            </w:r>
            <w:r>
              <w:rPr>
                <w:rFonts w:ascii="Consolas" w:hAnsi="Consolas" w:cs="Consolas" w:eastAsia="Consolas"/>
                <w:sz w:val="15"/>
              </w:rPr>
              <w:t>SCH-001</w:t>
            </w:r>
            <w:r>
              <w:rPr>
                <w:sz w:val="17"/>
              </w:rPr>
              <w:t xml:space="preserve"> als </w:t>
            </w:r>
            <w:r>
              <w:rPr>
                <w:rFonts w:ascii="Consolas" w:hAnsi="Consolas" w:cs="Consolas" w:eastAsia="Consolas"/>
                <w:sz w:val="15"/>
              </w:rPr>
              <w:t>SCH-003</w:t>
            </w:r>
            <w:r>
              <w:rPr>
                <w:sz w:val="17"/>
              </w:rPr>
              <w:t xml:space="preserve"> und passen Sie die GTIN an</w:t>
            </w:r>
          </w:p>
        </w:tc>
        <w:tc>
          <w:tcPr>
            <w:tcW w:type="dxa" w:w="4362"/>
          </w:tcPr>
          <w:p>
            <w:pPr>
              <w:spacing w:after="0" w:line="252" w:lineRule="auto"/>
            </w:pPr>
            <w:r>
              <w:rPr>
                <w:sz w:val="17"/>
              </w:rPr>
              <w:t>Zweiter Artikel mit eigener GTIN</w:t>
            </w:r>
          </w:p>
        </w:tc>
      </w:tr>
      <w:tr>
        <w:tc>
          <w:tcPr>
            <w:tcW w:type="dxa" w:w="800"/>
          </w:tcPr>
          <w:p>
            <w:pPr>
              <w:spacing w:after="0" w:line="252" w:lineRule="auto"/>
            </w:pPr>
            <w:r>
              <w:rPr>
                <w:sz w:val="17"/>
              </w:rPr>
              <w:t>7</w:t>
            </w:r>
          </w:p>
        </w:tc>
        <w:tc>
          <w:tcPr>
            <w:tcW w:type="dxa" w:w="4362"/>
          </w:tcPr>
          <w:p>
            <w:pPr>
              <w:spacing w:after="0" w:line="252" w:lineRule="auto"/>
            </w:pPr>
            <w:r>
              <w:rPr>
                <w:sz w:val="17"/>
              </w:rPr>
              <w:t xml:space="preserve">Drucken Sie für </w:t>
            </w:r>
            <w:r>
              <w:rPr>
                <w:rFonts w:ascii="Consolas" w:hAnsi="Consolas" w:cs="Consolas" w:eastAsia="Consolas"/>
                <w:sz w:val="15"/>
              </w:rPr>
              <w:t>SCH-001</w:t>
            </w:r>
            <w:r>
              <w:rPr>
                <w:sz w:val="17"/>
              </w:rPr>
              <w:t xml:space="preserve"> zwei Artikeletiketten (Desktop und, falls vorhanden, Touch-Client)</w:t>
            </w:r>
          </w:p>
        </w:tc>
        <w:tc>
          <w:tcPr>
            <w:tcW w:type="dxa" w:w="4362"/>
          </w:tcPr>
          <w:p>
            <w:pPr>
              <w:spacing w:after="0" w:line="252" w:lineRule="auto"/>
            </w:pPr>
            <w:r>
              <w:rPr>
                <w:sz w:val="17"/>
              </w:rPr>
              <w:t>Etiketten am Drucker</w:t>
            </w:r>
          </w:p>
        </w:tc>
      </w:tr>
      <w:tr>
        <w:tc>
          <w:tcPr>
            <w:tcW w:type="dxa" w:w="800"/>
          </w:tcPr>
          <w:p>
            <w:pPr>
              <w:spacing w:after="0" w:line="252" w:lineRule="auto"/>
            </w:pPr>
            <w:r>
              <w:rPr>
                <w:sz w:val="17"/>
              </w:rPr>
              <w:t>8</w:t>
            </w:r>
          </w:p>
        </w:tc>
        <w:tc>
          <w:tcPr>
            <w:tcW w:type="dxa" w:w="4362"/>
          </w:tcPr>
          <w:p>
            <w:pPr>
              <w:spacing w:after="0" w:line="252" w:lineRule="auto"/>
            </w:pPr>
            <w:r>
              <w:rPr>
                <w:sz w:val="17"/>
              </w:rPr>
              <w:t xml:space="preserve">Setzen Sie </w:t>
            </w:r>
            <w:r>
              <w:rPr>
                <w:rFonts w:ascii="Consolas" w:hAnsi="Consolas" w:cs="Consolas" w:eastAsia="Consolas"/>
                <w:sz w:val="15"/>
              </w:rPr>
              <w:t>SCH-003</w:t>
            </w:r>
            <w:r>
              <w:rPr>
                <w:sz w:val="17"/>
              </w:rPr>
              <w:t xml:space="preserve"> auf </w:t>
            </w:r>
            <w:r>
              <w:rPr>
                <w:b/>
                <w:sz w:val="17"/>
              </w:rPr>
              <w:t>Gesperrt</w:t>
            </w:r>
            <w:r>
              <w:rPr>
                <w:sz w:val="17"/>
              </w:rPr>
              <w:t xml:space="preserve"> und versuchen Sie, ihn einzulagern</w:t>
            </w:r>
          </w:p>
        </w:tc>
        <w:tc>
          <w:tcPr>
            <w:tcW w:type="dxa" w:w="4362"/>
          </w:tcPr>
          <w:p>
            <w:pPr>
              <w:spacing w:after="0" w:line="252" w:lineRule="auto"/>
            </w:pPr>
            <w:r>
              <w:rPr>
                <w:sz w:val="17"/>
              </w:rPr>
              <w:t>Artikel ist in Prozessdialogen nicht verwendbar</w:t>
            </w:r>
          </w:p>
        </w:tc>
      </w:tr>
      <w:tr>
        <w:tc>
          <w:tcPr>
            <w:tcW w:type="dxa" w:w="800"/>
          </w:tcPr>
          <w:p>
            <w:pPr>
              <w:spacing w:after="0" w:line="252" w:lineRule="auto"/>
            </w:pPr>
            <w:r>
              <w:rPr>
                <w:sz w:val="17"/>
              </w:rPr>
              <w:t>9 [2.8]</w:t>
            </w:r>
          </w:p>
        </w:tc>
        <w:tc>
          <w:tcPr>
            <w:tcW w:type="dxa" w:w="4362"/>
          </w:tcPr>
          <w:p>
            <w:pPr>
              <w:spacing w:after="0" w:line="252" w:lineRule="auto"/>
            </w:pPr>
            <w:r>
              <w:rPr>
                <w:sz w:val="17"/>
              </w:rPr>
              <w:t>Importieren Sie eine Excel-Datei mit 3 Artikeln, davon einer mit unbekannter Einheit, mit „Ungültige Zeilen überspringen“</w:t>
            </w:r>
          </w:p>
        </w:tc>
        <w:tc>
          <w:tcPr>
            <w:tcW w:type="dxa" w:w="4362"/>
          </w:tcPr>
          <w:p>
            <w:pPr>
              <w:spacing w:after="0" w:line="252" w:lineRule="auto"/>
            </w:pPr>
            <w:r>
              <w:rPr>
                <w:sz w:val="17"/>
              </w:rPr>
              <w:t>2 Artikel angelegt; 1 Fehler in DI002</w:t>
            </w:r>
          </w:p>
        </w:tc>
      </w:tr>
      <w:tr>
        <w:tc>
          <w:tcPr>
            <w:tcW w:type="dxa" w:w="800"/>
          </w:tcPr>
          <w:p>
            <w:pPr>
              <w:spacing w:after="0" w:line="252" w:lineRule="auto"/>
            </w:pPr>
            <w:r>
              <w:rPr>
                <w:sz w:val="17"/>
              </w:rPr>
              <w:t>10</w:t>
            </w:r>
          </w:p>
        </w:tc>
        <w:tc>
          <w:tcPr>
            <w:tcW w:type="dxa" w:w="4362"/>
          </w:tcPr>
          <w:p>
            <w:pPr>
              <w:spacing w:after="0" w:line="252" w:lineRule="auto"/>
            </w:pPr>
            <w:r>
              <w:rPr>
                <w:sz w:val="17"/>
              </w:rPr>
              <w:t xml:space="preserve">Korrigieren Sie die fehlerhafte Nachricht aus Übung 9 in </w:t>
            </w:r>
            <w:r>
              <w:rPr>
                <w:b/>
                <w:sz w:val="17"/>
              </w:rPr>
              <w:t>DI005</w:t>
            </w:r>
            <w:r>
              <w:rPr>
                <w:sz w:val="17"/>
              </w:rPr>
              <w:t xml:space="preserve"> und wiederholen Sie die Verarbeitung (oder legen Sie die Einheit in MD017 an und wiederholen Sie)</w:t>
            </w:r>
          </w:p>
        </w:tc>
        <w:tc>
          <w:tcPr>
            <w:tcW w:type="dxa" w:w="4362"/>
          </w:tcPr>
          <w:p>
            <w:pPr>
              <w:spacing w:after="0" w:line="252" w:lineRule="auto"/>
            </w:pPr>
            <w:r>
              <w:rPr>
                <w:sz w:val="17"/>
              </w:rPr>
              <w:t>Dritter Artikel angelegt, Nachricht fertiggestellt</w:t>
            </w:r>
          </w:p>
        </w:tc>
      </w:tr>
    </w:tbl>
    <w:p>
      <w:pPr>
        <w:pStyle w:val="BeschriftungSSI"/>
      </w:pPr>
      <w:r>
        <w:t>Tab. 18: Übungen</w:t>
      </w:r>
    </w:p>
    <w:p>
      <w:pPr>
        <w:pStyle w:val="Heading2"/>
      </w:pPr>
      <w:r>
        <w:t>12.3 Checkliste „Neuer Artikel“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5"/>
        <w:gridCol w:w="8049"/>
      </w:tblGrid>
      <w:tr>
        <w:trPr>
          <w:tblHeader w:val="true"/>
        </w:trPr>
        <w:tc>
          <w:tcPr>
            <w:tcW w:type="dxa" w:w="1476"/>
            <w:shd w:val="clear" w:color="auto" w:fill="FEEE19"/>
          </w:tcPr>
          <w:p>
            <w:pPr>
              <w:spacing w:after="0"/>
            </w:pPr>
            <w:r>
              <w:rPr>
                <w:b/>
                <w:sz w:val="17"/>
              </w:rPr>
              <w:t>✓</w:t>
            </w:r>
          </w:p>
        </w:tc>
        <w:tc>
          <w:tcPr>
            <w:tcW w:type="dxa" w:w="8049"/>
            <w:shd w:val="clear" w:color="auto" w:fill="FEEE19"/>
          </w:tcPr>
          <w:p>
            <w:pPr>
              <w:spacing w:after="0"/>
            </w:pPr>
            <w:r>
              <w:rPr>
                <w:b/>
                <w:sz w:val="17"/>
              </w:rPr>
              <w:t>Prüfpunkt</w:t>
            </w:r>
          </w:p>
        </w:tc>
      </w:tr>
      <w:tr>
        <w:tc>
          <w:tcPr>
            <w:tcW w:type="dxa" w:w="1476"/>
          </w:tcPr>
          <w:p>
            <w:pPr>
              <w:spacing w:after="0" w:line="252" w:lineRule="auto"/>
            </w:pPr>
            <w:r>
              <w:rPr>
                <w:sz w:val="17"/>
              </w:rPr>
              <w:t>☐</w:t>
            </w:r>
          </w:p>
        </w:tc>
        <w:tc>
          <w:tcPr>
            <w:tcW w:type="dxa" w:w="8049"/>
          </w:tcPr>
          <w:p>
            <w:pPr>
              <w:spacing w:after="0" w:line="252" w:lineRule="auto"/>
            </w:pPr>
            <w:r>
              <w:rPr>
                <w:sz w:val="17"/>
              </w:rPr>
              <w:t>Klient, Artikelnummer und Variante nach Firmenregel vergeben</w:t>
            </w:r>
          </w:p>
        </w:tc>
      </w:tr>
      <w:tr>
        <w:tc>
          <w:tcPr>
            <w:tcW w:type="dxa" w:w="1476"/>
          </w:tcPr>
          <w:p>
            <w:pPr>
              <w:spacing w:after="0" w:line="252" w:lineRule="auto"/>
            </w:pPr>
            <w:r>
              <w:rPr>
                <w:sz w:val="17"/>
              </w:rPr>
              <w:t>☐</w:t>
            </w:r>
          </w:p>
        </w:tc>
        <w:tc>
          <w:tcPr>
            <w:tcW w:type="dxa" w:w="8049"/>
          </w:tcPr>
          <w:p>
            <w:pPr>
              <w:spacing w:after="0" w:line="252" w:lineRule="auto"/>
            </w:pPr>
            <w:r>
              <w:rPr>
                <w:sz w:val="17"/>
              </w:rPr>
              <w:t>Bezeichnung kurz und eindeutig</w:t>
            </w:r>
          </w:p>
        </w:tc>
      </w:tr>
      <w:tr>
        <w:tc>
          <w:tcPr>
            <w:tcW w:type="dxa" w:w="1476"/>
          </w:tcPr>
          <w:p>
            <w:pPr>
              <w:spacing w:after="0" w:line="252" w:lineRule="auto"/>
            </w:pPr>
            <w:r>
              <w:rPr>
                <w:sz w:val="17"/>
              </w:rPr>
              <w:t>☐</w:t>
            </w:r>
          </w:p>
        </w:tc>
        <w:tc>
          <w:tcPr>
            <w:tcW w:type="dxa" w:w="8049"/>
          </w:tcPr>
          <w:p>
            <w:pPr>
              <w:spacing w:after="0" w:line="252" w:lineRule="auto"/>
            </w:pPr>
            <w:r>
              <w:rPr>
                <w:sz w:val="17"/>
              </w:rPr>
              <w:t>Basismengeneinheit gewählt (Ganzzahl bei Stückartikeln)</w:t>
            </w:r>
          </w:p>
        </w:tc>
      </w:tr>
      <w:tr>
        <w:tc>
          <w:tcPr>
            <w:tcW w:type="dxa" w:w="1476"/>
          </w:tcPr>
          <w:p>
            <w:pPr>
              <w:spacing w:after="0" w:line="252" w:lineRule="auto"/>
            </w:pPr>
            <w:r>
              <w:rPr>
                <w:sz w:val="17"/>
              </w:rPr>
              <w:t>☐</w:t>
            </w:r>
          </w:p>
        </w:tc>
        <w:tc>
          <w:tcPr>
            <w:tcW w:type="dxa" w:w="8049"/>
          </w:tcPr>
          <w:p>
            <w:pPr>
              <w:spacing w:after="0" w:line="252" w:lineRule="auto"/>
            </w:pPr>
            <w:r>
              <w:rPr>
                <w:sz w:val="17"/>
              </w:rPr>
              <w:t>Artikeltyp und Hauptsystempartner gesetzt</w:t>
            </w:r>
          </w:p>
        </w:tc>
      </w:tr>
      <w:tr>
        <w:tc>
          <w:tcPr>
            <w:tcW w:type="dxa" w:w="1476"/>
          </w:tcPr>
          <w:p>
            <w:pPr>
              <w:spacing w:after="0" w:line="252" w:lineRule="auto"/>
            </w:pPr>
            <w:r>
              <w:rPr>
                <w:sz w:val="17"/>
              </w:rPr>
              <w:t>☐</w:t>
            </w:r>
          </w:p>
        </w:tc>
        <w:tc>
          <w:tcPr>
            <w:tcW w:type="dxa" w:w="8049"/>
          </w:tcPr>
          <w:p>
            <w:pPr>
              <w:spacing w:after="0" w:line="252" w:lineRule="auto"/>
            </w:pPr>
            <w:r>
              <w:rPr>
                <w:sz w:val="17"/>
              </w:rPr>
              <w:t>Verpackungsversion als Standard, Lagermengeneinheit gesetzt</w:t>
            </w:r>
          </w:p>
        </w:tc>
      </w:tr>
      <w:tr>
        <w:tc>
          <w:tcPr>
            <w:tcW w:type="dxa" w:w="1476"/>
          </w:tcPr>
          <w:p>
            <w:pPr>
              <w:spacing w:after="0" w:line="252" w:lineRule="auto"/>
            </w:pPr>
            <w:r>
              <w:rPr>
                <w:sz w:val="17"/>
              </w:rPr>
              <w:t>☐</w:t>
            </w:r>
          </w:p>
        </w:tc>
        <w:tc>
          <w:tcPr>
            <w:tcW w:type="dxa" w:w="8049"/>
          </w:tcPr>
          <w:p>
            <w:pPr>
              <w:spacing w:after="0" w:line="252" w:lineRule="auto"/>
            </w:pPr>
            <w:r>
              <w:rPr>
                <w:sz w:val="17"/>
              </w:rPr>
              <w:t>Zähler und Referenzeinheiten aller Verpackungsstufen korrekt</w:t>
            </w:r>
          </w:p>
        </w:tc>
      </w:tr>
      <w:tr>
        <w:tc>
          <w:tcPr>
            <w:tcW w:type="dxa" w:w="1476"/>
          </w:tcPr>
          <w:p>
            <w:pPr>
              <w:spacing w:after="0" w:line="252" w:lineRule="auto"/>
            </w:pPr>
            <w:r>
              <w:rPr>
                <w:sz w:val="17"/>
              </w:rPr>
              <w:t>☐</w:t>
            </w:r>
          </w:p>
        </w:tc>
        <w:tc>
          <w:tcPr>
            <w:tcW w:type="dxa" w:w="8049"/>
          </w:tcPr>
          <w:p>
            <w:pPr>
              <w:spacing w:after="0" w:line="252" w:lineRule="auto"/>
            </w:pPr>
            <w:r>
              <w:rPr>
                <w:sz w:val="17"/>
              </w:rPr>
              <w:t>Abmessungen und Bruttogewicht gepflegt</w:t>
            </w:r>
          </w:p>
        </w:tc>
      </w:tr>
      <w:tr>
        <w:tc>
          <w:tcPr>
            <w:tcW w:type="dxa" w:w="1476"/>
          </w:tcPr>
          <w:p>
            <w:pPr>
              <w:spacing w:after="0" w:line="252" w:lineRule="auto"/>
            </w:pPr>
            <w:r>
              <w:rPr>
                <w:sz w:val="17"/>
              </w:rPr>
              <w:t>☐</w:t>
            </w:r>
          </w:p>
        </w:tc>
        <w:tc>
          <w:tcPr>
            <w:tcW w:type="dxa" w:w="8049"/>
          </w:tcPr>
          <w:p>
            <w:pPr>
              <w:spacing w:after="0" w:line="252" w:lineRule="auto"/>
            </w:pPr>
            <w:r>
              <w:rPr>
                <w:sz w:val="17"/>
              </w:rPr>
              <w:t>GTIN je Verpackungsstufe mit Mengeneinheit</w:t>
            </w:r>
          </w:p>
        </w:tc>
      </w:tr>
      <w:tr>
        <w:tc>
          <w:tcPr>
            <w:tcW w:type="dxa" w:w="1476"/>
          </w:tcPr>
          <w:p>
            <w:pPr>
              <w:spacing w:after="0" w:line="252" w:lineRule="auto"/>
            </w:pPr>
            <w:r>
              <w:rPr>
                <w:sz w:val="17"/>
              </w:rPr>
              <w:t>☐</w:t>
            </w:r>
          </w:p>
        </w:tc>
        <w:tc>
          <w:tcPr>
            <w:tcW w:type="dxa" w:w="8049"/>
          </w:tcPr>
          <w:p>
            <w:pPr>
              <w:spacing w:after="0" w:line="252" w:lineRule="auto"/>
            </w:pPr>
            <w:r>
              <w:rPr>
                <w:sz w:val="17"/>
              </w:rPr>
              <w:t>Charge, MHD, Produktionsdatum, Seriennummer passend eingestellt</w:t>
            </w:r>
          </w:p>
        </w:tc>
      </w:tr>
      <w:tr>
        <w:tc>
          <w:tcPr>
            <w:tcW w:type="dxa" w:w="1476"/>
          </w:tcPr>
          <w:p>
            <w:pPr>
              <w:spacing w:after="0" w:line="252" w:lineRule="auto"/>
            </w:pPr>
            <w:r>
              <w:rPr>
                <w:sz w:val="17"/>
              </w:rPr>
              <w:t>☐</w:t>
            </w:r>
          </w:p>
        </w:tc>
        <w:tc>
          <w:tcPr>
            <w:tcW w:type="dxa" w:w="8049"/>
          </w:tcPr>
          <w:p>
            <w:pPr>
              <w:spacing w:after="0" w:line="252" w:lineRule="auto"/>
            </w:pPr>
            <w:r>
              <w:rPr>
                <w:sz w:val="17"/>
              </w:rPr>
              <w:t>Boxtyp-Zuordnung bzw. Kubatur vorhanden</w:t>
            </w:r>
          </w:p>
        </w:tc>
      </w:tr>
      <w:tr>
        <w:tc>
          <w:tcPr>
            <w:tcW w:type="dxa" w:w="1476"/>
          </w:tcPr>
          <w:p>
            <w:pPr>
              <w:spacing w:after="0" w:line="252" w:lineRule="auto"/>
            </w:pPr>
            <w:r>
              <w:rPr>
                <w:sz w:val="17"/>
              </w:rPr>
              <w:t>☐</w:t>
            </w:r>
          </w:p>
        </w:tc>
        <w:tc>
          <w:tcPr>
            <w:tcW w:type="dxa" w:w="8049"/>
          </w:tcPr>
          <w:p>
            <w:pPr>
              <w:spacing w:after="0" w:line="252" w:lineRule="auto"/>
            </w:pPr>
            <w:r>
              <w:rPr>
                <w:sz w:val="17"/>
              </w:rPr>
              <w:t>„WLS Artikel“: Kippen, Großer Artikel, Strategie geprüft</w:t>
            </w:r>
          </w:p>
        </w:tc>
      </w:tr>
      <w:tr>
        <w:tc>
          <w:tcPr>
            <w:tcW w:type="dxa" w:w="1476"/>
          </w:tcPr>
          <w:p>
            <w:pPr>
              <w:spacing w:after="0" w:line="252" w:lineRule="auto"/>
            </w:pPr>
            <w:r>
              <w:rPr>
                <w:sz w:val="17"/>
              </w:rPr>
              <w:t>☐</w:t>
            </w:r>
          </w:p>
        </w:tc>
        <w:tc>
          <w:tcPr>
            <w:tcW w:type="dxa" w:w="8049"/>
          </w:tcPr>
          <w:p>
            <w:pPr>
              <w:spacing w:after="0" w:line="252" w:lineRule="auto"/>
            </w:pPr>
            <w:r>
              <w:rPr>
                <w:sz w:val="17"/>
              </w:rPr>
              <w:t>Stammdatenstatus Normal</w:t>
            </w:r>
          </w:p>
        </w:tc>
      </w:tr>
      <w:tr>
        <w:tc>
          <w:tcPr>
            <w:tcW w:type="dxa" w:w="1476"/>
          </w:tcPr>
          <w:p>
            <w:pPr>
              <w:spacing w:after="0" w:line="252" w:lineRule="auto"/>
            </w:pPr>
            <w:r>
              <w:rPr>
                <w:sz w:val="17"/>
              </w:rPr>
              <w:t>☐</w:t>
            </w:r>
          </w:p>
        </w:tc>
        <w:tc>
          <w:tcPr>
            <w:tcW w:type="dxa" w:w="8049"/>
          </w:tcPr>
          <w:p>
            <w:pPr>
              <w:spacing w:after="0" w:line="252" w:lineRule="auto"/>
            </w:pPr>
            <w:r>
              <w:rPr>
                <w:sz w:val="17"/>
              </w:rPr>
              <w:t>Testetikett gedruckt und Barcode scanbar</w:t>
            </w:r>
          </w:p>
        </w:tc>
      </w:tr>
    </w:tbl>
    <w:p>
      <w:pPr>
        <w:pStyle w:val="BeschriftungSSI"/>
      </w:pPr>
      <w:r>
        <w:t>Tab. 19: Checkliste „Neuer Artikel“</w:t>
      </w:r>
    </w:p>
    <w:p>
      <w:pPr>
        <w:pStyle w:val="Heading2"/>
      </w:pPr>
      <w:r>
        <w:t>12.4 Checkliste „Import“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5"/>
        <w:gridCol w:w="8049"/>
      </w:tblGrid>
      <w:tr>
        <w:trPr>
          <w:tblHeader w:val="true"/>
        </w:trPr>
        <w:tc>
          <w:tcPr>
            <w:tcW w:type="dxa" w:w="1476"/>
            <w:shd w:val="clear" w:color="auto" w:fill="FEEE19"/>
          </w:tcPr>
          <w:p>
            <w:pPr>
              <w:spacing w:after="0"/>
            </w:pPr>
            <w:r>
              <w:rPr>
                <w:b/>
                <w:sz w:val="17"/>
              </w:rPr>
              <w:t>✓</w:t>
            </w:r>
          </w:p>
        </w:tc>
        <w:tc>
          <w:tcPr>
            <w:tcW w:type="dxa" w:w="8049"/>
            <w:shd w:val="clear" w:color="auto" w:fill="FEEE19"/>
          </w:tcPr>
          <w:p>
            <w:pPr>
              <w:spacing w:after="0"/>
            </w:pPr>
            <w:r>
              <w:rPr>
                <w:b/>
                <w:sz w:val="17"/>
              </w:rPr>
              <w:t>Prüfpunkt</w:t>
            </w:r>
          </w:p>
        </w:tc>
      </w:tr>
      <w:tr>
        <w:tc>
          <w:tcPr>
            <w:tcW w:type="dxa" w:w="1476"/>
          </w:tcPr>
          <w:p>
            <w:pPr>
              <w:spacing w:after="0" w:line="252" w:lineRule="auto"/>
            </w:pPr>
            <w:r>
              <w:rPr>
                <w:sz w:val="17"/>
              </w:rPr>
              <w:t>☐</w:t>
            </w:r>
          </w:p>
        </w:tc>
        <w:tc>
          <w:tcPr>
            <w:tcW w:type="dxa" w:w="8049"/>
          </w:tcPr>
          <w:p>
            <w:pPr>
              <w:spacing w:after="0" w:line="252" w:lineRule="auto"/>
            </w:pPr>
            <w:r>
              <w:rPr>
                <w:sz w:val="17"/>
              </w:rPr>
              <w:t>Alle Einheiten, Artikeltypen und Warengruppen in MD017 vorhanden</w:t>
            </w:r>
          </w:p>
        </w:tc>
      </w:tr>
      <w:tr>
        <w:tc>
          <w:tcPr>
            <w:tcW w:type="dxa" w:w="1476"/>
          </w:tcPr>
          <w:p>
            <w:pPr>
              <w:spacing w:after="0" w:line="252" w:lineRule="auto"/>
            </w:pPr>
            <w:r>
              <w:rPr>
                <w:sz w:val="17"/>
              </w:rPr>
              <w:t>☐</w:t>
            </w:r>
          </w:p>
        </w:tc>
        <w:tc>
          <w:tcPr>
            <w:tcW w:type="dxa" w:w="8049"/>
          </w:tcPr>
          <w:p>
            <w:pPr>
              <w:spacing w:after="0" w:line="252" w:lineRule="auto"/>
            </w:pPr>
            <w:r>
              <w:rPr>
                <w:sz w:val="17"/>
              </w:rPr>
              <w:t>Datei bereinigt: ein Artikel je Zeile, Artikelnummer als Text, keine Leerzeilen</w:t>
            </w:r>
          </w:p>
        </w:tc>
      </w:tr>
      <w:tr>
        <w:tc>
          <w:tcPr>
            <w:tcW w:type="dxa" w:w="1476"/>
          </w:tcPr>
          <w:p>
            <w:pPr>
              <w:spacing w:after="0" w:line="252" w:lineRule="auto"/>
            </w:pPr>
            <w:r>
              <w:rPr>
                <w:sz w:val="17"/>
              </w:rPr>
              <w:t>☐</w:t>
            </w:r>
          </w:p>
        </w:tc>
        <w:tc>
          <w:tcPr>
            <w:tcW w:type="dxa" w:w="8049"/>
          </w:tcPr>
          <w:p>
            <w:pPr>
              <w:spacing w:after="0" w:line="252" w:lineRule="auto"/>
            </w:pPr>
            <w:r>
              <w:rPr>
                <w:sz w:val="17"/>
              </w:rPr>
              <w:t>[2.8] Profil in LM161 geprüft (Datensatz, Validierung, Zuordnungsfehler, Spalten, Eindeutig)</w:t>
            </w:r>
          </w:p>
        </w:tc>
      </w:tr>
      <w:tr>
        <w:tc>
          <w:tcPr>
            <w:tcW w:type="dxa" w:w="1476"/>
          </w:tcPr>
          <w:p>
            <w:pPr>
              <w:spacing w:after="0" w:line="252" w:lineRule="auto"/>
            </w:pPr>
            <w:r>
              <w:rPr>
                <w:sz w:val="17"/>
              </w:rPr>
              <w:t>☐</w:t>
            </w:r>
          </w:p>
        </w:tc>
        <w:tc>
          <w:tcPr>
            <w:tcW w:type="dxa" w:w="8049"/>
          </w:tcPr>
          <w:p>
            <w:pPr>
              <w:spacing w:after="0" w:line="252" w:lineRule="auto"/>
            </w:pPr>
            <w:r>
              <w:rPr>
                <w:sz w:val="17"/>
              </w:rPr>
              <w:t>Systempartner und Konverter bekannt</w:t>
            </w:r>
          </w:p>
        </w:tc>
      </w:tr>
      <w:tr>
        <w:tc>
          <w:tcPr>
            <w:tcW w:type="dxa" w:w="1476"/>
          </w:tcPr>
          <w:p>
            <w:pPr>
              <w:spacing w:after="0" w:line="252" w:lineRule="auto"/>
            </w:pPr>
            <w:r>
              <w:rPr>
                <w:sz w:val="17"/>
              </w:rPr>
              <w:t>☐</w:t>
            </w:r>
          </w:p>
        </w:tc>
        <w:tc>
          <w:tcPr>
            <w:tcW w:type="dxa" w:w="8049"/>
          </w:tcPr>
          <w:p>
            <w:pPr>
              <w:spacing w:after="0" w:line="252" w:lineRule="auto"/>
            </w:pPr>
            <w:r>
              <w:rPr>
                <w:sz w:val="17"/>
              </w:rPr>
              <w:t>Testimport mit wenigen Zeilen erfolgreich</w:t>
            </w:r>
          </w:p>
        </w:tc>
      </w:tr>
      <w:tr>
        <w:tc>
          <w:tcPr>
            <w:tcW w:type="dxa" w:w="1476"/>
          </w:tcPr>
          <w:p>
            <w:pPr>
              <w:spacing w:after="0" w:line="252" w:lineRule="auto"/>
            </w:pPr>
            <w:r>
              <w:rPr>
                <w:sz w:val="17"/>
              </w:rPr>
              <w:t>☐</w:t>
            </w:r>
          </w:p>
        </w:tc>
        <w:tc>
          <w:tcPr>
            <w:tcW w:type="dxa" w:w="8049"/>
          </w:tcPr>
          <w:p>
            <w:pPr>
              <w:spacing w:after="0" w:line="252" w:lineRule="auto"/>
            </w:pPr>
            <w:r>
              <w:rPr>
                <w:sz w:val="17"/>
              </w:rPr>
              <w:t>Vollimport durchgeführt; DI002 ohne offene Fehler</w:t>
            </w:r>
          </w:p>
        </w:tc>
      </w:tr>
      <w:tr>
        <w:tc>
          <w:tcPr>
            <w:tcW w:type="dxa" w:w="1476"/>
          </w:tcPr>
          <w:p>
            <w:pPr>
              <w:spacing w:after="0" w:line="252" w:lineRule="auto"/>
            </w:pPr>
            <w:r>
              <w:rPr>
                <w:sz w:val="17"/>
              </w:rPr>
              <w:t>☐</w:t>
            </w:r>
          </w:p>
        </w:tc>
        <w:tc>
          <w:tcPr>
            <w:tcW w:type="dxa" w:w="8049"/>
          </w:tcPr>
          <w:p>
            <w:pPr>
              <w:spacing w:after="0" w:line="252" w:lineRule="auto"/>
            </w:pPr>
            <w:r>
              <w:rPr>
                <w:sz w:val="17"/>
              </w:rPr>
              <w:t>Anzahl der Artikel in MD001 mit der Quelldatei abgeglichen</w:t>
            </w:r>
          </w:p>
        </w:tc>
      </w:tr>
      <w:tr>
        <w:tc>
          <w:tcPr>
            <w:tcW w:type="dxa" w:w="1476"/>
          </w:tcPr>
          <w:p>
            <w:pPr>
              <w:spacing w:after="0" w:line="252" w:lineRule="auto"/>
            </w:pPr>
            <w:r>
              <w:rPr>
                <w:sz w:val="17"/>
              </w:rPr>
              <w:t>☐</w:t>
            </w:r>
          </w:p>
        </w:tc>
        <w:tc>
          <w:tcPr>
            <w:tcW w:type="dxa" w:w="8049"/>
          </w:tcPr>
          <w:p>
            <w:pPr>
              <w:spacing w:after="0" w:line="252" w:lineRule="auto"/>
            </w:pPr>
            <w:r>
              <w:rPr>
                <w:sz w:val="17"/>
              </w:rPr>
              <w:t>Stichprobe von 5 Artikeln in MD002 geprüft</w:t>
            </w:r>
          </w:p>
        </w:tc>
      </w:tr>
    </w:tbl>
    <w:p>
      <w:pPr>
        <w:pStyle w:val="BeschriftungSSI"/>
      </w:pPr>
      <w:r>
        <w:t>Tab. 20: Checkliste „Import“</w:t>
      </w:r>
    </w:p>
    <w:p>
      <w:pPr>
        <w:pStyle w:val="Heading2"/>
      </w:pPr>
      <w:r>
        <w:t>12.5 Kontrollfragen</w:t>
      </w:r>
    </w:p>
    <w:p>
      <w:pPr>
        <w:tabs>
          <w:tab w:pos="425" w:val="left"/>
        </w:tabs>
        <w:spacing w:after="60"/>
        <w:ind w:left="425" w:hanging="425"/>
      </w:pPr>
      <w:r>
        <w:rPr>
          <w:b/>
        </w:rPr>
        <w:t>1.</w:t>
        <w:tab/>
      </w:r>
      <w:r>
        <w:t>Welche drei Felder bestimmen einen Artikel eindeutig? (Klient, Artikelnummer, Variante)</w:t>
      </w:r>
    </w:p>
    <w:p>
      <w:pPr>
        <w:tabs>
          <w:tab w:pos="425" w:val="left"/>
        </w:tabs>
        <w:spacing w:after="60"/>
        <w:ind w:left="425" w:hanging="425"/>
      </w:pPr>
      <w:r>
        <w:rPr>
          <w:b/>
        </w:rPr>
        <w:t>2.</w:t>
        <w:tab/>
      </w:r>
      <w:r>
        <w:t>Welchen Zähler und welche Referenz erhält die Basismengeneinheit? (Zähler 1, keine Referenz)</w:t>
      </w:r>
    </w:p>
    <w:p>
      <w:pPr>
        <w:tabs>
          <w:tab w:pos="425" w:val="left"/>
        </w:tabs>
        <w:spacing w:after="60"/>
        <w:ind w:left="425" w:hanging="425"/>
      </w:pPr>
      <w:r>
        <w:rPr>
          <w:b/>
        </w:rPr>
        <w:t>3.</w:t>
        <w:tab/>
      </w:r>
      <w:r>
        <w:t>Warum braucht eine GTIN eine Mengeneinheit? (Jede Verpackungsstufe hat eine eigene GTIN)</w:t>
      </w:r>
    </w:p>
    <w:p>
      <w:pPr>
        <w:tabs>
          <w:tab w:pos="425" w:val="left"/>
        </w:tabs>
        <w:spacing w:after="60"/>
        <w:ind w:left="425" w:hanging="425"/>
      </w:pPr>
      <w:r>
        <w:rPr>
          <w:b/>
        </w:rPr>
        <w:t>4.</w:t>
        <w:tab/>
      </w:r>
      <w:r>
        <w:t>Wie legen Sie einen Artikel still, ohne ihn zu löschen? (Stammdatenstatus Gesperrt bzw. Auslaufend)</w:t>
      </w:r>
    </w:p>
    <w:p>
      <w:pPr>
        <w:tabs>
          <w:tab w:pos="425" w:val="left"/>
        </w:tabs>
        <w:spacing w:after="60"/>
        <w:ind w:left="425" w:hanging="425"/>
      </w:pPr>
      <w:r>
        <w:rPr>
          <w:b/>
        </w:rPr>
        <w:t>5.</w:t>
        <w:tab/>
      </w:r>
      <w:r>
        <w:t>Wo sehen Sie, ob ein Import erfolgreich war? (DI002, danach MD001)</w:t>
      </w:r>
    </w:p>
    <w:p>
      <w:pPr>
        <w:tabs>
          <w:tab w:pos="425" w:val="left"/>
        </w:tabs>
        <w:spacing w:after="60"/>
        <w:ind w:left="425" w:hanging="425"/>
      </w:pPr>
      <w:r>
        <w:rPr>
          <w:b/>
        </w:rPr>
        <w:t>6.</w:t>
        <w:tab/>
      </w:r>
      <w:r>
        <w:t>Was passiert bei „Import abbrechen“, wenn eine Zeile fehlerhaft ist? (Es wird nichts importiert)</w:t>
      </w:r>
    </w:p>
    <w:p>
      <w:pPr>
        <w:pStyle w:val="Heading1"/>
      </w:pPr>
      <w:r>
        <w:t>13 Dokumentationslücken und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w:t>
            </w:r>
          </w:p>
          <w:p>
            <w:pPr>
              <w:spacing w:after="40"/>
            </w:pPr>
            <w:r>
              <w:rPr>
                <w:sz w:val="19"/>
              </w:rPr>
              <w:t>1. Welcher Hauptsystempartner bei Anlagen ohne Hostsystem einzutragen ist (Kapitel 4.2).</w:t>
            </w:r>
          </w:p>
          <w:p>
            <w:pPr>
              <w:spacing w:after="40"/>
            </w:pPr>
            <w:r>
              <w:rPr>
                <w:sz w:val="19"/>
              </w:rPr>
              <w:t>2. Ob die Variante leer bleiben darf (Kapitel 4.11).</w:t>
            </w:r>
          </w:p>
          <w:p>
            <w:pPr>
              <w:spacing w:after="40"/>
            </w:pPr>
            <w:r>
              <w:rPr>
                <w:sz w:val="19"/>
              </w:rPr>
              <w:t>3. Vorbelegungen der Schnellanlage LM041 (Kapitel 5.2).</w:t>
            </w:r>
          </w:p>
          <w:p>
            <w:pPr>
              <w:spacing w:after="40"/>
            </w:pPr>
            <w:r>
              <w:rPr>
                <w:sz w:val="19"/>
              </w:rPr>
              <w:t xml:space="preserve">4. Ob </w:t>
            </w:r>
            <w:r>
              <w:rPr>
                <w:b/>
                <w:sz w:val="19"/>
              </w:rPr>
              <w:t>Datensatz duplizieren</w:t>
            </w:r>
            <w:r>
              <w:rPr>
                <w:sz w:val="19"/>
              </w:rPr>
              <w:t xml:space="preserve"> in MD002 verfügbar ist (Kapitel 6.2).</w:t>
            </w:r>
          </w:p>
          <w:p>
            <w:pPr>
              <w:spacing w:after="40"/>
            </w:pPr>
            <w:r>
              <w:rPr>
                <w:sz w:val="19"/>
              </w:rPr>
              <w:t>5. Löschen eines ganzen Artikels (Kapitel 6.4).</w:t>
            </w:r>
          </w:p>
          <w:p>
            <w:pPr>
              <w:spacing w:after="40"/>
            </w:pPr>
            <w:r>
              <w:rPr>
                <w:sz w:val="19"/>
              </w:rPr>
              <w:t>6. Widerspruch im Handbuch zum Artikeletikettendruck am Touch-Client (Kapitel 7.2).</w:t>
            </w:r>
          </w:p>
          <w:p>
            <w:pPr>
              <w:spacing w:after="40"/>
            </w:pPr>
            <w:r>
              <w:rPr>
                <w:sz w:val="19"/>
              </w:rPr>
              <w:t>7. [2.8] Excel-Import: Dateitypen, Indexzählung, Überschriftenzeile, überschriebene Felder bei Aktualisierung, leere Zellen, Standardprofil (Kapitel 8.3.4).</w:t>
            </w:r>
          </w:p>
          <w:p>
            <w:pPr>
              <w:spacing w:after="40"/>
            </w:pPr>
            <w:r>
              <w:rPr>
                <w:sz w:val="19"/>
              </w:rPr>
              <w:t>8. Akzeptiertes Dateiformat im initialen Import über DI014 (Kapitel 8.4).</w:t>
            </w:r>
          </w:p>
          <w:p>
            <w:pPr>
              <w:spacing w:after="40"/>
            </w:pPr>
            <w:r>
              <w:rPr>
                <w:sz w:val="19"/>
              </w:rPr>
              <w:t>9. Maßeinheiten und aktualisierbare Felder im Schnittstellenformat (Kapitel 8.5).</w:t>
            </w:r>
          </w:p>
          <w:p>
            <w:pPr>
              <w:spacing w:after="40"/>
            </w:pPr>
            <w:r>
              <w:rPr>
                <w:sz w:val="19"/>
              </w:rPr>
              <w:t xml:space="preserve">10. Bedienung von </w:t>
            </w:r>
            <w:r>
              <w:rPr>
                <w:b/>
                <w:sz w:val="19"/>
              </w:rPr>
              <w:t>SE030 Daten importieren</w:t>
            </w:r>
            <w:r>
              <w:rPr>
                <w:sz w:val="19"/>
              </w:rPr>
              <w:t xml:space="preserve"> (Kapitel 8.7).</w:t>
            </w:r>
          </w:p>
          <w:p>
            <w:pPr>
              <w:spacing w:after="40"/>
            </w:pPr>
            <w:r>
              <w:rPr>
                <w:sz w:val="19"/>
              </w:rPr>
              <w:t>11. Rechte für die Import-Funktionen (Kapitel 3.4).</w:t>
            </w:r>
          </w:p>
        </w:tc>
      </w:tr>
    </w:tbl>
    <w:p>
      <w:pPr>
        <w:spacing w:after="40"/>
      </w:pPr>
    </w:p>
    <w:p>
      <w:pPr>
        <w:pStyle w:val="Heading1"/>
      </w:pPr>
      <w:r>
        <w:t>14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9"/>
        <w:gridCol w:w="4362"/>
        <w:gridCol w:w="4362"/>
      </w:tblGrid>
      <w:tr>
        <w:trPr>
          <w:tblHeader w:val="true"/>
        </w:trPr>
        <w:tc>
          <w:tcPr>
            <w:tcW w:type="dxa" w:w="800"/>
            <w:shd w:val="clear" w:color="auto" w:fill="FEEE19"/>
          </w:tcPr>
          <w:p>
            <w:pPr>
              <w:spacing w:after="0"/>
            </w:pPr>
            <w:r>
              <w:rPr>
                <w:b/>
                <w:sz w:val="17"/>
              </w:rPr>
              <w:t>Kürzel</w:t>
            </w:r>
          </w:p>
        </w:tc>
        <w:tc>
          <w:tcPr>
            <w:tcW w:type="dxa" w:w="4362"/>
            <w:shd w:val="clear" w:color="auto" w:fill="FEEE19"/>
          </w:tcPr>
          <w:p>
            <w:pPr>
              <w:spacing w:after="0"/>
            </w:pPr>
            <w:r>
              <w:rPr>
                <w:b/>
                <w:sz w:val="17"/>
              </w:rPr>
              <w:t>Dokument</w:t>
            </w:r>
          </w:p>
        </w:tc>
        <w:tc>
          <w:tcPr>
            <w:tcW w:type="dxa" w:w="4362"/>
            <w:shd w:val="clear" w:color="auto" w:fill="FEEE19"/>
          </w:tcPr>
          <w:p>
            <w:pPr>
              <w:spacing w:after="0"/>
            </w:pPr>
            <w:r>
              <w:rPr>
                <w:b/>
                <w:sz w:val="17"/>
              </w:rPr>
              <w:t>Verwendete Kapitel</w:t>
            </w:r>
          </w:p>
        </w:tc>
      </w:tr>
      <w:tr>
        <w:tc>
          <w:tcPr>
            <w:tcW w:type="dxa" w:w="800"/>
          </w:tcPr>
          <w:p>
            <w:pPr>
              <w:spacing w:after="0" w:line="252" w:lineRule="auto"/>
            </w:pPr>
            <w:r>
              <w:rPr>
                <w:sz w:val="17"/>
              </w:rPr>
              <w:t>AH 2.7</w:t>
            </w:r>
          </w:p>
        </w:tc>
        <w:tc>
          <w:tcPr>
            <w:tcW w:type="dxa" w:w="4362"/>
          </w:tcPr>
          <w:p>
            <w:pPr>
              <w:spacing w:after="0" w:line="252" w:lineRule="auto"/>
            </w:pPr>
            <w:r>
              <w:rPr>
                <w:sz w:val="17"/>
              </w:rPr>
              <w:t>Administratorhandbuch WAMAS Lift &amp; Store 2.7, V 1.0 (deDE)</w:t>
            </w:r>
          </w:p>
        </w:tc>
        <w:tc>
          <w:tcPr>
            <w:tcW w:type="dxa" w:w="4362"/>
          </w:tcPr>
          <w:p>
            <w:pPr>
              <w:spacing w:after="0" w:line="252" w:lineRule="auto"/>
            </w:pPr>
            <w:r>
              <w:rPr>
                <w:sz w:val="17"/>
              </w:rPr>
              <w:t>3.1.3, 3.1.7–3.1.8, 3.3.4.5, 3.5.2.1, 3.5.5.1, 3.6.1, 3.6.3–3.6.5</w:t>
            </w:r>
          </w:p>
        </w:tc>
      </w:tr>
      <w:tr>
        <w:tc>
          <w:tcPr>
            <w:tcW w:type="dxa" w:w="800"/>
          </w:tcPr>
          <w:p>
            <w:pPr>
              <w:spacing w:after="0" w:line="252" w:lineRule="auto"/>
            </w:pPr>
            <w:r>
              <w:rPr>
                <w:sz w:val="17"/>
              </w:rPr>
              <w:t>BH 2.7</w:t>
            </w:r>
          </w:p>
        </w:tc>
        <w:tc>
          <w:tcPr>
            <w:tcW w:type="dxa" w:w="4362"/>
          </w:tcPr>
          <w:p>
            <w:pPr>
              <w:spacing w:after="0" w:line="252" w:lineRule="auto"/>
            </w:pPr>
            <w:r>
              <w:rPr>
                <w:sz w:val="17"/>
              </w:rPr>
              <w:t>Benutzerhandbuch WAMAS Lift &amp; Store 2.7, V 1.0 (deDE)</w:t>
            </w:r>
          </w:p>
        </w:tc>
        <w:tc>
          <w:tcPr>
            <w:tcW w:type="dxa" w:w="4362"/>
          </w:tcPr>
          <w:p>
            <w:pPr>
              <w:spacing w:after="0" w:line="252" w:lineRule="auto"/>
            </w:pPr>
            <w:r>
              <w:rPr>
                <w:sz w:val="17"/>
              </w:rPr>
              <w:t>3.2.7.5, 3.3.1, 3.4.4–3.4.5, 5.1, 5.6, 6.1.4.1, 6.8.1.1, 6.8.2.1</w:t>
            </w:r>
          </w:p>
        </w:tc>
      </w:tr>
      <w:tr>
        <w:tc>
          <w:tcPr>
            <w:tcW w:type="dxa" w:w="800"/>
          </w:tcPr>
          <w:p>
            <w:pPr>
              <w:spacing w:after="0" w:line="252" w:lineRule="auto"/>
            </w:pPr>
            <w:r>
              <w:rPr>
                <w:sz w:val="17"/>
              </w:rPr>
              <w:t>AM 2.8</w:t>
            </w:r>
          </w:p>
        </w:tc>
        <w:tc>
          <w:tcPr>
            <w:tcW w:type="dxa" w:w="4362"/>
          </w:tcPr>
          <w:p>
            <w:pPr>
              <w:spacing w:after="0" w:line="252" w:lineRule="auto"/>
            </w:pPr>
            <w:r>
              <w:rPr>
                <w:sz w:val="17"/>
              </w:rPr>
              <w:t>Administrator Manual WAMAS Lift &amp; Store 2.8, V 1.0 (enUS)</w:t>
            </w:r>
          </w:p>
        </w:tc>
        <w:tc>
          <w:tcPr>
            <w:tcW w:type="dxa" w:w="4362"/>
          </w:tcPr>
          <w:p>
            <w:pPr>
              <w:spacing w:after="0" w:line="252" w:lineRule="auto"/>
            </w:pPr>
            <w:r>
              <w:rPr>
                <w:sz w:val="17"/>
              </w:rPr>
              <w:t>3.5.5–3.5.7, 3.6.3</w:t>
            </w:r>
          </w:p>
        </w:tc>
      </w:tr>
      <w:tr>
        <w:tc>
          <w:tcPr>
            <w:tcW w:type="dxa" w:w="800"/>
          </w:tcPr>
          <w:p>
            <w:pPr>
              <w:spacing w:after="0" w:line="252" w:lineRule="auto"/>
            </w:pPr>
            <w:r>
              <w:rPr>
                <w:sz w:val="17"/>
              </w:rPr>
              <w:t>UM 2.8</w:t>
            </w:r>
          </w:p>
        </w:tc>
        <w:tc>
          <w:tcPr>
            <w:tcW w:type="dxa" w:w="4362"/>
          </w:tcPr>
          <w:p>
            <w:pPr>
              <w:spacing w:after="0" w:line="252" w:lineRule="auto"/>
            </w:pPr>
            <w:r>
              <w:rPr>
                <w:sz w:val="17"/>
              </w:rPr>
              <w:t>User Manual WAMAS Lift &amp; Store 2.8, V 1.0 (enUS)</w:t>
            </w:r>
          </w:p>
        </w:tc>
        <w:tc>
          <w:tcPr>
            <w:tcW w:type="dxa" w:w="4362"/>
          </w:tcPr>
          <w:p>
            <w:pPr>
              <w:spacing w:after="0" w:line="252" w:lineRule="auto"/>
            </w:pPr>
            <w:r>
              <w:rPr>
                <w:sz w:val="17"/>
              </w:rPr>
              <w:t>2.3.1, 3.4.5, 5.1, 6.8.1.1, 6.8.2.1</w:t>
            </w:r>
          </w:p>
        </w:tc>
      </w:tr>
      <w:tr>
        <w:tc>
          <w:tcPr>
            <w:tcW w:type="dxa" w:w="800"/>
          </w:tcPr>
          <w:p>
            <w:pPr>
              <w:spacing w:after="0" w:line="252" w:lineRule="auto"/>
            </w:pPr>
            <w:r>
              <w:rPr>
                <w:sz w:val="17"/>
              </w:rPr>
              <w:t>IF 2.7</w:t>
            </w:r>
          </w:p>
        </w:tc>
        <w:tc>
          <w:tcPr>
            <w:tcW w:type="dxa" w:w="4362"/>
          </w:tcPr>
          <w:p>
            <w:pPr>
              <w:spacing w:after="0" w:line="252" w:lineRule="auto"/>
            </w:pPr>
            <w:r>
              <w:rPr>
                <w:sz w:val="17"/>
              </w:rPr>
              <w:t>Interface Manual WLS–ERP 2.7, V 1.0 (enUS) und Beispieldateien 2.7.0</w:t>
            </w:r>
          </w:p>
        </w:tc>
        <w:tc>
          <w:tcPr>
            <w:tcW w:type="dxa" w:w="4362"/>
          </w:tcPr>
          <w:p>
            <w:pPr>
              <w:spacing w:after="0" w:line="252" w:lineRule="auto"/>
            </w:pPr>
            <w:r>
              <w:rPr>
                <w:sz w:val="17"/>
              </w:rPr>
              <w:t>2 (Legende), 5.1</w:t>
            </w:r>
          </w:p>
        </w:tc>
      </w:tr>
      <w:tr>
        <w:tc>
          <w:tcPr>
            <w:tcW w:type="dxa" w:w="800"/>
          </w:tcPr>
          <w:p>
            <w:pPr>
              <w:spacing w:after="0" w:line="252" w:lineRule="auto"/>
            </w:pPr>
            <w:r>
              <w:rPr>
                <w:sz w:val="17"/>
              </w:rPr>
              <w:t>ES</w:t>
            </w:r>
          </w:p>
        </w:tc>
        <w:tc>
          <w:tcPr>
            <w:tcW w:type="dxa" w:w="4362"/>
          </w:tcPr>
          <w:p>
            <w:pPr>
              <w:spacing w:after="0" w:line="252" w:lineRule="auto"/>
            </w:pPr>
            <w:r>
              <w:rPr>
                <w:sz w:val="17"/>
              </w:rPr>
              <w:t>SSI SCHÄFER Endkundenschulung WAMAS LogiMat (ältere Version)</w:t>
            </w:r>
          </w:p>
        </w:tc>
        <w:tc>
          <w:tcPr>
            <w:tcW w:type="dxa" w:w="4362"/>
          </w:tcPr>
          <w:p>
            <w:pPr>
              <w:spacing w:after="0" w:line="252" w:lineRule="auto"/>
            </w:pPr>
            <w:r>
              <w:rPr>
                <w:sz w:val="17"/>
              </w:rPr>
              <w:t>Artikel anlegen (LM041, MD002) – nur ergänzend</w:t>
            </w:r>
          </w:p>
        </w:tc>
      </w:tr>
    </w:tbl>
    <w:p>
      <w:pPr>
        <w:pStyle w:val="BeschriftungSSI"/>
      </w:pPr>
      <w:r>
        <w:t>Tab. 21: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17"/>
        <w:gridCol w:w="7807"/>
      </w:tblGrid>
      <w:tr>
        <w:trPr>
          <w:tblHeader w:val="true"/>
        </w:trPr>
        <w:tc>
          <w:tcPr>
            <w:tcW w:type="dxa" w:w="1718"/>
            <w:shd w:val="clear" w:color="auto" w:fill="FEEE19"/>
          </w:tcPr>
          <w:p>
            <w:pPr>
              <w:spacing w:after="0"/>
            </w:pPr>
            <w:r>
              <w:rPr>
                <w:b/>
                <w:sz w:val="17"/>
              </w:rPr>
              <w:t>Abkürzung</w:t>
            </w:r>
          </w:p>
        </w:tc>
        <w:tc>
          <w:tcPr>
            <w:tcW w:type="dxa" w:w="7807"/>
            <w:shd w:val="clear" w:color="auto" w:fill="FEEE19"/>
          </w:tcPr>
          <w:p>
            <w:pPr>
              <w:spacing w:after="0"/>
            </w:pPr>
            <w:r>
              <w:rPr>
                <w:b/>
                <w:sz w:val="17"/>
              </w:rPr>
              <w:t>Bedeutung</w:t>
            </w:r>
          </w:p>
        </w:tc>
      </w:tr>
      <w:tr>
        <w:tc>
          <w:tcPr>
            <w:tcW w:type="dxa" w:w="1718"/>
          </w:tcPr>
          <w:p>
            <w:pPr>
              <w:spacing w:after="0" w:line="252" w:lineRule="auto"/>
            </w:pPr>
            <w:r>
              <w:rPr>
                <w:sz w:val="17"/>
              </w:rPr>
              <w:t>BME / LME</w:t>
            </w:r>
          </w:p>
        </w:tc>
        <w:tc>
          <w:tcPr>
            <w:tcW w:type="dxa" w:w="7807"/>
          </w:tcPr>
          <w:p>
            <w:pPr>
              <w:spacing w:after="0" w:line="252" w:lineRule="auto"/>
            </w:pPr>
            <w:r>
              <w:rPr>
                <w:sz w:val="17"/>
              </w:rPr>
              <w:t>Basismengeneinheit / Lagermengeneinheit</w:t>
            </w:r>
          </w:p>
        </w:tc>
      </w:tr>
      <w:tr>
        <w:tc>
          <w:tcPr>
            <w:tcW w:type="dxa" w:w="1718"/>
          </w:tcPr>
          <w:p>
            <w:pPr>
              <w:spacing w:after="0" w:line="252" w:lineRule="auto"/>
            </w:pPr>
            <w:r>
              <w:rPr>
                <w:sz w:val="17"/>
              </w:rPr>
              <w:t>BIA / ABIA</w:t>
            </w:r>
          </w:p>
        </w:tc>
        <w:tc>
          <w:tcPr>
            <w:tcW w:type="dxa" w:w="7807"/>
          </w:tcPr>
          <w:p>
            <w:pPr>
              <w:spacing w:after="0" w:line="252" w:lineRule="auto"/>
            </w:pPr>
            <w:r>
              <w:rPr>
                <w:sz w:val="17"/>
              </w:rPr>
              <w:t>(Anpassbares) bestandsidentifizierendes Attribut</w:t>
            </w:r>
          </w:p>
        </w:tc>
      </w:tr>
      <w:tr>
        <w:tc>
          <w:tcPr>
            <w:tcW w:type="dxa" w:w="1718"/>
          </w:tcPr>
          <w:p>
            <w:pPr>
              <w:spacing w:after="0" w:line="252" w:lineRule="auto"/>
            </w:pPr>
            <w:r>
              <w:rPr>
                <w:sz w:val="17"/>
              </w:rPr>
              <w:t>EAN / GTIN</w:t>
            </w:r>
          </w:p>
        </w:tc>
        <w:tc>
          <w:tcPr>
            <w:tcW w:type="dxa" w:w="7807"/>
          </w:tcPr>
          <w:p>
            <w:pPr>
              <w:spacing w:after="0" w:line="252" w:lineRule="auto"/>
            </w:pPr>
            <w:r>
              <w:rPr>
                <w:sz w:val="17"/>
              </w:rPr>
              <w:t>European Article Number / Global Trade Item Number</w:t>
            </w:r>
          </w:p>
        </w:tc>
      </w:tr>
      <w:tr>
        <w:tc>
          <w:tcPr>
            <w:tcW w:type="dxa" w:w="1718"/>
          </w:tcPr>
          <w:p>
            <w:pPr>
              <w:spacing w:after="0" w:line="252" w:lineRule="auto"/>
            </w:pPr>
            <w:r>
              <w:rPr>
                <w:sz w:val="17"/>
              </w:rPr>
              <w:t>ERP</w:t>
            </w:r>
          </w:p>
        </w:tc>
        <w:tc>
          <w:tcPr>
            <w:tcW w:type="dxa" w:w="7807"/>
          </w:tcPr>
          <w:p>
            <w:pPr>
              <w:spacing w:after="0" w:line="252" w:lineRule="auto"/>
            </w:pPr>
            <w:r>
              <w:rPr>
                <w:sz w:val="17"/>
              </w:rPr>
              <w:t>Enterprise Resource Planning (Hostsystem)</w:t>
            </w:r>
          </w:p>
        </w:tc>
      </w:tr>
      <w:tr>
        <w:tc>
          <w:tcPr>
            <w:tcW w:type="dxa" w:w="1718"/>
          </w:tcPr>
          <w:p>
            <w:pPr>
              <w:spacing w:after="0" w:line="252" w:lineRule="auto"/>
            </w:pPr>
            <w:r>
              <w:rPr>
                <w:sz w:val="17"/>
              </w:rPr>
              <w:t>LE</w:t>
            </w:r>
          </w:p>
        </w:tc>
        <w:tc>
          <w:tcPr>
            <w:tcW w:type="dxa" w:w="7807"/>
          </w:tcPr>
          <w:p>
            <w:pPr>
              <w:spacing w:after="0" w:line="252" w:lineRule="auto"/>
            </w:pPr>
            <w:r>
              <w:rPr>
                <w:sz w:val="17"/>
              </w:rPr>
              <w:t>Ladeeinheit</w:t>
            </w:r>
          </w:p>
        </w:tc>
      </w:tr>
      <w:tr>
        <w:tc>
          <w:tcPr>
            <w:tcW w:type="dxa" w:w="1718"/>
          </w:tcPr>
          <w:p>
            <w:pPr>
              <w:spacing w:after="0" w:line="252" w:lineRule="auto"/>
            </w:pPr>
            <w:r>
              <w:rPr>
                <w:sz w:val="17"/>
              </w:rPr>
              <w:t>MHD</w:t>
            </w:r>
          </w:p>
        </w:tc>
        <w:tc>
          <w:tcPr>
            <w:tcW w:type="dxa" w:w="7807"/>
          </w:tcPr>
          <w:p>
            <w:pPr>
              <w:spacing w:after="0" w:line="252" w:lineRule="auto"/>
            </w:pPr>
            <w:r>
              <w:rPr>
                <w:sz w:val="17"/>
              </w:rPr>
              <w:t>Mindesthaltbarkeitsdatum</w:t>
            </w:r>
          </w:p>
        </w:tc>
      </w:tr>
      <w:tr>
        <w:tc>
          <w:tcPr>
            <w:tcW w:type="dxa" w:w="1718"/>
          </w:tcPr>
          <w:p>
            <w:pPr>
              <w:spacing w:after="0" w:line="252" w:lineRule="auto"/>
            </w:pPr>
            <w:r>
              <w:rPr>
                <w:sz w:val="17"/>
              </w:rPr>
              <w:t>SPM</w:t>
            </w:r>
          </w:p>
        </w:tc>
        <w:tc>
          <w:tcPr>
            <w:tcW w:type="dxa" w:w="7807"/>
          </w:tcPr>
          <w:p>
            <w:pPr>
              <w:spacing w:after="0" w:line="252" w:lineRule="auto"/>
            </w:pPr>
            <w:r>
              <w:rPr>
                <w:sz w:val="17"/>
              </w:rPr>
              <w:t>Systempartnernachricht</w:t>
            </w:r>
          </w:p>
        </w:tc>
      </w:tr>
    </w:tbl>
    <w:p>
      <w:pPr>
        <w:pStyle w:val="BeschriftungSSI"/>
      </w:pPr>
      <w:r>
        <w:t>Tab. 22: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 / 2.8</w:t>
          </w:r>
        </w:p>
        <w:p>
          <w:pPr>
            <w:spacing w:after="0" w:line="240" w:lineRule="auto"/>
          </w:pPr>
          <w:r>
            <w:rPr>
              <w:sz w:val="13"/>
            </w:rPr>
            <w:t>Kundenanleitung V 1.0</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Kundenanleitung</w:t>
    </w:r>
  </w:p>
  <w:p>
    <w:pPr>
      <w:jc w:val="right"/>
      <w:pBdr>
        <w:bottom w:val="single" w:sz="4" w:space="4" w:color="000000"/>
      </w:pBdr>
    </w:pPr>
    <w:r>
      <w:rPr>
        <w:b/>
        <w:sz w:val="22"/>
      </w:rPr>
      <w:t>Artikel anlegen und importieren (ohne Schnittstelle)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 anlegen und importieren (ohne Schnittstelle)</dc:title>
  <dc:subject>Artikelstamm manuell am Desktop und Touch-Client pflegen, Artikeletiketten drucken und Artikel per Datei- bzw. Excel-Import übernehmen</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