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How-to-Handbuch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WAMAS-LS28 Stammdaten- und Auftragsimport per Telegramm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2.8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Artikel, Kubaturen, Einlager- und Kommissionieraufträge per JSON-Datei über DI002/DI014 importieren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SSI SCHÄFER</w:t>
            </w:r>
          </w:p>
        </w:tc>
      </w:tr>
    </w:tbl>
    <w:p>
      <w:pPr>
        <w:spacing w:before="8617"/>
      </w:pPr>
      <w:r>
        <w:rPr>
          <w:sz w:val="18"/>
        </w:rPr>
        <w:t>V 1.0  ·  17.10.2026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4</w:t>
      </w:r>
    </w:p>
    <w:p>
      <w:pPr>
        <w:pStyle w:val="TOC2"/>
        <w:tabs>
          <w:tab w:pos="9524" w:val="right" w:leader="dot"/>
        </w:tabs>
      </w:pPr>
      <w:r>
        <w:t>1.1 Zweck</w:t>
        <w:tab/>
        <w:t>4</w:t>
      </w:r>
    </w:p>
    <w:p>
      <w:pPr>
        <w:pStyle w:val="TOC2"/>
        <w:tabs>
          <w:tab w:pos="9524" w:val="right" w:leader="dot"/>
        </w:tabs>
      </w:pPr>
      <w:r>
        <w:t>1.2 So lesen Sie das Dokument</w:t>
        <w:tab/>
        <w:t>4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4</w:t>
      </w:r>
    </w:p>
    <w:p>
      <w:pPr>
        <w:pStyle w:val="TOC1"/>
        <w:tabs>
          <w:tab w:pos="9524" w:val="right" w:leader="dot"/>
        </w:tabs>
      </w:pPr>
      <w:r>
        <w:t>2 Was per Telegramm importierbar ist</w:t>
        <w:tab/>
        <w:t>5</w:t>
      </w:r>
    </w:p>
    <w:p>
      <w:pPr>
        <w:pStyle w:val="TOC2"/>
        <w:tabs>
          <w:tab w:pos="9524" w:val="right" w:leader="dot"/>
        </w:tabs>
      </w:pPr>
      <w:r>
        <w:t>2.1 Übersicht</w:t>
        <w:tab/>
        <w:t>5</w:t>
      </w:r>
    </w:p>
    <w:p>
      <w:pPr>
        <w:pStyle w:val="TOC2"/>
        <w:tabs>
          <w:tab w:pos="9524" w:val="right" w:leader="dot"/>
        </w:tabs>
      </w:pPr>
      <w:r>
        <w:t>2.2 Was nicht per Telegramm geht</w:t>
        <w:tab/>
        <w:t>5</w:t>
      </w:r>
    </w:p>
    <w:p>
      <w:pPr>
        <w:pStyle w:val="TOC1"/>
        <w:tabs>
          <w:tab w:pos="9524" w:val="right" w:leader="dot"/>
        </w:tabs>
      </w:pPr>
      <w:r>
        <w:t>3 Dateiaufbau</w:t>
        <w:tab/>
        <w:t>7</w:t>
      </w:r>
    </w:p>
    <w:p>
      <w:pPr>
        <w:pStyle w:val="TOC2"/>
        <w:tabs>
          <w:tab w:pos="9524" w:val="right" w:leader="dot"/>
        </w:tabs>
      </w:pPr>
      <w:r>
        <w:t>3.1 Grundstruktur</w:t>
        <w:tab/>
        <w:t>7</w:t>
      </w:r>
    </w:p>
    <w:p>
      <w:pPr>
        <w:pStyle w:val="TOC2"/>
        <w:tabs>
          <w:tab w:pos="9524" w:val="right" w:leader="dot"/>
        </w:tabs>
      </w:pPr>
      <w:r>
        <w:t>3.2 Kopf `header.FULL`</w:t>
        <w:tab/>
        <w:t>7</w:t>
      </w:r>
    </w:p>
    <w:p>
      <w:pPr>
        <w:pStyle w:val="TOC2"/>
        <w:tabs>
          <w:tab w:pos="9524" w:val="right" w:leader="dot"/>
        </w:tabs>
      </w:pPr>
      <w:r>
        <w:t>3.3 Untersätze</w:t>
        <w:tab/>
        <w:t>7</w:t>
      </w:r>
    </w:p>
    <w:p>
      <w:pPr>
        <w:pStyle w:val="TOC2"/>
        <w:tabs>
          <w:tab w:pos="9524" w:val="right" w:leader="dot"/>
        </w:tabs>
      </w:pPr>
      <w:r>
        <w:t>3.4 Formatregeln</w:t>
        <w:tab/>
        <w:t>7</w:t>
      </w:r>
    </w:p>
    <w:p>
      <w:pPr>
        <w:pStyle w:val="TOC1"/>
        <w:tabs>
          <w:tab w:pos="9524" w:val="right" w:leader="dot"/>
        </w:tabs>
      </w:pPr>
      <w:r>
        <w:t>4 Vorlagen und Platzhalter</w:t>
        <w:tab/>
        <w:t>9</w:t>
      </w:r>
    </w:p>
    <w:p>
      <w:pPr>
        <w:pStyle w:val="TOC2"/>
        <w:tabs>
          <w:tab w:pos="9524" w:val="right" w:leader="dot"/>
        </w:tabs>
      </w:pPr>
      <w:r>
        <w:t>4.1 Vorlagen im Ordner Import_Vorlagen</w:t>
        <w:tab/>
        <w:t>9</w:t>
      </w:r>
    </w:p>
    <w:p>
      <w:pPr>
        <w:pStyle w:val="TOC2"/>
        <w:tabs>
          <w:tab w:pos="9524" w:val="right" w:leader="dot"/>
        </w:tabs>
      </w:pPr>
      <w:r>
        <w:t>4.2 Platzhalter</w:t>
        <w:tab/>
        <w:t>9</w:t>
      </w:r>
    </w:p>
    <w:p>
      <w:pPr>
        <w:pStyle w:val="TOC1"/>
        <w:tabs>
          <w:tab w:pos="9524" w:val="right" w:leader="dot"/>
        </w:tabs>
      </w:pPr>
      <w:r>
        <w:t>5 Import Schritt für Schritt</w:t>
        <w:tab/>
        <w:t>10</w:t>
      </w:r>
    </w:p>
    <w:p>
      <w:pPr>
        <w:pStyle w:val="TOC2"/>
        <w:tabs>
          <w:tab w:pos="9524" w:val="right" w:leader="dot"/>
        </w:tabs>
      </w:pPr>
      <w:r>
        <w:t>5.1 Voraussetzungen</w:t>
        <w:tab/>
        <w:t>10</w:t>
      </w:r>
    </w:p>
    <w:p>
      <w:pPr>
        <w:pStyle w:val="TOC2"/>
        <w:tabs>
          <w:tab w:pos="9524" w:val="right" w:leader="dot"/>
        </w:tabs>
      </w:pPr>
      <w:r>
        <w:t>5.2 Datei in DI002/DI014 importieren</w:t>
        <w:tab/>
        <w:t>10</w:t>
      </w:r>
    </w:p>
    <w:p>
      <w:pPr>
        <w:pStyle w:val="TOC1"/>
        <w:tabs>
          <w:tab w:pos="9524" w:val="right" w:leader="dot"/>
        </w:tabs>
      </w:pPr>
      <w:r>
        <w:t>6 Prüfung nach dem Import</w:t>
        <w:tab/>
        <w:t>12</w:t>
      </w:r>
    </w:p>
    <w:p>
      <w:pPr>
        <w:pStyle w:val="TOC2"/>
        <w:tabs>
          <w:tab w:pos="9524" w:val="right" w:leader="dot"/>
        </w:tabs>
      </w:pPr>
      <w:r>
        <w:t>6.1 Prüfung in DI002</w:t>
        <w:tab/>
        <w:t>12</w:t>
      </w:r>
    </w:p>
    <w:p>
      <w:pPr>
        <w:pStyle w:val="TOC2"/>
        <w:tabs>
          <w:tab w:pos="9524" w:val="right" w:leader="dot"/>
        </w:tabs>
      </w:pPr>
      <w:r>
        <w:t>6.2 Prüfung in der Fachmaske</w:t>
        <w:tab/>
        <w:t>12</w:t>
      </w:r>
    </w:p>
    <w:p>
      <w:pPr>
        <w:pStyle w:val="TOC1"/>
        <w:tabs>
          <w:tab w:pos="9524" w:val="right" w:leader="dot"/>
        </w:tabs>
      </w:pPr>
      <w:r>
        <w:t>7 Typische Fehler</w:t>
        <w:tab/>
        <w:t>14</w:t>
      </w:r>
    </w:p>
    <w:p>
      <w:pPr>
        <w:pStyle w:val="TOC1"/>
        <w:tabs>
          <w:tab w:pos="9524" w:val="right" w:leader="dot"/>
        </w:tabs>
      </w:pPr>
      <w:r>
        <w:t>8 Checkliste vor dem Import</w:t>
        <w:tab/>
        <w:t>15</w:t>
      </w:r>
    </w:p>
    <w:p>
      <w:pPr>
        <w:pStyle w:val="TOC1"/>
        <w:tabs>
          <w:tab w:pos="9524" w:val="right" w:leader="dot"/>
        </w:tabs>
      </w:pPr>
      <w:r>
        <w:t>9 Stolperfallen</w:t>
        <w:tab/>
        <w:t>16</w:t>
      </w:r>
    </w:p>
    <w:p>
      <w:pPr>
        <w:pStyle w:val="TOC1"/>
        <w:tabs>
          <w:tab w:pos="9524" w:val="right" w:leader="dot"/>
        </w:tabs>
      </w:pPr>
      <w:r>
        <w:t>10 Praxisbeispiele</w:t>
        <w:tab/>
        <w:t>17</w:t>
      </w:r>
    </w:p>
    <w:p>
      <w:pPr>
        <w:pStyle w:val="TOC2"/>
        <w:tabs>
          <w:tab w:pos="9524" w:val="right" w:leader="dot"/>
        </w:tabs>
      </w:pPr>
      <w:r>
        <w:t>10.1 Artikelstamm aus einer ERP-Liste</w:t>
        <w:tab/>
        <w:t>17</w:t>
      </w:r>
    </w:p>
    <w:p>
      <w:pPr>
        <w:pStyle w:val="TOC2"/>
        <w:tabs>
          <w:tab w:pos="9524" w:val="right" w:leader="dot"/>
        </w:tabs>
      </w:pPr>
      <w:r>
        <w:t>10.2 Einlager- und Kommissionierauftrag mit Adressen</w:t>
        <w:tab/>
        <w:t>17</w:t>
      </w:r>
    </w:p>
    <w:p>
      <w:pPr>
        <w:pStyle w:val="TOC1"/>
        <w:tabs>
          <w:tab w:pos="9524" w:val="right" w:leader="dot"/>
        </w:tabs>
      </w:pPr>
      <w:r>
        <w:t>11 Offene Punkte</w:t>
        <w:tab/>
        <w:t>18</w:t>
      </w:r>
    </w:p>
    <w:p>
      <w:pPr>
        <w:pStyle w:val="TOC1"/>
        <w:tabs>
          <w:tab w:pos="9524" w:val="right" w:leader="dot"/>
        </w:tabs>
      </w:pPr>
      <w:r>
        <w:t>12 Quellenverzeichnis</w:t>
        <w:tab/>
        <w:t>19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</w:t>
      </w:r>
    </w:p>
    <w:p>
      <w:r>
        <w:t xml:space="preserve">Diese Anleitung beschreibt, wie Stammdaten und Aufträge in </w:t>
      </w:r>
      <w:r>
        <w:rPr>
          <w:b/>
        </w:rPr>
        <w:t>WAMAS Lift &amp; Store 2.8</w:t>
      </w:r>
      <w:r>
        <w:t xml:space="preserve"> als JSON-Telegramm-Datei importiert werden. Der Weg führt über den Dialog </w:t>
      </w:r>
      <w:r>
        <w:rPr>
          <w:b/>
        </w:rPr>
        <w:t>DI002 Übersicht eingehende Systempartnernachrichten</w:t>
      </w:r>
      <w:r>
        <w:t xml:space="preserve"> und den Dialog </w:t>
      </w:r>
      <w:r>
        <w:rPr>
          <w:b/>
        </w:rPr>
        <w:t>DI014 Dateien auswählen</w:t>
      </w:r>
      <w:r>
        <w:t>. Es ist derselbe Weg, den ein Host-System (ERP) nutzt, nur dass die Datei von Hand eingespielt wird.</w:t>
      </w:r>
    </w:p>
    <w:p>
      <w:r>
        <w:t xml:space="preserve">Die Anleitung gilt für Anlagen im Schnittstellenmodus </w:t>
      </w:r>
      <w:r>
        <w:rPr>
          <w:rFonts w:ascii="Consolas" w:hAnsi="Consolas" w:cs="Consolas" w:eastAsia="Consolas"/>
          <w:sz w:val="18"/>
        </w:rPr>
        <w:t>logimat.interfaceMode = ERP_2_7_0</w:t>
      </w:r>
      <w:r>
        <w:t xml:space="preserve">. In diesem Modus gelten die Satzarten der Schnittstelle </w:t>
      </w:r>
      <w:r>
        <w:rPr>
          <w:b/>
        </w:rPr>
        <w:t>2.7</w:t>
      </w:r>
      <w:r>
        <w:t>, auch wenn die Software 2.8 ist. Zur Anleitung gehören kundenneutrale Vorlagen (Templates) und eine Feldreferenz im selben Ordner.</w:t>
      </w:r>
    </w:p>
    <w:p>
      <w:r>
        <w:t>Typische Anwendungen:</w:t>
      </w:r>
    </w:p>
    <w:p>
      <w:pPr>
        <w:pStyle w:val="ListBullet"/>
      </w:pPr>
      <w:r>
        <w:t>Erstbefüllung oder Aktualisierung des Artikelstamms aus einer ERP- oder Excel-Liste.</w:t>
      </w:r>
    </w:p>
    <w:p>
      <w:pPr>
        <w:pStyle w:val="ListBullet"/>
      </w:pPr>
      <w:r>
        <w:t>Zuordnung von Artikeln zu Boxtypen (Kubatur) in grösserer Menge.</w:t>
      </w:r>
    </w:p>
    <w:p>
      <w:pPr>
        <w:pStyle w:val="ListBullet"/>
      </w:pPr>
      <w:r>
        <w:t>Einspielen von Einlager- und Kommissionieraufträgen ohne ERP-Anbindung, z. B. für Inbetriebnahme, Schulung oder Tests.</w:t>
      </w:r>
    </w:p>
    <w:p>
      <w:pPr>
        <w:pStyle w:val="ListBullet"/>
      </w:pPr>
      <w:r>
        <w:t>Grundlage für ein lokales Importwerkzeug beim Kunden, das die Dateien aus den Vorlagen erzeugt.</w:t>
      </w:r>
    </w:p>
    <w:p>
      <w:pPr>
        <w:pStyle w:val="Heading2"/>
      </w:pPr>
      <w:r>
        <w:t>1.2 So lesen Sie das Dokument</w:t>
      </w:r>
    </w:p>
    <w:p>
      <w:pPr>
        <w:pStyle w:val="ListBullet"/>
      </w:pPr>
      <w:r>
        <w:t>Kapitel 2 zeigt, was per Telegramm geht und was nicht. Lesen Sie es vor jedem Projektstart.</w:t>
      </w:r>
    </w:p>
    <w:p>
      <w:pPr>
        <w:pStyle w:val="ListBullet"/>
      </w:pPr>
      <w:r>
        <w:t>Kapitel 3 und 4 erklären Dateiaufbau und Vorlagen.</w:t>
      </w:r>
    </w:p>
    <w:p>
      <w:pPr>
        <w:pStyle w:val="ListBullet"/>
      </w:pPr>
      <w:r>
        <w:t>Kapitel 5 und 6 sind die Schritt-für-Schritt-Anleitung mit Prüfung.</w:t>
      </w:r>
    </w:p>
    <w:p>
      <w:pPr>
        <w:pStyle w:val="ListBullet"/>
      </w:pPr>
      <w:r>
        <w:t>Kapitel 7 und 8 helfen bei Fehlern und vor dem Import.</w:t>
      </w:r>
    </w:p>
    <w:p>
      <w:pPr>
        <w:pStyle w:val="ListBullet"/>
      </w:pPr>
      <w:r>
        <w:t xml:space="preserve">Dialognamen stehen </w:t>
      </w:r>
      <w:r>
        <w:rPr>
          <w:b/>
        </w:rPr>
        <w:t>fett</w:t>
      </w:r>
      <w:r>
        <w:t xml:space="preserve">, Feld- und Satzartnamen in </w:t>
      </w:r>
      <w:r>
        <w:rPr>
          <w:rFonts w:ascii="Consolas" w:hAnsi="Consolas" w:cs="Consolas" w:eastAsia="Consolas"/>
          <w:sz w:val="18"/>
        </w:rPr>
        <w:t>Schreibmaschinenschrift</w:t>
      </w:r>
      <w:r>
        <w:t>.</w:t>
      </w:r>
    </w:p>
    <w:p>
      <w:pPr>
        <w:pStyle w:val="ListBullet"/>
      </w:pPr>
      <w:r>
        <w:t xml:space="preserve">Status </w:t>
      </w:r>
      <w:r>
        <w:rPr>
          <w:b/>
        </w:rPr>
        <w:t>live getestet</w:t>
      </w:r>
      <w:r>
        <w:t xml:space="preserve"> heisst: auf dem Testsystem importiert und in der Fachmaske geprüft. </w:t>
      </w:r>
      <w:r>
        <w:rPr>
          <w:b/>
        </w:rPr>
        <w:t>Nicht live getestet</w:t>
      </w:r>
      <w:r>
        <w:t xml:space="preserve"> heisst: Struktur aus Handbuch und SSI-Beispieldateien, auf dem Testsystem nicht eingespielt.</w:t>
      </w: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WAMAS-LS28 Stammdaten- und Auftragsimport per Telegramm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17.10.2026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Projektleitung, Key-User, Administratoren beim Kunden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Live-Importe auf dem Testsystem (WAMAS Lift &amp; Store 2.8.0, Schnittstellenmodus ERP_2_7_0, InSPM 1801–1828), Interface-Handbücher WLS-ERP 2.7/2.8, Administrator-Handbuch 2.8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39"/>
        <w:gridCol w:w="1341"/>
        <w:gridCol w:w="7244"/>
      </w:tblGrid>
      <w:tr>
        <w:trPr>
          <w:tblHeader w:val="true"/>
        </w:trPr>
        <w:tc>
          <w:tcPr>
            <w:tcW w:type="dxa" w:w="93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3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724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939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341"/>
          </w:tcPr>
          <w:p>
            <w:pPr>
              <w:spacing w:after="0" w:line="252" w:lineRule="auto"/>
            </w:pPr>
            <w:r>
              <w:rPr>
                <w:sz w:val="17"/>
              </w:rPr>
              <w:t>17.10.2026</w:t>
            </w:r>
          </w:p>
        </w:tc>
        <w:tc>
          <w:tcPr>
            <w:tcW w:type="dxa" w:w="7244"/>
          </w:tcPr>
          <w:p>
            <w:pPr>
              <w:spacing w:after="0" w:line="252" w:lineRule="auto"/>
            </w:pPr>
            <w:r>
              <w:rPr>
                <w:sz w:val="17"/>
              </w:rPr>
              <w:t>Erstausgabe auf Basis der Live-Importe InSPM 1801–1828</w:t>
            </w:r>
          </w:p>
        </w:tc>
      </w:tr>
    </w:tbl>
    <w:p>
      <w:pPr>
        <w:pStyle w:val="BeschriftungSSI"/>
      </w:pPr>
      <w:r>
        <w:t>Tab. 1: Änderungshistorie</w:t>
      </w:r>
    </w:p>
    <w:p>
      <w:pPr>
        <w:pStyle w:val="Heading1"/>
      </w:pPr>
      <w:r>
        <w:t>2 Was per Telegramm importierbar ist</w:t>
      </w:r>
    </w:p>
    <w:p>
      <w:pPr>
        <w:pStyle w:val="Heading2"/>
      </w:pPr>
      <w:r>
        <w:t>2.1 Übersicht</w:t>
      </w:r>
    </w:p>
    <w:p>
      <w:r>
        <w:t>Über die ERP-Schnittstelle lassen sich nur Klient, Artikel (mit Untersätzen), Bedarfe (Einlagerung, Kommissionierung, Inventur) und der einmalige Bestandsimport anlegen. Für alle anderen Stammdaten gibt es keine Satzart.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490"/>
        <w:gridCol w:w="2254"/>
        <w:gridCol w:w="1308"/>
        <w:gridCol w:w="2472"/>
      </w:tblGrid>
      <w:tr>
        <w:trPr>
          <w:tblHeader w:val="true"/>
        </w:trPr>
        <w:tc>
          <w:tcPr>
            <w:tcW w:type="dxa" w:w="349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Objekt</w:t>
            </w:r>
          </w:p>
        </w:tc>
        <w:tc>
          <w:tcPr>
            <w:tcW w:type="dxa" w:w="225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Satzart (ERP_2_7_0)</w:t>
            </w:r>
          </w:p>
        </w:tc>
        <w:tc>
          <w:tcPr>
            <w:tcW w:type="dxa" w:w="130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Per Telegramm</w:t>
            </w:r>
          </w:p>
        </w:tc>
        <w:tc>
          <w:tcPr>
            <w:tcW w:type="dxa" w:w="24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Status</w:t>
            </w:r>
          </w:p>
        </w:tc>
      </w:tr>
      <w:tr>
        <w:tc>
          <w:tcPr>
            <w:tcW w:type="dxa" w:w="3490"/>
          </w:tcPr>
          <w:p>
            <w:pPr>
              <w:spacing w:after="0" w:line="252" w:lineRule="auto"/>
            </w:pPr>
            <w:r>
              <w:rPr>
                <w:sz w:val="17"/>
              </w:rPr>
              <w:t>Artikel mit Bezeichnung</w:t>
            </w:r>
          </w:p>
        </w:tc>
        <w:tc>
          <w:tcPr>
            <w:tcW w:type="dxa" w:w="22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WLSITEM001</w:t>
            </w:r>
            <w:r>
              <w:rPr>
                <w:sz w:val="17"/>
              </w:rPr>
              <w:t xml:space="preserve"> + </w:t>
            </w:r>
            <w:r>
              <w:rPr>
                <w:rFonts w:ascii="Consolas" w:hAnsi="Consolas" w:cs="Consolas" w:eastAsia="Consolas"/>
                <w:sz w:val="15"/>
              </w:rPr>
              <w:t>WLSITEMDESC001</w:t>
            </w:r>
          </w:p>
        </w:tc>
        <w:tc>
          <w:tcPr>
            <w:tcW w:type="dxa" w:w="130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472"/>
          </w:tcPr>
          <w:p>
            <w:pPr>
              <w:spacing w:after="0" w:line="252" w:lineRule="auto"/>
            </w:pPr>
            <w:r>
              <w:rPr>
                <w:sz w:val="17"/>
              </w:rPr>
              <w:t>live getestet</w:t>
            </w:r>
          </w:p>
        </w:tc>
      </w:tr>
      <w:tr>
        <w:tc>
          <w:tcPr>
            <w:tcW w:type="dxa" w:w="3490"/>
          </w:tcPr>
          <w:p>
            <w:pPr>
              <w:spacing w:after="0" w:line="252" w:lineRule="auto"/>
            </w:pPr>
            <w:r>
              <w:rPr>
                <w:sz w:val="17"/>
              </w:rPr>
              <w:t>Kubatur (Artikel ↔ Boxtyp)</w:t>
            </w:r>
          </w:p>
        </w:tc>
        <w:tc>
          <w:tcPr>
            <w:tcW w:type="dxa" w:w="22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WLSITEMCUBATURE001</w:t>
            </w:r>
          </w:p>
        </w:tc>
        <w:tc>
          <w:tcPr>
            <w:tcW w:type="dxa" w:w="130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472"/>
          </w:tcPr>
          <w:p>
            <w:pPr>
              <w:spacing w:after="0" w:line="252" w:lineRule="auto"/>
            </w:pPr>
            <w:r>
              <w:rPr>
                <w:sz w:val="17"/>
              </w:rPr>
              <w:t>live getestet</w:t>
            </w:r>
          </w:p>
        </w:tc>
      </w:tr>
      <w:tr>
        <w:tc>
          <w:tcPr>
            <w:tcW w:type="dxa" w:w="3490"/>
          </w:tcPr>
          <w:p>
            <w:pPr>
              <w:spacing w:after="0" w:line="252" w:lineRule="auto"/>
            </w:pPr>
            <w:r>
              <w:rPr>
                <w:sz w:val="17"/>
              </w:rPr>
              <w:t>Einlagerauftrag</w:t>
            </w:r>
          </w:p>
        </w:tc>
        <w:tc>
          <w:tcPr>
            <w:tcW w:type="dxa" w:w="22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WLSSD002</w:t>
            </w:r>
            <w:r>
              <w:rPr>
                <w:sz w:val="17"/>
              </w:rPr>
              <w:t xml:space="preserve"> + </w:t>
            </w:r>
            <w:r>
              <w:rPr>
                <w:rFonts w:ascii="Consolas" w:hAnsi="Consolas" w:cs="Consolas" w:eastAsia="Consolas"/>
                <w:sz w:val="15"/>
              </w:rPr>
              <w:t>WLSSDL002</w:t>
            </w:r>
          </w:p>
        </w:tc>
        <w:tc>
          <w:tcPr>
            <w:tcW w:type="dxa" w:w="130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472"/>
          </w:tcPr>
          <w:p>
            <w:pPr>
              <w:spacing w:after="0" w:line="252" w:lineRule="auto"/>
            </w:pPr>
            <w:r>
              <w:rPr>
                <w:sz w:val="17"/>
              </w:rPr>
              <w:t>live getestet</w:t>
            </w:r>
          </w:p>
        </w:tc>
      </w:tr>
      <w:tr>
        <w:tc>
          <w:tcPr>
            <w:tcW w:type="dxa" w:w="3490"/>
          </w:tcPr>
          <w:p>
            <w:pPr>
              <w:spacing w:after="0" w:line="252" w:lineRule="auto"/>
            </w:pPr>
            <w:r>
              <w:rPr>
                <w:sz w:val="17"/>
              </w:rPr>
              <w:t>Partnerrolle/Adresse am Einlagerauftrag</w:t>
            </w:r>
          </w:p>
        </w:tc>
        <w:tc>
          <w:tcPr>
            <w:tcW w:type="dxa" w:w="22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WLSSDPARTNER001</w:t>
            </w:r>
          </w:p>
        </w:tc>
        <w:tc>
          <w:tcPr>
            <w:tcW w:type="dxa" w:w="130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472"/>
          </w:tcPr>
          <w:p>
            <w:pPr>
              <w:spacing w:after="0" w:line="252" w:lineRule="auto"/>
            </w:pPr>
            <w:r>
              <w:rPr>
                <w:sz w:val="17"/>
              </w:rPr>
              <w:t>live getestet</w:t>
            </w:r>
          </w:p>
        </w:tc>
      </w:tr>
      <w:tr>
        <w:tc>
          <w:tcPr>
            <w:tcW w:type="dxa" w:w="3490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Kommissionierauftrag</w:t>
            </w:r>
          </w:p>
        </w:tc>
        <w:tc>
          <w:tcPr>
            <w:tcW w:type="dxa" w:w="22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WLSPD002</w:t>
            </w:r>
            <w:r>
              <w:rPr>
                <w:sz w:val="17"/>
              </w:rPr>
              <w:t xml:space="preserve"> + </w:t>
            </w:r>
            <w:r>
              <w:rPr>
                <w:rFonts w:ascii="Consolas" w:hAnsi="Consolas" w:cs="Consolas" w:eastAsia="Consolas"/>
                <w:sz w:val="15"/>
              </w:rPr>
              <w:t>WLSPDL002</w:t>
            </w:r>
          </w:p>
        </w:tc>
        <w:tc>
          <w:tcPr>
            <w:tcW w:type="dxa" w:w="130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472"/>
          </w:tcPr>
          <w:p>
            <w:pPr>
              <w:spacing w:after="0" w:line="252" w:lineRule="auto"/>
            </w:pPr>
            <w:r>
              <w:rPr>
                <w:sz w:val="17"/>
              </w:rPr>
              <w:t>live getestet</w:t>
            </w:r>
          </w:p>
        </w:tc>
      </w:tr>
      <w:tr>
        <w:tc>
          <w:tcPr>
            <w:tcW w:type="dxa" w:w="3490"/>
          </w:tcPr>
          <w:p>
            <w:pPr>
              <w:spacing w:after="0" w:line="252" w:lineRule="auto"/>
            </w:pPr>
            <w:r>
              <w:rPr>
                <w:sz w:val="17"/>
              </w:rPr>
              <w:t>Partnerrolle/Adresse am Kommissionierauftrag</w:t>
            </w:r>
          </w:p>
        </w:tc>
        <w:tc>
          <w:tcPr>
            <w:tcW w:type="dxa" w:w="22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WLSPDPARTNER001</w:t>
            </w:r>
          </w:p>
        </w:tc>
        <w:tc>
          <w:tcPr>
            <w:tcW w:type="dxa" w:w="130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472"/>
          </w:tcPr>
          <w:p>
            <w:pPr>
              <w:spacing w:after="0" w:line="252" w:lineRule="auto"/>
            </w:pPr>
            <w:r>
              <w:rPr>
                <w:sz w:val="17"/>
              </w:rPr>
              <w:t>live getestet</w:t>
            </w:r>
          </w:p>
        </w:tc>
      </w:tr>
      <w:tr>
        <w:tc>
          <w:tcPr>
            <w:tcW w:type="dxa" w:w="3490"/>
          </w:tcPr>
          <w:p>
            <w:pPr>
              <w:spacing w:after="0" w:line="252" w:lineRule="auto"/>
            </w:pPr>
            <w:r>
              <w:rPr>
                <w:sz w:val="17"/>
              </w:rPr>
              <w:t>Artikelbild</w:t>
            </w:r>
          </w:p>
        </w:tc>
        <w:tc>
          <w:tcPr>
            <w:tcW w:type="dxa" w:w="22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WLSITEMIMAGE001</w:t>
            </w:r>
          </w:p>
        </w:tc>
        <w:tc>
          <w:tcPr>
            <w:tcW w:type="dxa" w:w="1309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nein</w:t>
            </w:r>
            <w:r>
              <w:rPr>
                <w:sz w:val="17"/>
              </w:rPr>
              <w:t xml:space="preserve"> (nur 2.8)</w:t>
            </w:r>
          </w:p>
        </w:tc>
        <w:tc>
          <w:tcPr>
            <w:tcW w:type="dxa" w:w="2472"/>
          </w:tcPr>
          <w:p>
            <w:pPr>
              <w:spacing w:after="0" w:line="252" w:lineRule="auto"/>
            </w:pPr>
            <w:r>
              <w:rPr>
                <w:sz w:val="17"/>
              </w:rPr>
              <w:t>live abgelehnt</w:t>
            </w:r>
          </w:p>
        </w:tc>
      </w:tr>
      <w:tr>
        <w:tc>
          <w:tcPr>
            <w:tcW w:type="dxa" w:w="3490"/>
          </w:tcPr>
          <w:p>
            <w:pPr>
              <w:spacing w:after="0" w:line="252" w:lineRule="auto"/>
            </w:pPr>
            <w:r>
              <w:rPr>
                <w:sz w:val="17"/>
              </w:rPr>
              <w:t>Alias / EAN</w:t>
            </w:r>
          </w:p>
        </w:tc>
        <w:tc>
          <w:tcPr>
            <w:tcW w:type="dxa" w:w="22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WLSITEMALIAS001</w:t>
            </w:r>
          </w:p>
        </w:tc>
        <w:tc>
          <w:tcPr>
            <w:tcW w:type="dxa" w:w="1309"/>
          </w:tcPr>
          <w:p>
            <w:pPr>
              <w:spacing w:after="0" w:line="252" w:lineRule="auto"/>
            </w:pPr>
            <w:r>
              <w:rPr>
                <w:sz w:val="17"/>
              </w:rPr>
              <w:t>ja (laut Handbuch)</w:t>
            </w:r>
          </w:p>
        </w:tc>
        <w:tc>
          <w:tcPr>
            <w:tcW w:type="dxa" w:w="2472"/>
          </w:tcPr>
          <w:p>
            <w:pPr>
              <w:spacing w:after="0" w:line="252" w:lineRule="auto"/>
            </w:pPr>
            <w:r>
              <w:rPr>
                <w:sz w:val="17"/>
              </w:rPr>
              <w:t>nicht live getestet</w:t>
            </w:r>
          </w:p>
        </w:tc>
      </w:tr>
      <w:tr>
        <w:tc>
          <w:tcPr>
            <w:tcW w:type="dxa" w:w="3490"/>
          </w:tcPr>
          <w:p>
            <w:pPr>
              <w:spacing w:after="0" w:line="252" w:lineRule="auto"/>
            </w:pPr>
            <w:r>
              <w:rPr>
                <w:sz w:val="17"/>
              </w:rPr>
              <w:t>Verpackungsversion, Artikel-Mengeneinheit, Masse</w:t>
            </w:r>
          </w:p>
        </w:tc>
        <w:tc>
          <w:tcPr>
            <w:tcW w:type="dxa" w:w="22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WLSPKV001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WLSQTYUNIT001</w:t>
            </w:r>
          </w:p>
        </w:tc>
        <w:tc>
          <w:tcPr>
            <w:tcW w:type="dxa" w:w="1309"/>
          </w:tcPr>
          <w:p>
            <w:pPr>
              <w:spacing w:after="0" w:line="252" w:lineRule="auto"/>
            </w:pPr>
            <w:r>
              <w:rPr>
                <w:sz w:val="17"/>
              </w:rPr>
              <w:t>ja (laut Handbuch)</w:t>
            </w:r>
          </w:p>
        </w:tc>
        <w:tc>
          <w:tcPr>
            <w:tcW w:type="dxa" w:w="2472"/>
          </w:tcPr>
          <w:p>
            <w:pPr>
              <w:spacing w:after="0" w:line="252" w:lineRule="auto"/>
            </w:pPr>
            <w:r>
              <w:rPr>
                <w:sz w:val="17"/>
              </w:rPr>
              <w:t>nicht live getestet</w:t>
            </w:r>
          </w:p>
        </w:tc>
      </w:tr>
      <w:tr>
        <w:tc>
          <w:tcPr>
            <w:tcW w:type="dxa" w:w="3490"/>
          </w:tcPr>
          <w:p>
            <w:pPr>
              <w:spacing w:after="0" w:line="252" w:lineRule="auto"/>
            </w:pPr>
            <w:r>
              <w:rPr>
                <w:sz w:val="17"/>
              </w:rPr>
              <w:t>Klient</w:t>
            </w:r>
          </w:p>
        </w:tc>
        <w:tc>
          <w:tcPr>
            <w:tcW w:type="dxa" w:w="22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WLSCLIENT001</w:t>
            </w:r>
          </w:p>
        </w:tc>
        <w:tc>
          <w:tcPr>
            <w:tcW w:type="dxa" w:w="1309"/>
          </w:tcPr>
          <w:p>
            <w:pPr>
              <w:spacing w:after="0" w:line="252" w:lineRule="auto"/>
            </w:pPr>
            <w:r>
              <w:rPr>
                <w:sz w:val="17"/>
              </w:rPr>
              <w:t>ja (laut Handbuch)</w:t>
            </w:r>
          </w:p>
        </w:tc>
        <w:tc>
          <w:tcPr>
            <w:tcW w:type="dxa" w:w="2472"/>
          </w:tcPr>
          <w:p>
            <w:pPr>
              <w:spacing w:after="0" w:line="252" w:lineRule="auto"/>
            </w:pPr>
            <w:r>
              <w:rPr>
                <w:sz w:val="17"/>
              </w:rPr>
              <w:t>nicht live getestet</w:t>
            </w:r>
          </w:p>
        </w:tc>
      </w:tr>
      <w:tr>
        <w:tc>
          <w:tcPr>
            <w:tcW w:type="dxa" w:w="3490"/>
          </w:tcPr>
          <w:p>
            <w:pPr>
              <w:spacing w:after="0" w:line="252" w:lineRule="auto"/>
            </w:pPr>
            <w:r>
              <w:rPr>
                <w:sz w:val="17"/>
              </w:rPr>
              <w:t>Anfangsbestand</w:t>
            </w:r>
          </w:p>
        </w:tc>
        <w:tc>
          <w:tcPr>
            <w:tcW w:type="dxa" w:w="22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WLSSTOCKIMPORT001</w:t>
            </w:r>
          </w:p>
        </w:tc>
        <w:tc>
          <w:tcPr>
            <w:tcW w:type="dxa" w:w="1309"/>
          </w:tcPr>
          <w:p>
            <w:pPr>
              <w:spacing w:after="0" w:line="252" w:lineRule="auto"/>
            </w:pPr>
            <w:r>
              <w:rPr>
                <w:sz w:val="17"/>
              </w:rPr>
              <w:t>ja (laut Handbuch)</w:t>
            </w:r>
          </w:p>
        </w:tc>
        <w:tc>
          <w:tcPr>
            <w:tcW w:type="dxa" w:w="2472"/>
          </w:tcPr>
          <w:p>
            <w:pPr>
              <w:spacing w:after="0" w:line="252" w:lineRule="auto"/>
            </w:pPr>
            <w:r>
              <w:rPr>
                <w:sz w:val="17"/>
              </w:rPr>
              <w:t>nicht live getestet</w:t>
            </w:r>
          </w:p>
        </w:tc>
      </w:tr>
      <w:tr>
        <w:tc>
          <w:tcPr>
            <w:tcW w:type="dxa" w:w="3490"/>
          </w:tcPr>
          <w:p>
            <w:pPr>
              <w:spacing w:after="0" w:line="252" w:lineRule="auto"/>
            </w:pPr>
            <w:r>
              <w:rPr>
                <w:sz w:val="17"/>
              </w:rPr>
              <w:t>Inventurbedarf</w:t>
            </w:r>
          </w:p>
        </w:tc>
        <w:tc>
          <w:tcPr>
            <w:tcW w:type="dxa" w:w="2254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WLSINVD002</w:t>
            </w:r>
            <w:r>
              <w:rPr>
                <w:sz w:val="17"/>
              </w:rPr>
              <w:t xml:space="preserve"> + </w:t>
            </w:r>
            <w:r>
              <w:rPr>
                <w:rFonts w:ascii="Consolas" w:hAnsi="Consolas" w:cs="Consolas" w:eastAsia="Consolas"/>
                <w:sz w:val="15"/>
              </w:rPr>
              <w:t>WLSINVDL002</w:t>
            </w:r>
          </w:p>
        </w:tc>
        <w:tc>
          <w:tcPr>
            <w:tcW w:type="dxa" w:w="1309"/>
          </w:tcPr>
          <w:p>
            <w:pPr>
              <w:spacing w:after="0" w:line="252" w:lineRule="auto"/>
            </w:pPr>
            <w:r>
              <w:rPr>
                <w:sz w:val="17"/>
              </w:rPr>
              <w:t>ja (laut Handbuch)</w:t>
            </w:r>
          </w:p>
        </w:tc>
        <w:tc>
          <w:tcPr>
            <w:tcW w:type="dxa" w:w="2472"/>
          </w:tcPr>
          <w:p>
            <w:pPr>
              <w:spacing w:after="0" w:line="252" w:lineRule="auto"/>
            </w:pPr>
            <w:r>
              <w:rPr>
                <w:sz w:val="17"/>
              </w:rPr>
              <w:t>nicht live getestet, keine Vorlage</w:t>
            </w:r>
          </w:p>
        </w:tc>
      </w:tr>
    </w:tbl>
    <w:p>
      <w:pPr>
        <w:pStyle w:val="BeschriftungSSI"/>
      </w:pPr>
      <w:r>
        <w:t>Tab. 2: Importierbare Satzarten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Satzarten der Schnittstelle 2.7 verwenden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Das 2.8-Handbuch nennt </w:t>
            </w:r>
            <w:r>
              <w:rPr>
                <w:rFonts w:ascii="Consolas" w:hAnsi="Consolas" w:cs="Consolas" w:eastAsia="Consolas"/>
                <w:sz w:val="17"/>
              </w:rPr>
              <w:t>WLSSD003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WLSPD003</w:t>
            </w:r>
            <w:r>
              <w:rPr>
                <w:sz w:val="19"/>
              </w:rPr>
              <w:t xml:space="preserve"> und </w:t>
            </w:r>
            <w:r>
              <w:rPr>
                <w:rFonts w:ascii="Consolas" w:hAnsi="Consolas" w:cs="Consolas" w:eastAsia="Consolas"/>
                <w:sz w:val="17"/>
              </w:rPr>
              <w:t>WLSITEMCUBATURE002</w:t>
            </w:r>
            <w:r>
              <w:rPr>
                <w:sz w:val="19"/>
              </w:rPr>
              <w:t xml:space="preserve">. Im Modus ERP_2_7_0 gelten </w:t>
            </w:r>
            <w:r>
              <w:rPr>
                <w:rFonts w:ascii="Consolas" w:hAnsi="Consolas" w:cs="Consolas" w:eastAsia="Consolas"/>
                <w:sz w:val="17"/>
              </w:rPr>
              <w:t>WLSSD002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WLSPD002</w:t>
            </w:r>
            <w:r>
              <w:rPr>
                <w:sz w:val="19"/>
              </w:rPr>
              <w:t xml:space="preserve"> und </w:t>
            </w:r>
            <w:r>
              <w:rPr>
                <w:rFonts w:ascii="Consolas" w:hAnsi="Consolas" w:cs="Consolas" w:eastAsia="Consolas"/>
                <w:sz w:val="17"/>
              </w:rPr>
              <w:t>WLSITEMCUBATURE001</w:t>
            </w:r>
            <w:r>
              <w:rPr>
                <w:sz w:val="19"/>
              </w:rPr>
              <w:t xml:space="preserve">. Den Modus finden Sie im Parameter </w:t>
            </w:r>
            <w:r>
              <w:rPr>
                <w:rFonts w:ascii="Consolas" w:hAnsi="Consolas" w:cs="Consolas" w:eastAsia="Consolas"/>
                <w:sz w:val="17"/>
              </w:rPr>
              <w:t>logimat.interfaceMode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Stammdaten_Import_Recherche Kap. 0–1; Testlog InSPM 1802–1828</w:t>
      </w:r>
    </w:p>
    <w:p>
      <w:pPr>
        <w:pStyle w:val="Heading2"/>
      </w:pPr>
      <w:r>
        <w:t>2.2 Was nicht per Telegramm geht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444"/>
        <w:gridCol w:w="3321"/>
        <w:gridCol w:w="3760"/>
      </w:tblGrid>
      <w:tr>
        <w:trPr>
          <w:tblHeader w:val="true"/>
        </w:trPr>
        <w:tc>
          <w:tcPr>
            <w:tcW w:type="dxa" w:w="244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Objekt</w:t>
            </w:r>
          </w:p>
        </w:tc>
        <w:tc>
          <w:tcPr>
            <w:tcW w:type="dxa" w:w="332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Warum nicht</w:t>
            </w:r>
          </w:p>
        </w:tc>
        <w:tc>
          <w:tcPr>
            <w:tcW w:type="dxa" w:w="376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Manueller oder alternativer Weg</w:t>
            </w:r>
          </w:p>
        </w:tc>
      </w:tr>
      <w:tr>
        <w:tc>
          <w:tcPr>
            <w:tcW w:type="dxa" w:w="2444"/>
          </w:tcPr>
          <w:p>
            <w:pPr>
              <w:spacing w:after="0" w:line="252" w:lineRule="auto"/>
            </w:pPr>
            <w:r>
              <w:rPr>
                <w:sz w:val="17"/>
              </w:rPr>
              <w:t>Partner (Lieferant, Kunde, Empfänger)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>keine Satzart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MD018 Partner pflegen</w:t>
            </w:r>
            <w:r>
              <w:rPr>
                <w:sz w:val="17"/>
              </w:rPr>
              <w:t xml:space="preserve"> (Adresse über MD090). Im Auftrag nur über die ID referenzieren.</w:t>
            </w:r>
          </w:p>
        </w:tc>
      </w:tr>
      <w:tr>
        <w:tc>
          <w:tcPr>
            <w:tcW w:type="dxa" w:w="2444"/>
          </w:tcPr>
          <w:p>
            <w:pPr>
              <w:spacing w:after="0" w:line="252" w:lineRule="auto"/>
            </w:pPr>
            <w:r>
              <w:rPr>
                <w:sz w:val="17"/>
              </w:rPr>
              <w:t>Systempartner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>keine Satzart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MD021</w:t>
            </w:r>
            <w:r>
              <w:rPr>
                <w:sz w:val="17"/>
              </w:rPr>
              <w:t xml:space="preserve"> Systempartner</w:t>
            </w:r>
          </w:p>
        </w:tc>
      </w:tr>
      <w:tr>
        <w:tc>
          <w:tcPr>
            <w:tcW w:type="dxa" w:w="2444"/>
          </w:tcPr>
          <w:p>
            <w:pPr>
              <w:spacing w:after="0" w:line="252" w:lineRule="auto"/>
            </w:pPr>
            <w:r>
              <w:rPr>
                <w:sz w:val="17"/>
              </w:rPr>
              <w:t>Mengeneinheiten (PCS, PKG …)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>Handbuch: „Units cannot be created via the interface“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Klient pflegen </w:t>
            </w:r>
            <w:r>
              <w:rPr>
                <w:b/>
                <w:sz w:val="17"/>
              </w:rPr>
              <w:t>MD017</w:t>
            </w:r>
          </w:p>
        </w:tc>
      </w:tr>
      <w:tr>
        <w:tc>
          <w:tcPr>
            <w:tcW w:type="dxa" w:w="2444"/>
          </w:tcPr>
          <w:p>
            <w:pPr>
              <w:spacing w:after="0" w:line="252" w:lineRule="auto"/>
            </w:pPr>
            <w:r>
              <w:rPr>
                <w:sz w:val="17"/>
              </w:rPr>
              <w:t>Boxtypen, Ladehilfsmittel, LE-Kubaturen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>keine Satzart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MD015</w:t>
            </w:r>
            <w:r>
              <w:rPr>
                <w:sz w:val="17"/>
              </w:rPr>
              <w:t xml:space="preserve"> Ladehilfsmittel (z. B. „Datensatz duplizieren…“), </w:t>
            </w:r>
            <w:r>
              <w:rPr>
                <w:b/>
                <w:sz w:val="17"/>
              </w:rPr>
              <w:t>MD031</w:t>
            </w:r>
            <w:r>
              <w:rPr>
                <w:sz w:val="17"/>
              </w:rPr>
              <w:t xml:space="preserve"> Ladeeinheitenkubatur, </w:t>
            </w:r>
            <w:r>
              <w:rPr>
                <w:b/>
                <w:sz w:val="17"/>
              </w:rPr>
              <w:t>LM058</w:t>
            </w:r>
            <w:r>
              <w:rPr>
                <w:sz w:val="17"/>
              </w:rPr>
              <w:t xml:space="preserve"> Boxtyp, </w:t>
            </w:r>
            <w:r>
              <w:rPr>
                <w:b/>
                <w:sz w:val="17"/>
              </w:rPr>
              <w:t>LM061</w:t>
            </w:r>
            <w:r>
              <w:rPr>
                <w:sz w:val="17"/>
              </w:rPr>
              <w:t xml:space="preserve"> Konfigurationsdatei</w:t>
            </w:r>
          </w:p>
        </w:tc>
      </w:tr>
      <w:tr>
        <w:tc>
          <w:tcPr>
            <w:tcW w:type="dxa" w:w="2444"/>
          </w:tcPr>
          <w:p>
            <w:pPr>
              <w:spacing w:after="0" w:line="252" w:lineRule="auto"/>
            </w:pPr>
            <w:r>
              <w:rPr>
                <w:sz w:val="17"/>
              </w:rPr>
              <w:t>Warengruppe ↔ Boxtyp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>keine Satzart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LM144</w:t>
            </w:r>
          </w:p>
        </w:tc>
      </w:tr>
      <w:tr>
        <w:tc>
          <w:tcPr>
            <w:tcW w:type="dxa" w:w="2444"/>
          </w:tcPr>
          <w:p>
            <w:pPr>
              <w:spacing w:after="0" w:line="252" w:lineRule="auto"/>
            </w:pPr>
            <w:r>
              <w:rPr>
                <w:sz w:val="17"/>
              </w:rPr>
              <w:t>Tablarlayouts / Tablarvorlagen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>keine Satzart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Touch: </w:t>
            </w:r>
            <w:r>
              <w:rPr>
                <w:b/>
                <w:sz w:val="17"/>
              </w:rPr>
              <w:t>LM004</w:t>
            </w:r>
            <w:r>
              <w:rPr>
                <w:sz w:val="17"/>
              </w:rPr>
              <w:t xml:space="preserve"> „Füllen“, </w:t>
            </w:r>
            <w:r>
              <w:rPr>
                <w:b/>
                <w:sz w:val="17"/>
              </w:rPr>
              <w:t>LM016</w:t>
            </w:r>
            <w:r>
              <w:rPr>
                <w:sz w:val="17"/>
              </w:rPr>
              <w:t xml:space="preserve"> „Als Vorlage speichern“, </w:t>
            </w:r>
            <w:r>
              <w:rPr>
                <w:b/>
                <w:sz w:val="17"/>
              </w:rPr>
              <w:t>LM015</w:t>
            </w:r>
            <w:r>
              <w:rPr>
                <w:sz w:val="17"/>
              </w:rPr>
              <w:t xml:space="preserve"> „Vorlage laden“</w:t>
            </w:r>
          </w:p>
        </w:tc>
      </w:tr>
      <w:tr>
        <w:tc>
          <w:tcPr>
            <w:tcW w:type="dxa" w:w="2444"/>
          </w:tcPr>
          <w:p>
            <w:pPr>
              <w:spacing w:after="0" w:line="252" w:lineRule="auto"/>
            </w:pPr>
            <w:r>
              <w:rPr>
                <w:sz w:val="17"/>
              </w:rPr>
              <w:t>Lagerplätze (LOGIMAT)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>keine Satzart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entstehen über die </w:t>
            </w:r>
            <w:r>
              <w:rPr>
                <w:b/>
                <w:sz w:val="17"/>
              </w:rPr>
              <w:t>LM061</w:t>
            </w:r>
            <w:r>
              <w:rPr>
                <w:sz w:val="17"/>
              </w:rPr>
              <w:t>-Konfiguration</w:t>
            </w:r>
          </w:p>
        </w:tc>
      </w:tr>
      <w:tr>
        <w:tc>
          <w:tcPr>
            <w:tcW w:type="dxa" w:w="2444"/>
          </w:tcPr>
          <w:p>
            <w:pPr>
              <w:spacing w:after="0" w:line="252" w:lineRule="auto"/>
            </w:pPr>
            <w:r>
              <w:rPr>
                <w:sz w:val="17"/>
              </w:rPr>
              <w:t>Externe Lagerplätze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>kein Telegramm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CSV-Import </w:t>
            </w:r>
            <w:r>
              <w:rPr>
                <w:b/>
                <w:sz w:val="17"/>
              </w:rPr>
              <w:t>LM125</w:t>
            </w:r>
            <w:r>
              <w:rPr>
                <w:sz w:val="17"/>
              </w:rPr>
              <w:t xml:space="preserve">, Generator </w:t>
            </w:r>
            <w:r>
              <w:rPr>
                <w:b/>
                <w:sz w:val="17"/>
              </w:rPr>
              <w:t>LM126</w:t>
            </w:r>
            <w:r>
              <w:rPr>
                <w:sz w:val="17"/>
              </w:rPr>
              <w:t xml:space="preserve"> (nicht getestet)</w:t>
            </w:r>
          </w:p>
        </w:tc>
      </w:tr>
      <w:tr>
        <w:tc>
          <w:tcPr>
            <w:tcW w:type="dxa" w:w="2444"/>
          </w:tcPr>
          <w:p>
            <w:pPr>
              <w:spacing w:after="0" w:line="252" w:lineRule="auto"/>
            </w:pPr>
            <w:r>
              <w:rPr>
                <w:sz w:val="17"/>
              </w:rPr>
              <w:t>Etikett- und Dokumentlayouts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>keine Satzart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RM003</w:t>
            </w:r>
            <w:r>
              <w:rPr>
                <w:sz w:val="17"/>
              </w:rPr>
              <w:t xml:space="preserve"> Export/Import als ZIP</w:t>
            </w:r>
          </w:p>
        </w:tc>
      </w:tr>
      <w:tr>
        <w:tc>
          <w:tcPr>
            <w:tcW w:type="dxa" w:w="2444"/>
          </w:tcPr>
          <w:p>
            <w:pPr>
              <w:spacing w:after="0" w:line="252" w:lineRule="auto"/>
            </w:pPr>
            <w:r>
              <w:rPr>
                <w:sz w:val="17"/>
              </w:rPr>
              <w:t>Benutzer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sz w:val="17"/>
              </w:rPr>
              <w:t>keine Satzart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UM002</w:t>
            </w:r>
            <w:r>
              <w:rPr>
                <w:sz w:val="17"/>
              </w:rPr>
              <w:t xml:space="preserve"> Benutzer und Anmeldungen pflegen; evtl. </w:t>
            </w:r>
            <w:r>
              <w:rPr>
                <w:b/>
                <w:sz w:val="17"/>
              </w:rPr>
              <w:t>SE030</w:t>
            </w:r>
            <w:r>
              <w:rPr>
                <w:sz w:val="17"/>
              </w:rPr>
              <w:t xml:space="preserve"> (ungeklärt, Kap. 11)</w:t>
            </w:r>
          </w:p>
        </w:tc>
      </w:tr>
      <w:tr>
        <w:tc>
          <w:tcPr>
            <w:tcW w:type="dxa" w:w="2444"/>
          </w:tcPr>
          <w:p>
            <w:pPr>
              <w:spacing w:after="0" w:line="252" w:lineRule="auto"/>
            </w:pPr>
            <w:r>
              <w:rPr>
                <w:sz w:val="17"/>
              </w:rPr>
              <w:t>Artikelbilder</w:t>
            </w:r>
          </w:p>
        </w:tc>
        <w:tc>
          <w:tcPr>
            <w:tcW w:type="dxa" w:w="3321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WLSITEMIMAGE001</w:t>
            </w:r>
            <w:r>
              <w:rPr>
                <w:sz w:val="17"/>
              </w:rPr>
              <w:t xml:space="preserve"> im Modus 2.7 unbekannt</w:t>
            </w:r>
          </w:p>
        </w:tc>
        <w:tc>
          <w:tcPr>
            <w:tcW w:type="dxa" w:w="3760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Bild über den Upload in DI014 auf den Server legen, dann </w:t>
            </w:r>
            <w:r>
              <w:rPr>
                <w:b/>
                <w:sz w:val="17"/>
              </w:rPr>
              <w:t>LM114</w:t>
            </w:r>
            <w:r>
              <w:rPr>
                <w:sz w:val="17"/>
              </w:rPr>
              <w:t xml:space="preserve"> „Artikelbilder laden“</w:t>
            </w:r>
          </w:p>
        </w:tc>
      </w:tr>
    </w:tbl>
    <w:p>
      <w:pPr>
        <w:pStyle w:val="BeschriftungSSI"/>
      </w:pPr>
      <w:r>
        <w:t>Tab. 3: Nicht importierbare Objekte und Alternativen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Reihenfolge beim Projektstart</w:t>
            </w:r>
          </w:p>
          <w:p>
            <w:pPr>
              <w:spacing w:after="40"/>
            </w:pPr>
            <w:r>
              <w:rPr>
                <w:sz w:val="19"/>
              </w:rPr>
              <w:t>Zuerst alles anlegen, was nicht per Telegramm geht: Klient-Einheiten, Warengruppen und Bedarfstypen (MD017), Partner (MD018), Boxtypen/Kubaturen (MD015/MD031). Erst danach Artikel, Kubaturen und Aufträge importieren.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Stammdaten_Import_Recherche Kap. 1–2; Administrator-Handbuch 2.8; Testlog 08:27, 12:33</w:t>
      </w:r>
    </w:p>
    <w:p>
      <w:pPr>
        <w:pStyle w:val="Heading1"/>
      </w:pPr>
      <w:r>
        <w:t>3 Dateiaufbau</w:t>
      </w:r>
    </w:p>
    <w:p>
      <w:pPr>
        <w:pStyle w:val="Heading2"/>
      </w:pPr>
      <w:r>
        <w:t>3.1 Grundstruktur</w:t>
      </w:r>
    </w:p>
    <w:p>
      <w:r>
        <w:t xml:space="preserve">Jede Importdatei ist eine JSON-Datei in </w:t>
      </w:r>
      <w:r>
        <w:rPr>
          <w:b/>
        </w:rPr>
        <w:t>UTF-8</w:t>
      </w:r>
      <w:r>
        <w:t>. Sie hat immer dieselbe Hülle: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DI_TELEGRAMS</w:t>
      </w:r>
      <w:r>
        <w:t xml:space="preserve"> – Wurzelobjekt.</w:t>
      </w:r>
    </w:p>
    <w:p>
      <w:pPr>
        <w:pStyle w:val="ListBullet2"/>
      </w:pPr>
      <w:r>
        <w:rPr>
          <w:rFonts w:ascii="Consolas" w:hAnsi="Consolas" w:cs="Consolas" w:eastAsia="Consolas"/>
          <w:sz w:val="18"/>
        </w:rPr>
        <w:t>DI_TELEGRAM</w:t>
      </w:r>
      <w:r>
        <w:t xml:space="preserve"> – Liste der Telegramme. Ein Telegramm = ein Hauptsatz (z. B. ein Artikel oder ein Auftrag).</w:t>
      </w:r>
    </w:p>
    <w:p>
      <w:pPr>
        <w:pStyle w:val="ListBullet2"/>
      </w:pPr>
      <w:r>
        <w:rPr>
          <w:rFonts w:ascii="Consolas" w:hAnsi="Consolas" w:cs="Consolas" w:eastAsia="Consolas"/>
          <w:sz w:val="18"/>
        </w:rPr>
        <w:t>header.FULL</w:t>
      </w:r>
      <w:r>
        <w:t xml:space="preserve"> – Kopf mit Quelle, Ziel, Zeitstempel und Satzart.</w:t>
      </w:r>
    </w:p>
    <w:p>
      <w:pPr>
        <w:pStyle w:val="ListBullet2"/>
      </w:pPr>
      <w:r>
        <w:rPr>
          <w:rFonts w:ascii="Consolas" w:hAnsi="Consolas" w:cs="Consolas" w:eastAsia="Consolas"/>
          <w:sz w:val="18"/>
        </w:rPr>
        <w:t>body</w:t>
      </w:r>
      <w:r>
        <w:t xml:space="preserve"> – genau ein Hauptsatz, benannt nach der Satzart. Untersätze stehen als Listen im Hauptsatz.</w:t>
      </w:r>
    </w:p>
    <w:tbl>
      <w:tblPr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c>
          <w:tcPr>
            <w:tcW w:type="dxa" w:w="9524"/>
            <w:shd w:val="clear" w:color="auto" w:fill="F2F2F2"/>
            <w:tcBorders>
              <w:top w:val="single" w:sz="4" w:color="BFBFBF" w:space="0"/>
              <w:left w:val="single" w:sz="4" w:color="BFBFBF" w:space="0"/>
              <w:bottom w:val="single" w:sz="4" w:color="BFBFBF" w:space="0"/>
              <w:right w:val="single" w:sz="4" w:color="BFBFBF" w:space="0"/>
            </w:tcBorders>
            <w:tcMar>
              <w:top w:w="80" w:type="dxa"/>
              <w:bottom w:w="80" w:type="dxa"/>
              <w:start w:w="120" w:type="dxa"/>
              <w:end w:w="120" w:type="dxa"/>
              <w:left w:w="120" w:type="dxa"/>
              <w:right w:w="120" w:type="dxa"/>
            </w:tcMar>
          </w:tcPr>
          <w:p>
            <w:pPr>
              <w:pStyle w:val="Code"/>
            </w:pPr>
            <w:r>
              <w:t>{</w:t>
            </w:r>
          </w:p>
          <w:p>
            <w:pPr>
              <w:pStyle w:val="Code"/>
            </w:pPr>
            <w:r>
              <w:t xml:space="preserve">  "DI_TELEGRAMS": {</w:t>
            </w:r>
          </w:p>
          <w:p>
            <w:pPr>
              <w:pStyle w:val="Code"/>
            </w:pPr>
            <w:r>
              <w:t xml:space="preserve">    "DI_TELEGRAM": [</w:t>
            </w:r>
          </w:p>
          <w:p>
            <w:pPr>
              <w:pStyle w:val="Code"/>
            </w:pPr>
            <w:r>
              <w:t xml:space="preserve">      {</w:t>
            </w:r>
          </w:p>
          <w:p>
            <w:pPr>
              <w:pStyle w:val="Code"/>
            </w:pPr>
            <w:r>
              <w:t xml:space="preserve">        "header": {</w:t>
            </w:r>
          </w:p>
          <w:p>
            <w:pPr>
              <w:pStyle w:val="Code"/>
            </w:pPr>
            <w:r>
              <w:t xml:space="preserve">          "FULL": {</w:t>
            </w:r>
          </w:p>
          <w:p>
            <w:pPr>
              <w:pStyle w:val="Code"/>
            </w:pPr>
            <w:r>
              <w:t xml:space="preserve">            "HEADER_SOURCE": "HOST",</w:t>
            </w:r>
          </w:p>
          <w:p>
            <w:pPr>
              <w:pStyle w:val="Code"/>
            </w:pPr>
            <w:r>
              <w:t xml:space="preserve">            "HEADER_DESTINATION": "WAMAS",</w:t>
            </w:r>
          </w:p>
          <w:p>
            <w:pPr>
              <w:pStyle w:val="Code"/>
            </w:pPr>
            <w:r>
              <w:t xml:space="preserve">            "HEADER_SEQUENCE": 0,</w:t>
            </w:r>
          </w:p>
          <w:p>
            <w:pPr>
              <w:pStyle w:val="Code"/>
            </w:pPr>
            <w:r>
              <w:t xml:space="preserve">            "HEADER_CREATIONTIME": "&lt;CREATION_TIME&gt;",</w:t>
            </w:r>
          </w:p>
          <w:p>
            <w:pPr>
              <w:pStyle w:val="Code"/>
            </w:pPr>
            <w:r>
              <w:t xml:space="preserve">            "HEADER_RECORDTYPENAME": "WLSITEM001"</w:t>
            </w:r>
          </w:p>
          <w:p>
            <w:pPr>
              <w:pStyle w:val="Code"/>
            </w:pPr>
            <w:r>
              <w:t xml:space="preserve">          }</w:t>
            </w:r>
          </w:p>
          <w:p>
            <w:pPr>
              <w:pStyle w:val="Code"/>
            </w:pPr>
            <w:r>
              <w:t xml:space="preserve">        },</w:t>
            </w:r>
          </w:p>
          <w:p>
            <w:pPr>
              <w:pStyle w:val="Code"/>
            </w:pPr>
            <w:r>
              <w:t xml:space="preserve">        "body": {</w:t>
            </w:r>
          </w:p>
          <w:p>
            <w:pPr>
              <w:pStyle w:val="Code"/>
            </w:pPr>
            <w:r>
              <w:t xml:space="preserve">          "WLSITEM001": {</w:t>
            </w:r>
          </w:p>
          <w:p>
            <w:pPr>
              <w:pStyle w:val="Code"/>
            </w:pPr>
            <w:r>
              <w:t xml:space="preserve">            "clientId": "&lt;CLIENT_ID&gt;",</w:t>
            </w:r>
          </w:p>
          <w:p>
            <w:pPr>
              <w:pStyle w:val="Code"/>
            </w:pPr>
            <w:r>
              <w:t xml:space="preserve">            "itemNo": "&lt;ITEM_NO&gt;",</w:t>
            </w:r>
          </w:p>
          <w:p>
            <w:pPr>
              <w:pStyle w:val="Code"/>
            </w:pPr>
            <w:r>
              <w:t xml:space="preserve">            "variant": "00000",</w:t>
            </w:r>
          </w:p>
          <w:p>
            <w:pPr>
              <w:pStyle w:val="Code"/>
            </w:pPr>
            <w:r>
              <w:t xml:space="preserve">            "baseQtyUnit": "&lt;BASE_QTY_UNIT&gt;",</w:t>
            </w:r>
          </w:p>
          <w:p>
            <w:pPr>
              <w:pStyle w:val="Code"/>
            </w:pPr>
            <w:r>
              <w:t xml:space="preserve">            "itemType": "&lt;ITEM_TYPE&gt;",</w:t>
            </w:r>
          </w:p>
          <w:p>
            <w:pPr>
              <w:pStyle w:val="Code"/>
            </w:pPr>
            <w:r>
              <w:t xml:space="preserve">            "goodsCategory": "&lt;GOODS_CATEGORY&gt;",</w:t>
            </w:r>
          </w:p>
          <w:p>
            <w:pPr>
              <w:pStyle w:val="Code"/>
            </w:pPr>
            <w:r>
              <w:t xml:space="preserve">            "WLSITEMDESC001": [ { "...": "..." } ]</w:t>
            </w:r>
          </w:p>
          <w:p>
            <w:pPr>
              <w:pStyle w:val="Code"/>
            </w:pPr>
            <w:r>
              <w:t xml:space="preserve">          }</w:t>
            </w:r>
          </w:p>
          <w:p>
            <w:pPr>
              <w:pStyle w:val="Code"/>
            </w:pPr>
            <w:r>
              <w:t xml:space="preserve">        }</w:t>
            </w:r>
          </w:p>
          <w:p>
            <w:pPr>
              <w:pStyle w:val="Code"/>
            </w:pPr>
            <w:r>
              <w:t xml:space="preserve">      }</w:t>
            </w:r>
          </w:p>
          <w:p>
            <w:pPr>
              <w:pStyle w:val="Code"/>
            </w:pPr>
            <w:r>
              <w:t xml:space="preserve">    ]</w:t>
            </w:r>
          </w:p>
          <w:p>
            <w:pPr>
              <w:pStyle w:val="Code"/>
            </w:pPr>
            <w:r>
              <w:t xml:space="preserve">  }</w:t>
            </w:r>
          </w:p>
          <w:p>
            <w:pPr>
              <w:pStyle w:val="Code"/>
            </w:pPr>
            <w:r>
              <w:t>}</w:t>
            </w:r>
          </w:p>
        </w:tc>
      </w:tr>
    </w:tbl>
    <w:p>
      <w:pPr>
        <w:pStyle w:val="BeschriftungSSI"/>
      </w:pPr>
      <w:r>
        <w:t>Abb. 1: Hülle eines Telegramms (Ausschnitt aus der Vorlage WLSITEM001_Artikel.json)</w:t>
      </w:r>
    </w:p>
    <w:p>
      <w:pPr>
        <w:pStyle w:val="Heading2"/>
      </w:pPr>
      <w:r>
        <w:t>3.2 Kopf `header.FULL`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169"/>
        <w:gridCol w:w="1697"/>
        <w:gridCol w:w="5658"/>
      </w:tblGrid>
      <w:tr>
        <w:trPr>
          <w:tblHeader w:val="true"/>
        </w:trPr>
        <w:tc>
          <w:tcPr>
            <w:tcW w:type="dxa" w:w="216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Feld</w:t>
            </w:r>
          </w:p>
        </w:tc>
        <w:tc>
          <w:tcPr>
            <w:tcW w:type="dxa" w:w="169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Wert</w:t>
            </w:r>
          </w:p>
        </w:tc>
        <w:tc>
          <w:tcPr>
            <w:tcW w:type="dxa" w:w="565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21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HEADER_SOURCE</w:t>
            </w:r>
          </w:p>
        </w:tc>
        <w:tc>
          <w:tcPr>
            <w:tcW w:type="dxa" w:w="169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HOST</w:t>
            </w:r>
          </w:p>
        </w:tc>
        <w:tc>
          <w:tcPr>
            <w:tcW w:type="dxa" w:w="5658"/>
          </w:tcPr>
          <w:p>
            <w:pPr>
              <w:spacing w:after="0" w:line="252" w:lineRule="auto"/>
            </w:pPr>
            <w:r>
              <w:rPr>
                <w:sz w:val="17"/>
              </w:rPr>
              <w:t>Sendender Systempartner. Muss zum Systempartner passen, der in DI014 gewählt wird.</w:t>
            </w:r>
          </w:p>
        </w:tc>
      </w:tr>
      <w:tr>
        <w:tc>
          <w:tcPr>
            <w:tcW w:type="dxa" w:w="21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HEADER_DESTINATION</w:t>
            </w:r>
          </w:p>
        </w:tc>
        <w:tc>
          <w:tcPr>
            <w:tcW w:type="dxa" w:w="169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WAMAS</w:t>
            </w:r>
          </w:p>
        </w:tc>
        <w:tc>
          <w:tcPr>
            <w:tcW w:type="dxa" w:w="5658"/>
          </w:tcPr>
          <w:p>
            <w:pPr>
              <w:spacing w:after="0" w:line="252" w:lineRule="auto"/>
            </w:pPr>
            <w:r>
              <w:rPr>
                <w:sz w:val="17"/>
              </w:rPr>
              <w:t>Empfänger</w:t>
            </w:r>
          </w:p>
        </w:tc>
      </w:tr>
      <w:tr>
        <w:tc>
          <w:tcPr>
            <w:tcW w:type="dxa" w:w="21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HEADER_SEQUENCE</w:t>
            </w:r>
          </w:p>
        </w:tc>
        <w:tc>
          <w:tcPr>
            <w:tcW w:type="dxa" w:w="169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0</w:t>
            </w:r>
          </w:p>
        </w:tc>
        <w:tc>
          <w:tcPr>
            <w:tcW w:type="dxa" w:w="5658"/>
          </w:tcPr>
          <w:p>
            <w:pPr>
              <w:spacing w:after="0" w:line="252" w:lineRule="auto"/>
            </w:pPr>
            <w:r>
              <w:rPr>
                <w:sz w:val="17"/>
              </w:rPr>
              <w:t>Laufnummer, live immer 0</w:t>
            </w:r>
          </w:p>
        </w:tc>
      </w:tr>
      <w:tr>
        <w:tc>
          <w:tcPr>
            <w:tcW w:type="dxa" w:w="21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HEADER_CREATIONTIME</w:t>
            </w:r>
          </w:p>
        </w:tc>
        <w:tc>
          <w:tcPr>
            <w:tcW w:type="dxa" w:w="169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YYYYMMDDhhmmss</w:t>
            </w:r>
          </w:p>
        </w:tc>
        <w:tc>
          <w:tcPr>
            <w:tcW w:type="dxa" w:w="5658"/>
          </w:tcPr>
          <w:p>
            <w:pPr>
              <w:spacing w:after="0" w:line="252" w:lineRule="auto"/>
            </w:pPr>
            <w:r>
              <w:rPr>
                <w:sz w:val="17"/>
              </w:rPr>
              <w:t>Erstellzeit der Datei</w:t>
            </w:r>
          </w:p>
        </w:tc>
      </w:tr>
      <w:tr>
        <w:tc>
          <w:tcPr>
            <w:tcW w:type="dxa" w:w="2169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HEADER_RECORDTYPENAME</w:t>
            </w:r>
          </w:p>
        </w:tc>
        <w:tc>
          <w:tcPr>
            <w:tcW w:type="dxa" w:w="1697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z. B. </w:t>
            </w:r>
            <w:r>
              <w:rPr>
                <w:rFonts w:ascii="Consolas" w:hAnsi="Consolas" w:cs="Consolas" w:eastAsia="Consolas"/>
                <w:sz w:val="15"/>
              </w:rPr>
              <w:t>WLSITEM001</w:t>
            </w:r>
          </w:p>
        </w:tc>
        <w:tc>
          <w:tcPr>
            <w:tcW w:type="dxa" w:w="565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Satzart des Hauptsatzes im </w:t>
            </w:r>
            <w:r>
              <w:rPr>
                <w:rFonts w:ascii="Consolas" w:hAnsi="Consolas" w:cs="Consolas" w:eastAsia="Consolas"/>
                <w:sz w:val="15"/>
              </w:rPr>
              <w:t>body</w:t>
            </w:r>
          </w:p>
        </w:tc>
      </w:tr>
    </w:tbl>
    <w:p>
      <w:pPr>
        <w:pStyle w:val="BeschriftungSSI"/>
      </w:pPr>
      <w:r>
        <w:t>Tab. 4: Kopffelder</w:t>
      </w:r>
    </w:p>
    <w:p>
      <w:pPr>
        <w:pStyle w:val="Heading2"/>
      </w:pPr>
      <w:r>
        <w:t>3.3 Untersätze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587"/>
        <w:gridCol w:w="7938"/>
      </w:tblGrid>
      <w:tr>
        <w:trPr>
          <w:tblHeader w:val="true"/>
        </w:trPr>
        <w:tc>
          <w:tcPr>
            <w:tcW w:type="dxa" w:w="15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Hauptsatz</w:t>
            </w:r>
          </w:p>
        </w:tc>
        <w:tc>
          <w:tcPr>
            <w:tcW w:type="dxa" w:w="79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Untersätze</w:t>
            </w:r>
          </w:p>
        </w:tc>
      </w:tr>
      <w:tr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WLSITEM001</w:t>
            </w:r>
          </w:p>
        </w:tc>
        <w:tc>
          <w:tcPr>
            <w:tcW w:type="dxa" w:w="79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WLSITEMDESC001</w:t>
            </w:r>
            <w:r>
              <w:rPr>
                <w:sz w:val="17"/>
              </w:rPr>
              <w:t xml:space="preserve"> (Bezeichnung), </w:t>
            </w:r>
            <w:r>
              <w:rPr>
                <w:rFonts w:ascii="Consolas" w:hAnsi="Consolas" w:cs="Consolas" w:eastAsia="Consolas"/>
                <w:sz w:val="15"/>
              </w:rPr>
              <w:t>WLSITEMCUBATURE001</w:t>
            </w:r>
            <w:r>
              <w:rPr>
                <w:sz w:val="17"/>
              </w:rPr>
              <w:t xml:space="preserve"> (Kubatur), </w:t>
            </w:r>
            <w:r>
              <w:rPr>
                <w:rFonts w:ascii="Consolas" w:hAnsi="Consolas" w:cs="Consolas" w:eastAsia="Consolas"/>
                <w:sz w:val="15"/>
              </w:rPr>
              <w:t>WLSITEMALIAS001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WLSPKV001</w:t>
            </w:r>
            <w:r>
              <w:rPr>
                <w:sz w:val="17"/>
              </w:rPr>
              <w:t xml:space="preserve"> mit </w:t>
            </w:r>
            <w:r>
              <w:rPr>
                <w:rFonts w:ascii="Consolas" w:hAnsi="Consolas" w:cs="Consolas" w:eastAsia="Consolas"/>
                <w:sz w:val="15"/>
              </w:rPr>
              <w:t>WLSQTYUNIT001</w:t>
            </w:r>
          </w:p>
        </w:tc>
      </w:tr>
      <w:tr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WLSSD002</w:t>
            </w:r>
          </w:p>
        </w:tc>
        <w:tc>
          <w:tcPr>
            <w:tcW w:type="dxa" w:w="79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WLSSDL002</w:t>
            </w:r>
            <w:r>
              <w:rPr>
                <w:sz w:val="17"/>
              </w:rPr>
              <w:t xml:space="preserve"> (Zeilen), </w:t>
            </w:r>
            <w:r>
              <w:rPr>
                <w:rFonts w:ascii="Consolas" w:hAnsi="Consolas" w:cs="Consolas" w:eastAsia="Consolas"/>
                <w:sz w:val="15"/>
              </w:rPr>
              <w:t>WLSSDPARTNER001</w:t>
            </w:r>
            <w:r>
              <w:rPr>
                <w:sz w:val="17"/>
              </w:rPr>
              <w:t xml:space="preserve"> (Rollen/Adressen)</w:t>
            </w:r>
          </w:p>
        </w:tc>
      </w:tr>
      <w:tr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WLSPD002</w:t>
            </w:r>
          </w:p>
        </w:tc>
        <w:tc>
          <w:tcPr>
            <w:tcW w:type="dxa" w:w="7937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WLSPDL002</w:t>
            </w:r>
            <w:r>
              <w:rPr>
                <w:sz w:val="17"/>
              </w:rPr>
              <w:t xml:space="preserve"> (Zeilen), </w:t>
            </w:r>
            <w:r>
              <w:rPr>
                <w:rFonts w:ascii="Consolas" w:hAnsi="Consolas" w:cs="Consolas" w:eastAsia="Consolas"/>
                <w:sz w:val="15"/>
              </w:rPr>
              <w:t>WLSPDPARTNER001</w:t>
            </w:r>
            <w:r>
              <w:rPr>
                <w:sz w:val="17"/>
              </w:rPr>
              <w:t xml:space="preserve"> (Rollen/Adressen)</w:t>
            </w:r>
          </w:p>
        </w:tc>
      </w:tr>
    </w:tbl>
    <w:p>
      <w:pPr>
        <w:pStyle w:val="BeschriftungSSI"/>
      </w:pPr>
      <w:r>
        <w:t>Tab. 5: Haupt- und Untersätze</w:t>
      </w:r>
    </w:p>
    <w:p>
      <w:pPr>
        <w:pStyle w:val="Heading2"/>
      </w:pPr>
      <w:r>
        <w:t>3.4 Formatregeln</w:t>
      </w:r>
    </w:p>
    <w:p>
      <w:pPr>
        <w:pStyle w:val="ListBullet"/>
      </w:pPr>
      <w:r>
        <w:rPr>
          <w:b/>
        </w:rPr>
        <w:t>Mehrere Datensätze pro Datei:</w:t>
      </w:r>
      <w:r>
        <w:t xml:space="preserve"> weitere Objekte in der Liste </w:t>
      </w:r>
      <w:r>
        <w:rPr>
          <w:rFonts w:ascii="Consolas" w:hAnsi="Consolas" w:cs="Consolas" w:eastAsia="Consolas"/>
          <w:sz w:val="18"/>
        </w:rPr>
        <w:t>DI_TELEGRAM</w:t>
      </w:r>
      <w:r>
        <w:t xml:space="preserve"> anhängen. Live wurden 9 Artikel in einer Datei importiert (InSPM 1809). DI002 zeigte dafür eine Nachricht mit „Telegramme 1/1“; angelegt wurden alle 9 Artikel.</w:t>
      </w:r>
    </w:p>
    <w:p>
      <w:pPr>
        <w:pStyle w:val="ListBullet"/>
      </w:pPr>
      <w:r>
        <w:rPr>
          <w:b/>
        </w:rPr>
        <w:t>Boolean</w:t>
      </w:r>
      <w:r>
        <w:t xml:space="preserve"> als String </w:t>
      </w:r>
      <w:r>
        <w:rPr>
          <w:rFonts w:ascii="Consolas" w:hAnsi="Consolas" w:cs="Consolas" w:eastAsia="Consolas"/>
          <w:sz w:val="18"/>
        </w:rPr>
        <w:t>"0"</w:t>
      </w:r>
      <w:r>
        <w:t xml:space="preserve"> oder </w:t>
      </w:r>
      <w:r>
        <w:rPr>
          <w:rFonts w:ascii="Consolas" w:hAnsi="Consolas" w:cs="Consolas" w:eastAsia="Consolas"/>
          <w:sz w:val="18"/>
        </w:rPr>
        <w:t>"1"</w:t>
      </w:r>
      <w:r>
        <w:t xml:space="preserve">, nie </w:t>
      </w:r>
      <w:r>
        <w:rPr>
          <w:rFonts w:ascii="Consolas" w:hAnsi="Consolas" w:cs="Consolas" w:eastAsia="Consolas"/>
          <w:sz w:val="18"/>
        </w:rPr>
        <w:t>true</w:t>
      </w:r>
      <w:r>
        <w:t>/</w:t>
      </w:r>
      <w:r>
        <w:rPr>
          <w:rFonts w:ascii="Consolas" w:hAnsi="Consolas" w:cs="Consolas" w:eastAsia="Consolas"/>
          <w:sz w:val="18"/>
        </w:rPr>
        <w:t>false</w:t>
      </w:r>
      <w:r>
        <w:t>.</w:t>
      </w:r>
    </w:p>
    <w:p>
      <w:pPr>
        <w:pStyle w:val="ListBullet"/>
      </w:pPr>
      <w:r>
        <w:rPr>
          <w:b/>
        </w:rPr>
        <w:t>Zahlen</w:t>
      </w:r>
      <w:r>
        <w:t xml:space="preserve"> (</w:t>
      </w:r>
      <w:r>
        <w:rPr>
          <w:rFonts w:ascii="Consolas" w:hAnsi="Consolas" w:cs="Consolas" w:eastAsia="Consolas"/>
          <w:sz w:val="18"/>
        </w:rPr>
        <w:t>priority</w:t>
      </w:r>
      <w:r>
        <w:t xml:space="preserve">, </w:t>
      </w:r>
      <w:r>
        <w:rPr>
          <w:rFonts w:ascii="Consolas" w:hAnsi="Consolas" w:cs="Consolas" w:eastAsia="Consolas"/>
          <w:sz w:val="18"/>
        </w:rPr>
        <w:t>sysPartnerLine</w:t>
      </w:r>
      <w:r>
        <w:t xml:space="preserve">, </w:t>
      </w:r>
      <w:r>
        <w:rPr>
          <w:rFonts w:ascii="Consolas" w:hAnsi="Consolas" w:cs="Consolas" w:eastAsia="Consolas"/>
          <w:sz w:val="18"/>
        </w:rPr>
        <w:t>baseQty</w:t>
      </w:r>
      <w:r>
        <w:t xml:space="preserve">, </w:t>
      </w:r>
      <w:r>
        <w:rPr>
          <w:rFonts w:ascii="Consolas" w:hAnsi="Consolas" w:cs="Consolas" w:eastAsia="Consolas"/>
          <w:sz w:val="18"/>
        </w:rPr>
        <w:t>numBquWqu</w:t>
      </w:r>
      <w:r>
        <w:t xml:space="preserve">, </w:t>
      </w:r>
      <w:r>
        <w:rPr>
          <w:rFonts w:ascii="Consolas" w:hAnsi="Consolas" w:cs="Consolas" w:eastAsia="Consolas"/>
          <w:sz w:val="18"/>
        </w:rPr>
        <w:t>pkv</w:t>
      </w:r>
      <w:r>
        <w:t xml:space="preserve">, </w:t>
      </w:r>
      <w:r>
        <w:rPr>
          <w:rFonts w:ascii="Consolas" w:hAnsi="Consolas" w:cs="Consolas" w:eastAsia="Consolas"/>
          <w:sz w:val="18"/>
        </w:rPr>
        <w:t>sequence</w:t>
      </w:r>
      <w:r>
        <w:t xml:space="preserve">, </w:t>
      </w:r>
      <w:r>
        <w:rPr>
          <w:rFonts w:ascii="Consolas" w:hAnsi="Consolas" w:cs="Consolas" w:eastAsia="Consolas"/>
          <w:sz w:val="18"/>
        </w:rPr>
        <w:t>maxNumBaseQtyUnits</w:t>
      </w:r>
      <w:r>
        <w:t>) ohne Anführungszeichen, Dezimaltrennzeichen Punkt.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stockRating</w:t>
      </w:r>
      <w:r>
        <w:t xml:space="preserve"> ist ein String (</w:t>
      </w:r>
      <w:r>
        <w:rPr>
          <w:rFonts w:ascii="Consolas" w:hAnsi="Consolas" w:cs="Consolas" w:eastAsia="Consolas"/>
          <w:sz w:val="18"/>
        </w:rPr>
        <w:t>"100"</w:t>
      </w:r>
      <w:r>
        <w:t>).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variant</w:t>
      </w:r>
      <w:r>
        <w:t xml:space="preserve"> ist auf dem Testsystem immer </w:t>
      </w:r>
      <w:r>
        <w:rPr>
          <w:rFonts w:ascii="Consolas" w:hAnsi="Consolas" w:cs="Consolas" w:eastAsia="Consolas"/>
          <w:sz w:val="18"/>
        </w:rPr>
        <w:t>"00000"</w:t>
      </w:r>
      <w:r>
        <w:t>.</w:t>
      </w:r>
    </w:p>
    <w:p>
      <w:pPr>
        <w:pStyle w:val="ListBullet"/>
      </w:pPr>
      <w:r>
        <w:rPr>
          <w:rFonts w:ascii="Consolas" w:hAnsi="Consolas" w:cs="Consolas" w:eastAsia="Consolas"/>
          <w:sz w:val="18"/>
        </w:rPr>
        <w:t>langId</w:t>
      </w:r>
      <w:r>
        <w:t xml:space="preserve"> und </w:t>
      </w:r>
      <w:r>
        <w:rPr>
          <w:rFonts w:ascii="Consolas" w:hAnsi="Consolas" w:cs="Consolas" w:eastAsia="Consolas"/>
          <w:sz w:val="18"/>
        </w:rPr>
        <w:t>partnerAddrLangId</w:t>
      </w:r>
      <w:r>
        <w:t xml:space="preserve"> nach ISO 639-2/B: </w:t>
      </w:r>
      <w:r>
        <w:rPr>
          <w:rFonts w:ascii="Consolas" w:hAnsi="Consolas" w:cs="Consolas" w:eastAsia="Consolas"/>
          <w:sz w:val="18"/>
        </w:rPr>
        <w:t>ger</w:t>
      </w:r>
      <w:r>
        <w:t xml:space="preserve"> für Deutsch.</w:t>
      </w:r>
    </w:p>
    <w:p>
      <w:pPr>
        <w:pStyle w:val="ListBullet"/>
      </w:pPr>
      <w:r>
        <w:t xml:space="preserve">Leere optionale Felder dürfen als </w:t>
      </w:r>
      <w:r>
        <w:rPr>
          <w:rFonts w:ascii="Consolas" w:hAnsi="Consolas" w:cs="Consolas" w:eastAsia="Consolas"/>
          <w:sz w:val="18"/>
        </w:rPr>
        <w:t>""</w:t>
      </w:r>
      <w:r>
        <w:t xml:space="preserve"> mitgeschickt werden (so live getestet).</w:t>
      </w:r>
    </w:p>
    <w:p>
      <w:pPr>
        <w:pStyle w:val="ListBullet"/>
      </w:pPr>
      <w:r>
        <w:t xml:space="preserve">Feldlängen beachten, z. B. </w:t>
      </w:r>
      <w:r>
        <w:rPr>
          <w:rFonts w:ascii="Consolas" w:hAnsi="Consolas" w:cs="Consolas" w:eastAsia="Consolas"/>
          <w:sz w:val="18"/>
        </w:rPr>
        <w:t>demandNo</w:t>
      </w:r>
      <w:r>
        <w:t xml:space="preserve"> 20, </w:t>
      </w:r>
      <w:r>
        <w:rPr>
          <w:rFonts w:ascii="Consolas" w:hAnsi="Consolas" w:cs="Consolas" w:eastAsia="Consolas"/>
          <w:sz w:val="18"/>
        </w:rPr>
        <w:t>noteNo</w:t>
      </w:r>
      <w:r>
        <w:t xml:space="preserve"> 18, </w:t>
      </w:r>
      <w:r>
        <w:rPr>
          <w:rFonts w:ascii="Consolas" w:hAnsi="Consolas" w:cs="Consolas" w:eastAsia="Consolas"/>
          <w:sz w:val="18"/>
        </w:rPr>
        <w:t>description</w:t>
      </w:r>
      <w:r>
        <w:t xml:space="preserve"> 40, </w:t>
      </w:r>
      <w:r>
        <w:rPr>
          <w:rFonts w:ascii="Consolas" w:hAnsi="Consolas" w:cs="Consolas" w:eastAsia="Consolas"/>
          <w:sz w:val="18"/>
        </w:rPr>
        <w:t>partnerId</w:t>
      </w:r>
      <w:r>
        <w:t xml:space="preserve"> 15 Zeichen.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Live-Telegramme Import/Kommission, Phase2_live; Testlog InSPM 1809, 1810; IF27 Tab. 36–38, 53–54</w:t>
      </w:r>
    </w:p>
    <w:p>
      <w:pPr>
        <w:pStyle w:val="Heading1"/>
      </w:pPr>
      <w:r>
        <w:t>4 Vorlagen und Platzhalter</w:t>
      </w:r>
    </w:p>
    <w:p>
      <w:pPr>
        <w:pStyle w:val="Heading2"/>
      </w:pPr>
      <w:r>
        <w:t>4.1 Vorlagen im Ordner Import_Vorlagen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5243"/>
        <w:gridCol w:w="2796"/>
        <w:gridCol w:w="1485"/>
      </w:tblGrid>
      <w:tr>
        <w:trPr>
          <w:tblHeader w:val="true"/>
        </w:trPr>
        <w:tc>
          <w:tcPr>
            <w:tcW w:type="dxa" w:w="52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Datei</w:t>
            </w:r>
          </w:p>
        </w:tc>
        <w:tc>
          <w:tcPr>
            <w:tcW w:type="dxa" w:w="279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Inhalt</w:t>
            </w:r>
          </w:p>
        </w:tc>
        <w:tc>
          <w:tcPr>
            <w:tcW w:type="dxa" w:w="148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Live getestet</w:t>
            </w:r>
          </w:p>
        </w:tc>
      </w:tr>
      <w:tr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WLSITEM001_Artikel.json</w:t>
            </w:r>
          </w:p>
        </w:tc>
        <w:tc>
          <w:tcPr>
            <w:tcW w:type="dxa" w:w="2796"/>
          </w:tcPr>
          <w:p>
            <w:pPr>
              <w:spacing w:after="0" w:line="252" w:lineRule="auto"/>
            </w:pPr>
            <w:r>
              <w:rPr>
                <w:sz w:val="17"/>
              </w:rPr>
              <w:t>Artikel + Bezeichnung</w:t>
            </w:r>
          </w:p>
        </w:tc>
        <w:tc>
          <w:tcPr>
            <w:tcW w:type="dxa" w:w="1485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WLSITEM001_Artikel_mit_Kubatur_WLSITEMCUBATURE001.json</w:t>
            </w:r>
          </w:p>
        </w:tc>
        <w:tc>
          <w:tcPr>
            <w:tcW w:type="dxa" w:w="2796"/>
          </w:tcPr>
          <w:p>
            <w:pPr>
              <w:spacing w:after="0" w:line="252" w:lineRule="auto"/>
            </w:pPr>
            <w:r>
              <w:rPr>
                <w:sz w:val="17"/>
              </w:rPr>
              <w:t>Artikel + Boxtyp-Zuordnung</w:t>
            </w:r>
          </w:p>
        </w:tc>
        <w:tc>
          <w:tcPr>
            <w:tcW w:type="dxa" w:w="1485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WLSSD002_Einlagerauftrag_ohne_Partner.json</w:t>
            </w:r>
          </w:p>
        </w:tc>
        <w:tc>
          <w:tcPr>
            <w:tcW w:type="dxa" w:w="2796"/>
          </w:tcPr>
          <w:p>
            <w:pPr>
              <w:spacing w:after="0" w:line="252" w:lineRule="auto"/>
            </w:pPr>
            <w:r>
              <w:rPr>
                <w:sz w:val="17"/>
              </w:rPr>
              <w:t>Einlagerauftrag, 1 Zeile</w:t>
            </w:r>
          </w:p>
        </w:tc>
        <w:tc>
          <w:tcPr>
            <w:tcW w:type="dxa" w:w="1485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WLSSD002_Einlagerauftrag_mit_Partner.json</w:t>
            </w:r>
          </w:p>
        </w:tc>
        <w:tc>
          <w:tcPr>
            <w:tcW w:type="dxa" w:w="2796"/>
          </w:tcPr>
          <w:p>
            <w:pPr>
              <w:spacing w:after="0" w:line="252" w:lineRule="auto"/>
            </w:pPr>
            <w:r>
              <w:rPr>
                <w:sz w:val="17"/>
              </w:rPr>
              <w:t>wie oben + SUPPLIER/CONTRACTEE</w:t>
            </w:r>
          </w:p>
        </w:tc>
        <w:tc>
          <w:tcPr>
            <w:tcW w:type="dxa" w:w="1485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WLSPD002_Kommissionierauftrag_ohne_Partner.json</w:t>
            </w:r>
          </w:p>
        </w:tc>
        <w:tc>
          <w:tcPr>
            <w:tcW w:type="dxa" w:w="2796"/>
          </w:tcPr>
          <w:p>
            <w:pPr>
              <w:spacing w:after="0" w:line="252" w:lineRule="auto"/>
            </w:pPr>
            <w:r>
              <w:rPr>
                <w:sz w:val="17"/>
              </w:rPr>
              <w:t>Kommissionierauftrag, 2 Zeilen</w:t>
            </w:r>
          </w:p>
        </w:tc>
        <w:tc>
          <w:tcPr>
            <w:tcW w:type="dxa" w:w="1485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WLSPD002_Kommissionierauftrag_mit_Partner.json</w:t>
            </w:r>
          </w:p>
        </w:tc>
        <w:tc>
          <w:tcPr>
            <w:tcW w:type="dxa" w:w="2796"/>
          </w:tcPr>
          <w:p>
            <w:pPr>
              <w:spacing w:after="0" w:line="252" w:lineRule="auto"/>
            </w:pPr>
            <w:r>
              <w:rPr>
                <w:sz w:val="17"/>
              </w:rPr>
              <w:t>wie oben + CONTRACTEE/SUPPLIER</w:t>
            </w:r>
          </w:p>
        </w:tc>
        <w:tc>
          <w:tcPr>
            <w:tcW w:type="dxa" w:w="1485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abgelehnt_ERP_2_7_0/…WLSITEMIMAGE001.json</w:t>
            </w:r>
          </w:p>
        </w:tc>
        <w:tc>
          <w:tcPr>
            <w:tcW w:type="dxa" w:w="2796"/>
          </w:tcPr>
          <w:p>
            <w:pPr>
              <w:spacing w:after="0" w:line="252" w:lineRule="auto"/>
            </w:pPr>
            <w:r>
              <w:rPr>
                <w:sz w:val="17"/>
              </w:rPr>
              <w:t>Artikelbild (nur Modus 2.8)</w:t>
            </w:r>
          </w:p>
        </w:tc>
        <w:tc>
          <w:tcPr>
            <w:tcW w:type="dxa" w:w="148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ja, </w:t>
            </w:r>
            <w:r>
              <w:rPr>
                <w:b/>
                <w:sz w:val="17"/>
              </w:rPr>
              <w:t>abgelehnt</w:t>
            </w:r>
          </w:p>
        </w:tc>
      </w:tr>
      <w:tr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nicht_live_getestet/…WLSITEMALIAS001.json</w:t>
            </w:r>
          </w:p>
        </w:tc>
        <w:tc>
          <w:tcPr>
            <w:tcW w:type="dxa" w:w="2796"/>
          </w:tcPr>
          <w:p>
            <w:pPr>
              <w:spacing w:after="0" w:line="252" w:lineRule="auto"/>
            </w:pPr>
            <w:r>
              <w:rPr>
                <w:sz w:val="17"/>
              </w:rPr>
              <w:t>Alias/EAN</w:t>
            </w:r>
          </w:p>
        </w:tc>
        <w:tc>
          <w:tcPr>
            <w:tcW w:type="dxa" w:w="1485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</w:tr>
      <w:tr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nicht_live_getestet/…WLSPKV001_WLSQTYUNIT001.json</w:t>
            </w:r>
          </w:p>
        </w:tc>
        <w:tc>
          <w:tcPr>
            <w:tcW w:type="dxa" w:w="2796"/>
          </w:tcPr>
          <w:p>
            <w:pPr>
              <w:spacing w:after="0" w:line="252" w:lineRule="auto"/>
            </w:pPr>
            <w:r>
              <w:rPr>
                <w:sz w:val="17"/>
              </w:rPr>
              <w:t>Verpackung, Mengeneinheit, Masse</w:t>
            </w:r>
          </w:p>
        </w:tc>
        <w:tc>
          <w:tcPr>
            <w:tcW w:type="dxa" w:w="1485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</w:tr>
      <w:tr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nicht_live_getestet/…WLSCLIENT001_Klient.json</w:t>
            </w:r>
          </w:p>
        </w:tc>
        <w:tc>
          <w:tcPr>
            <w:tcW w:type="dxa" w:w="2796"/>
          </w:tcPr>
          <w:p>
            <w:pPr>
              <w:spacing w:after="0" w:line="252" w:lineRule="auto"/>
            </w:pPr>
            <w:r>
              <w:rPr>
                <w:sz w:val="17"/>
              </w:rPr>
              <w:t>Klient</w:t>
            </w:r>
          </w:p>
        </w:tc>
        <w:tc>
          <w:tcPr>
            <w:tcW w:type="dxa" w:w="1485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</w:tr>
      <w:tr>
        <w:tc>
          <w:tcPr>
            <w:tcW w:type="dxa" w:w="5243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nicht_live_getestet/…WLSSTOCKIMPORT001_Anfangsbestand.json</w:t>
            </w:r>
          </w:p>
        </w:tc>
        <w:tc>
          <w:tcPr>
            <w:tcW w:type="dxa" w:w="2796"/>
          </w:tcPr>
          <w:p>
            <w:pPr>
              <w:spacing w:after="0" w:line="252" w:lineRule="auto"/>
            </w:pPr>
            <w:r>
              <w:rPr>
                <w:sz w:val="17"/>
              </w:rPr>
              <w:t>Anfangsbestand</w:t>
            </w:r>
          </w:p>
        </w:tc>
        <w:tc>
          <w:tcPr>
            <w:tcW w:type="dxa" w:w="1485"/>
          </w:tcPr>
          <w:p>
            <w:pPr>
              <w:spacing w:after="0" w:line="252" w:lineRule="auto"/>
            </w:pPr>
            <w:r>
              <w:rPr>
                <w:sz w:val="17"/>
              </w:rPr>
              <w:t>nein</w:t>
            </w:r>
          </w:p>
        </w:tc>
      </w:tr>
    </w:tbl>
    <w:p>
      <w:pPr>
        <w:pStyle w:val="BeschriftungSSI"/>
      </w:pPr>
      <w:r>
        <w:t>Tab. 6: Vorlagen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Vorlagen „nicht live getestet“</w:t>
            </w:r>
          </w:p>
          <w:p>
            <w:pPr>
              <w:spacing w:after="40"/>
            </w:pPr>
            <w:r>
              <w:rPr>
                <w:sz w:val="19"/>
              </w:rPr>
              <w:t xml:space="preserve">Diese Dateien folgen Handbuch und SSI-Beispieldateien 2.7.0. Vor dem produktiven Einsatz auf einem Testsystem mit einem einzelnen Datensatz prüfen. </w:t>
            </w:r>
            <w:r>
              <w:rPr>
                <w:rFonts w:ascii="Consolas" w:hAnsi="Consolas" w:cs="Consolas" w:eastAsia="Consolas"/>
                <w:sz w:val="17"/>
              </w:rPr>
              <w:t>WLSSTOCKIMPORT001</w:t>
            </w:r>
            <w:r>
              <w:rPr>
                <w:sz w:val="19"/>
              </w:rPr>
              <w:t xml:space="preserve"> bucht Bestand und </w:t>
            </w:r>
            <w:r>
              <w:rPr>
                <w:rFonts w:ascii="Consolas" w:hAnsi="Consolas" w:cs="Consolas" w:eastAsia="Consolas"/>
                <w:sz w:val="17"/>
              </w:rPr>
              <w:t>WLSCLIENT001</w:t>
            </w:r>
            <w:r>
              <w:rPr>
                <w:sz w:val="19"/>
              </w:rPr>
              <w:t xml:space="preserve"> legt einen Klienten an: nur mit Freigabe der Projektleitung testen.</w:t>
            </w:r>
          </w:p>
        </w:tc>
      </w:tr>
    </w:tbl>
    <w:p>
      <w:pPr>
        <w:spacing w:after="40"/>
      </w:pPr>
    </w:p>
    <w:p>
      <w:pPr>
        <w:pStyle w:val="Heading2"/>
      </w:pPr>
      <w:r>
        <w:t>4.2 Platzhalter</w:t>
      </w:r>
    </w:p>
    <w:p>
      <w:r>
        <w:t xml:space="preserve">Alle kunden- oder auftragsspezifischen Werte stehen als Platzhalter in spitzen Klammern, z. B. </w:t>
      </w:r>
      <w:r>
        <w:rPr>
          <w:rFonts w:ascii="Consolas" w:hAnsi="Consolas" w:cs="Consolas" w:eastAsia="Consolas"/>
          <w:sz w:val="18"/>
        </w:rPr>
        <w:t>&lt;ITEM_NO&gt;</w:t>
      </w:r>
      <w:r>
        <w:t>. Feste technische Werte, die live funktioniert haben, stehen direkt in der Vorlage (</w:t>
      </w:r>
      <w:r>
        <w:rPr>
          <w:rFonts w:ascii="Consolas" w:hAnsi="Consolas" w:cs="Consolas" w:eastAsia="Consolas"/>
          <w:sz w:val="18"/>
        </w:rPr>
        <w:t>HOST</w:t>
      </w:r>
      <w:r>
        <w:t xml:space="preserve">, </w:t>
      </w:r>
      <w:r>
        <w:rPr>
          <w:rFonts w:ascii="Consolas" w:hAnsi="Consolas" w:cs="Consolas" w:eastAsia="Consolas"/>
          <w:sz w:val="18"/>
        </w:rPr>
        <w:t>WAMAS</w:t>
      </w:r>
      <w:r>
        <w:t xml:space="preserve">, </w:t>
      </w:r>
      <w:r>
        <w:rPr>
          <w:rFonts w:ascii="Consolas" w:hAnsi="Consolas" w:cs="Consolas" w:eastAsia="Consolas"/>
          <w:sz w:val="18"/>
        </w:rPr>
        <w:t>00000</w:t>
      </w:r>
      <w:r>
        <w:t xml:space="preserve">, </w:t>
      </w:r>
      <w:r>
        <w:rPr>
          <w:rFonts w:ascii="Consolas" w:hAnsi="Consolas" w:cs="Consolas" w:eastAsia="Consolas"/>
          <w:sz w:val="18"/>
        </w:rPr>
        <w:t>ger</w:t>
      </w:r>
      <w:r>
        <w:t xml:space="preserve">, </w:t>
      </w:r>
      <w:r>
        <w:rPr>
          <w:rFonts w:ascii="Consolas" w:hAnsi="Consolas" w:cs="Consolas" w:eastAsia="Consolas"/>
          <w:sz w:val="18"/>
        </w:rPr>
        <w:t>"100"</w:t>
      </w:r>
      <w:r>
        <w:t xml:space="preserve">, </w:t>
      </w:r>
      <w:r>
        <w:rPr>
          <w:rFonts w:ascii="Consolas" w:hAnsi="Consolas" w:cs="Consolas" w:eastAsia="Consolas"/>
          <w:sz w:val="18"/>
        </w:rPr>
        <w:t>"0"</w:t>
      </w:r>
      <w:r>
        <w:t xml:space="preserve">, </w:t>
      </w:r>
      <w:r>
        <w:rPr>
          <w:rFonts w:ascii="Consolas" w:hAnsi="Consolas" w:cs="Consolas" w:eastAsia="Consolas"/>
          <w:sz w:val="18"/>
        </w:rPr>
        <w:t>pkv</w:t>
      </w:r>
      <w:r>
        <w:t xml:space="preserve"> 1, </w:t>
      </w:r>
      <w:r>
        <w:rPr>
          <w:rFonts w:ascii="Consolas" w:hAnsi="Consolas" w:cs="Consolas" w:eastAsia="Consolas"/>
          <w:sz w:val="18"/>
        </w:rPr>
        <w:t>numBquWqu</w:t>
      </w:r>
      <w:r>
        <w:t xml:space="preserve"> 1).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4396"/>
        <w:gridCol w:w="2418"/>
        <w:gridCol w:w="2711"/>
      </w:tblGrid>
      <w:tr>
        <w:trPr>
          <w:tblHeader w:val="true"/>
        </w:trPr>
        <w:tc>
          <w:tcPr>
            <w:tcW w:type="dxa" w:w="439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Platzhalter</w:t>
            </w:r>
          </w:p>
        </w:tc>
        <w:tc>
          <w:tcPr>
            <w:tcW w:type="dxa" w:w="241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Ersetzen durch</w:t>
            </w:r>
          </w:p>
        </w:tc>
        <w:tc>
          <w:tcPr>
            <w:tcW w:type="dxa" w:w="271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Stammdaten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&lt;CREATION_TIME&gt;</w:t>
            </w:r>
          </w:p>
        </w:tc>
        <w:tc>
          <w:tcPr>
            <w:tcW w:type="dxa" w:w="241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Zeitstempel </w:t>
            </w:r>
            <w:r>
              <w:rPr>
                <w:rFonts w:ascii="Consolas" w:hAnsi="Consolas" w:cs="Consolas" w:eastAsia="Consolas"/>
                <w:sz w:val="15"/>
              </w:rPr>
              <w:t>YYYYMMDDhhmmss</w:t>
            </w:r>
          </w:p>
        </w:tc>
        <w:tc>
          <w:tcPr>
            <w:tcW w:type="dxa" w:w="2711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&lt;CLIENT_ID&gt;</w:t>
            </w:r>
          </w:p>
        </w:tc>
        <w:tc>
          <w:tcPr>
            <w:tcW w:type="dxa" w:w="2418"/>
          </w:tcPr>
          <w:p>
            <w:pPr>
              <w:spacing w:after="0" w:line="252" w:lineRule="auto"/>
            </w:pPr>
            <w:r>
              <w:rPr>
                <w:sz w:val="17"/>
              </w:rPr>
              <w:t>Klient</w:t>
            </w:r>
          </w:p>
        </w:tc>
        <w:tc>
          <w:tcPr>
            <w:tcW w:type="dxa" w:w="2711"/>
          </w:tcPr>
          <w:p>
            <w:pPr>
              <w:spacing w:after="0" w:line="252" w:lineRule="auto"/>
            </w:pPr>
            <w:r>
              <w:rPr>
                <w:sz w:val="17"/>
              </w:rPr>
              <w:t>MD017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&lt;ITEM_NO&gt;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&lt;ITEM_NO_n&gt;</w:t>
            </w:r>
          </w:p>
        </w:tc>
        <w:tc>
          <w:tcPr>
            <w:tcW w:type="dxa" w:w="2418"/>
          </w:tcPr>
          <w:p>
            <w:pPr>
              <w:spacing w:after="0" w:line="252" w:lineRule="auto"/>
            </w:pPr>
            <w:r>
              <w:rPr>
                <w:sz w:val="17"/>
              </w:rPr>
              <w:t>Artikelnummer</w:t>
            </w:r>
          </w:p>
        </w:tc>
        <w:tc>
          <w:tcPr>
            <w:tcW w:type="dxa" w:w="2711"/>
          </w:tcPr>
          <w:p>
            <w:pPr>
              <w:spacing w:after="0" w:line="252" w:lineRule="auto"/>
            </w:pPr>
            <w:r>
              <w:rPr>
                <w:sz w:val="17"/>
              </w:rPr>
              <w:t>MD001 (in Aufträgen: muss existieren)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&lt;BASE_QTY_UNIT&gt;</w:t>
            </w:r>
          </w:p>
        </w:tc>
        <w:tc>
          <w:tcPr>
            <w:tcW w:type="dxa" w:w="241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Basismengeneinheit, z. B. </w:t>
            </w:r>
            <w:r>
              <w:rPr>
                <w:rFonts w:ascii="Consolas" w:hAnsi="Consolas" w:cs="Consolas" w:eastAsia="Consolas"/>
                <w:sz w:val="15"/>
              </w:rPr>
              <w:t>PCS</w:t>
            </w:r>
          </w:p>
        </w:tc>
        <w:tc>
          <w:tcPr>
            <w:tcW w:type="dxa" w:w="2711"/>
          </w:tcPr>
          <w:p>
            <w:pPr>
              <w:spacing w:after="0" w:line="252" w:lineRule="auto"/>
            </w:pPr>
            <w:r>
              <w:rPr>
                <w:sz w:val="17"/>
              </w:rPr>
              <w:t>MD017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&lt;ITEM_TYPE&gt;</w:t>
            </w:r>
          </w:p>
        </w:tc>
        <w:tc>
          <w:tcPr>
            <w:tcW w:type="dxa" w:w="241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Artikeltyp, z. B. </w:t>
            </w:r>
            <w:r>
              <w:rPr>
                <w:rFonts w:ascii="Consolas" w:hAnsi="Consolas" w:cs="Consolas" w:eastAsia="Consolas"/>
                <w:sz w:val="15"/>
              </w:rPr>
              <w:t>MERC</w:t>
            </w:r>
          </w:p>
        </w:tc>
        <w:tc>
          <w:tcPr>
            <w:tcW w:type="dxa" w:w="2711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&lt;GOODS_CATEGORY&gt;</w:t>
            </w:r>
          </w:p>
        </w:tc>
        <w:tc>
          <w:tcPr>
            <w:tcW w:type="dxa" w:w="2418"/>
          </w:tcPr>
          <w:p>
            <w:pPr>
              <w:spacing w:after="0" w:line="252" w:lineRule="auto"/>
            </w:pPr>
            <w:r>
              <w:rPr>
                <w:sz w:val="17"/>
              </w:rPr>
              <w:t>Warengruppe</w:t>
            </w:r>
          </w:p>
        </w:tc>
        <w:tc>
          <w:tcPr>
            <w:tcW w:type="dxa" w:w="2711"/>
          </w:tcPr>
          <w:p>
            <w:pPr>
              <w:spacing w:after="0" w:line="252" w:lineRule="auto"/>
            </w:pPr>
            <w:r>
              <w:rPr>
                <w:sz w:val="17"/>
              </w:rPr>
              <w:t>MD017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&lt;CUBATURE_ID&gt;</w:t>
            </w:r>
          </w:p>
        </w:tc>
        <w:tc>
          <w:tcPr>
            <w:tcW w:type="dxa" w:w="2418"/>
          </w:tcPr>
          <w:p>
            <w:pPr>
              <w:spacing w:after="0" w:line="252" w:lineRule="auto"/>
            </w:pPr>
            <w:r>
              <w:rPr>
                <w:sz w:val="17"/>
              </w:rPr>
              <w:t>Kubatur/Boxtyp</w:t>
            </w:r>
          </w:p>
        </w:tc>
        <w:tc>
          <w:tcPr>
            <w:tcW w:type="dxa" w:w="2711"/>
          </w:tcPr>
          <w:p>
            <w:pPr>
              <w:spacing w:after="0" w:line="252" w:lineRule="auto"/>
            </w:pPr>
            <w:r>
              <w:rPr>
                <w:sz w:val="17"/>
              </w:rPr>
              <w:t>MD031, LM078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&lt;SD_TYPE_ID&gt;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&lt;PD_TYPE_ID&gt;</w:t>
            </w:r>
          </w:p>
        </w:tc>
        <w:tc>
          <w:tcPr>
            <w:tcW w:type="dxa" w:w="241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Bedarfstyp, z. B. </w:t>
            </w:r>
            <w:r>
              <w:rPr>
                <w:rFonts w:ascii="Consolas" w:hAnsi="Consolas" w:cs="Consolas" w:eastAsia="Consolas"/>
                <w:sz w:val="15"/>
              </w:rPr>
              <w:t>RECV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SHPG</w:t>
            </w:r>
          </w:p>
        </w:tc>
        <w:tc>
          <w:tcPr>
            <w:tcW w:type="dxa" w:w="2711"/>
          </w:tcPr>
          <w:p>
            <w:pPr>
              <w:spacing w:after="0" w:line="252" w:lineRule="auto"/>
            </w:pPr>
            <w:r>
              <w:rPr>
                <w:sz w:val="17"/>
              </w:rPr>
              <w:t>MD017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&lt;ZONE&gt;</w:t>
            </w:r>
          </w:p>
        </w:tc>
        <w:tc>
          <w:tcPr>
            <w:tcW w:type="dxa" w:w="241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Zone, z. B. </w:t>
            </w:r>
            <w:r>
              <w:rPr>
                <w:rFonts w:ascii="Consolas" w:hAnsi="Consolas" w:cs="Consolas" w:eastAsia="Consolas"/>
                <w:sz w:val="15"/>
              </w:rPr>
              <w:t>ZONEA</w:t>
            </w:r>
          </w:p>
        </w:tc>
        <w:tc>
          <w:tcPr>
            <w:tcW w:type="dxa" w:w="2711"/>
          </w:tcPr>
          <w:p>
            <w:pPr>
              <w:spacing w:after="0" w:line="252" w:lineRule="auto"/>
            </w:pPr>
            <w:r>
              <w:rPr>
                <w:sz w:val="17"/>
              </w:rPr>
              <w:t>LM061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&lt;GOODS_OWNER&gt;</w:t>
            </w:r>
          </w:p>
        </w:tc>
        <w:tc>
          <w:tcPr>
            <w:tcW w:type="dxa" w:w="2418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Wareneigentümer, z. B. </w:t>
            </w:r>
            <w:r>
              <w:rPr>
                <w:rFonts w:ascii="Consolas" w:hAnsi="Consolas" w:cs="Consolas" w:eastAsia="Consolas"/>
                <w:sz w:val="15"/>
              </w:rPr>
              <w:t>pDEFAULT</w:t>
            </w:r>
          </w:p>
        </w:tc>
        <w:tc>
          <w:tcPr>
            <w:tcW w:type="dxa" w:w="2711"/>
          </w:tcPr>
          <w:p>
            <w:pPr>
              <w:spacing w:after="0" w:line="252" w:lineRule="auto"/>
            </w:pPr>
            <w:r>
              <w:rPr>
                <w:sz w:val="17"/>
              </w:rPr>
              <w:t>MD018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&lt;PARTNER_ID_…&gt;</w:t>
            </w:r>
          </w:p>
        </w:tc>
        <w:tc>
          <w:tcPr>
            <w:tcW w:type="dxa" w:w="2418"/>
          </w:tcPr>
          <w:p>
            <w:pPr>
              <w:spacing w:after="0" w:line="252" w:lineRule="auto"/>
            </w:pPr>
            <w:r>
              <w:rPr>
                <w:sz w:val="17"/>
              </w:rPr>
              <w:t>Partner-ID</w:t>
            </w:r>
          </w:p>
        </w:tc>
        <w:tc>
          <w:tcPr>
            <w:tcW w:type="dxa" w:w="2711"/>
          </w:tcPr>
          <w:p>
            <w:pPr>
              <w:spacing w:after="0" w:line="252" w:lineRule="auto"/>
            </w:pPr>
            <w:r>
              <w:rPr>
                <w:sz w:val="17"/>
              </w:rPr>
              <w:t>MD018</w:t>
            </w:r>
          </w:p>
        </w:tc>
      </w:tr>
      <w:tr>
        <w:tc>
          <w:tcPr>
            <w:tcW w:type="dxa" w:w="439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&lt;PRIORITY&gt;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&lt;BASE_QTY_n&gt;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&lt;MAX_QTY_IN_BOX&gt;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&lt;SEQUENCE&gt;</w:t>
            </w:r>
          </w:p>
        </w:tc>
        <w:tc>
          <w:tcPr>
            <w:tcW w:type="dxa" w:w="241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Zahl ohne Anführungszeichen</w:t>
            </w:r>
          </w:p>
        </w:tc>
        <w:tc>
          <w:tcPr>
            <w:tcW w:type="dxa" w:w="2711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</w:tr>
    </w:tbl>
    <w:p>
      <w:pPr>
        <w:pStyle w:val="BeschriftungSSI"/>
      </w:pPr>
      <w:r>
        <w:t>Tab. 7: Wichtigste Platzhalter (vollständige Liste in der Feldreferenz, Blatt „Platzhalter“)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Zahlen-Platzhalter</w:t>
            </w:r>
          </w:p>
          <w:p>
            <w:pPr>
              <w:spacing w:after="40"/>
            </w:pPr>
            <w:r>
              <w:rPr>
                <w:sz w:val="19"/>
              </w:rPr>
              <w:t xml:space="preserve">Damit die Vorlagen gültiges JSON bleiben, stehen auch Zahlen-Platzhalter in Anführungszeichen, z. B. </w:t>
            </w:r>
            <w:r>
              <w:rPr>
                <w:rFonts w:ascii="Consolas" w:hAnsi="Consolas" w:cs="Consolas" w:eastAsia="Consolas"/>
                <w:sz w:val="17"/>
              </w:rPr>
              <w:t>"priority": "&lt;PRIORITY&gt;"</w:t>
            </w:r>
            <w:r>
              <w:rPr>
                <w:sz w:val="19"/>
              </w:rPr>
              <w:t xml:space="preserve">. Beim Ersetzen die Anführungszeichen entfernen: </w:t>
            </w:r>
            <w:r>
              <w:rPr>
                <w:rFonts w:ascii="Consolas" w:hAnsi="Consolas" w:cs="Consolas" w:eastAsia="Consolas"/>
                <w:sz w:val="17"/>
              </w:rPr>
              <w:t>"priority": 1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Ordner Import_Vorlagen; Feldreferenz v1.0</w:t>
      </w:r>
    </w:p>
    <w:p>
      <w:pPr>
        <w:pStyle w:val="Heading1"/>
      </w:pPr>
      <w:r>
        <w:t>5 Import Schritt für Schritt</w:t>
      </w:r>
    </w:p>
    <w:p>
      <w:pPr>
        <w:pStyle w:val="Heading2"/>
      </w:pPr>
      <w:r>
        <w:t>5.1 Voraussetzungen</w:t>
      </w:r>
    </w:p>
    <w:p>
      <w:pPr>
        <w:pStyle w:val="ListBullet"/>
      </w:pPr>
      <w:r>
        <w:t xml:space="preserve">Anmeldung im WAMAS-Admin-Client. Getestet wurde nur mit dem Benutzer </w:t>
      </w:r>
      <w:r>
        <w:rPr>
          <w:b/>
        </w:rPr>
        <w:t>root</w:t>
      </w:r>
      <w:r>
        <w:t xml:space="preserve"> (Administratorrechte), siehe Kap. 11.</w:t>
      </w:r>
    </w:p>
    <w:p>
      <w:pPr>
        <w:pStyle w:val="ListBullet"/>
      </w:pPr>
      <w:r>
        <w:t>Datei liegt lokal auf dem Rechner, auf dem der Browser läuft, und ist UTF-8-kodiert.</w:t>
      </w:r>
    </w:p>
    <w:p>
      <w:pPr>
        <w:pStyle w:val="ListBullet"/>
      </w:pPr>
      <w:r>
        <w:t>Alle referenzierten Stammdaten existieren (Checkliste Kap. 8).</w:t>
      </w:r>
    </w:p>
    <w:p>
      <w:pPr>
        <w:pStyle w:val="Heading2"/>
      </w:pPr>
      <w:r>
        <w:t>5.2 Datei in DI002/DI014 importieren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Dialog </w:t>
      </w:r>
      <w:r>
        <w:rPr>
          <w:b/>
        </w:rPr>
        <w:t>DI002 Übersicht eingehende Systempartnernachrichten</w:t>
      </w:r>
      <w:r>
        <w:t xml:space="preserve"> öffnen.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 xml:space="preserve">Mit der rechten Maustaste in die Ergebnistabelle klicken und </w:t>
      </w:r>
      <w:r>
        <w:rPr>
          <w:b/>
        </w:rPr>
        <w:t>Dateien importieren…</w:t>
      </w:r>
      <w:r>
        <w:t xml:space="preserve"> wählen. Es öffnet sich </w:t>
      </w:r>
      <w:r>
        <w:rPr>
          <w:b/>
        </w:rPr>
        <w:t>DI014 Dateien auswählen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Rechts neben </w:t>
      </w:r>
      <w:r>
        <w:rPr>
          <w:b/>
        </w:rPr>
        <w:t>Dateipfad</w:t>
      </w:r>
      <w:r>
        <w:t xml:space="preserve"> den Ordnerknopf klicken. Es öffnet sich der Upload-Dialog </w:t>
      </w:r>
      <w:r>
        <w:rPr>
          <w:b/>
        </w:rPr>
        <w:t>Dateien importieren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Add</w:t>
      </w:r>
      <w:r>
        <w:t xml:space="preserve"> klicken, die JSON-Datei auswählen und mit </w:t>
      </w:r>
      <w:r>
        <w:rPr>
          <w:b/>
        </w:rPr>
        <w:t>OK</w:t>
      </w:r>
      <w:r>
        <w:t xml:space="preserve"> bestätigen. Das Feld </w:t>
      </w:r>
      <w:r>
        <w:rPr>
          <w:b/>
        </w:rPr>
        <w:t>Dateipfad</w:t>
      </w:r>
      <w:r>
        <w:t xml:space="preserve"> zeigt danach einen Serverpfad (Upload-Ordner).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Zeichenkodierung</w:t>
      </w:r>
      <w:r>
        <w:t xml:space="preserve">: </w:t>
      </w:r>
      <w:r>
        <w:rPr>
          <w:rFonts w:ascii="Consolas" w:hAnsi="Consolas" w:cs="Consolas" w:eastAsia="Consolas"/>
          <w:sz w:val="18"/>
        </w:rPr>
        <w:t>UTF-8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Konverter</w:t>
      </w:r>
      <w:r>
        <w:t xml:space="preserve">: </w:t>
      </w:r>
      <w:r>
        <w:rPr>
          <w:rFonts w:ascii="Consolas" w:hAnsi="Consolas" w:cs="Consolas" w:eastAsia="Consolas"/>
          <w:sz w:val="18"/>
        </w:rPr>
        <w:t>JsonConverter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rPr>
          <w:b/>
        </w:rPr>
        <w:t>Systempartner</w:t>
      </w:r>
      <w:r>
        <w:t xml:space="preserve">: </w:t>
      </w:r>
      <w:r>
        <w:rPr>
          <w:rFonts w:ascii="Consolas" w:hAnsi="Consolas" w:cs="Consolas" w:eastAsia="Consolas"/>
          <w:sz w:val="18"/>
        </w:rPr>
        <w:t>HOST</w:t>
      </w:r>
      <w:r>
        <w:t xml:space="preserve"> (muss zu </w:t>
      </w:r>
      <w:r>
        <w:rPr>
          <w:rFonts w:ascii="Consolas" w:hAnsi="Consolas" w:cs="Consolas" w:eastAsia="Consolas"/>
          <w:sz w:val="18"/>
        </w:rPr>
        <w:t>HEADER_SOURCE</w:t>
      </w:r>
      <w:r>
        <w:t xml:space="preserve"> passen).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rPr>
          <w:b/>
        </w:rPr>
        <w:t>Verarbeitungspfad</w:t>
      </w:r>
      <w:r>
        <w:t xml:space="preserve"> leer lassen.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9.</w:t>
        <w:tab/>
      </w:r>
      <w:r>
        <w:rPr>
          <w:b/>
        </w:rPr>
        <w:t>Importieren</w:t>
      </w:r>
      <w:r>
        <w:t xml:space="preserve"> klicken. Bei Erfolg erscheint keine Meldung.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10.</w:t>
        <w:tab/>
      </w:r>
      <w:r>
        <w:t xml:space="preserve">In DI002 </w:t>
      </w:r>
      <w:r>
        <w:rPr>
          <w:b/>
        </w:rPr>
        <w:t>Suche</w:t>
      </w:r>
      <w:r>
        <w:t xml:space="preserve"> klicken und die neue Nachricht prüfen (Kap. 6).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375000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bb_di014_dateien_auswaehlen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375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2: DI014 Dateien auswählen mit UTF-8, JsonConverter und HOST (Testsystem, 17.10.2026)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Nicht den Pfad von Hand eintippen</w:t>
            </w:r>
          </w:p>
          <w:p>
            <w:pPr>
              <w:spacing w:after="40"/>
            </w:pPr>
            <w:r>
              <w:rPr>
                <w:sz w:val="19"/>
              </w:rPr>
              <w:t xml:space="preserve">Wird ein lokaler Pfad direkt in </w:t>
            </w:r>
            <w:r>
              <w:rPr>
                <w:b/>
                <w:sz w:val="19"/>
              </w:rPr>
              <w:t>Dateipfad</w:t>
            </w:r>
            <w:r>
              <w:rPr>
                <w:sz w:val="19"/>
              </w:rPr>
              <w:t xml:space="preserve"> eingetragen, meldet WAMAS „Dateien konnten nicht importiert werden.“ Die Datei muss immer über </w:t>
            </w:r>
            <w:r>
              <w:rPr>
                <w:b/>
                <w:sz w:val="19"/>
              </w:rPr>
              <w:t>Add</w:t>
            </w:r>
            <w:r>
              <w:rPr>
                <w:sz w:val="19"/>
              </w:rPr>
              <w:t xml:space="preserve"> hochgeladen werden.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Testlog 07:45 (InSPM 1802), 11:13 (InSPM 1807), 15:45 (InSPM 1821)</w:t>
      </w:r>
    </w:p>
    <w:p>
      <w:pPr>
        <w:pStyle w:val="Heading1"/>
      </w:pPr>
      <w:r>
        <w:t>6 Prüfung nach dem Import</w:t>
      </w:r>
    </w:p>
    <w:p>
      <w:pPr>
        <w:pStyle w:val="Heading2"/>
      </w:pPr>
      <w:r>
        <w:t>6.1 Prüfung in DI002</w:t>
      </w:r>
    </w:p>
    <w:p>
      <w:r>
        <w:t>In der Ergebnistabelle von DI002 steht pro importierter Datei eine Zeile: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77"/>
        <w:gridCol w:w="2516"/>
        <w:gridCol w:w="5032"/>
      </w:tblGrid>
      <w:tr>
        <w:trPr>
          <w:tblHeader w:val="true"/>
        </w:trPr>
        <w:tc>
          <w:tcPr>
            <w:tcW w:type="dxa" w:w="197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Spalte</w:t>
            </w:r>
          </w:p>
        </w:tc>
        <w:tc>
          <w:tcPr>
            <w:tcW w:type="dxa" w:w="251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Erwartung</w:t>
            </w:r>
          </w:p>
        </w:tc>
        <w:tc>
          <w:tcPr>
            <w:tcW w:type="dxa" w:w="503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Bedeutung</w:t>
            </w:r>
          </w:p>
        </w:tc>
      </w:tr>
      <w:tr>
        <w:tc>
          <w:tcPr>
            <w:tcW w:type="dxa" w:w="19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InSPM-ID</w:t>
            </w:r>
          </w:p>
        </w:tc>
        <w:tc>
          <w:tcPr>
            <w:tcW w:type="dxa" w:w="2516"/>
          </w:tcPr>
          <w:p>
            <w:pPr>
              <w:spacing w:after="0" w:line="252" w:lineRule="auto"/>
            </w:pPr>
            <w:r>
              <w:rPr>
                <w:sz w:val="17"/>
              </w:rPr>
              <w:t>neue, fortlaufende Nummer</w:t>
            </w:r>
          </w:p>
        </w:tc>
        <w:tc>
          <w:tcPr>
            <w:tcW w:type="dxa" w:w="5032"/>
          </w:tcPr>
          <w:p>
            <w:pPr>
              <w:spacing w:after="0" w:line="252" w:lineRule="auto"/>
            </w:pPr>
            <w:r>
              <w:rPr>
                <w:sz w:val="17"/>
              </w:rPr>
              <w:t>Nummer der eingehenden Nachricht, für Protokoll notieren</w:t>
            </w:r>
          </w:p>
        </w:tc>
      </w:tr>
      <w:tr>
        <w:tc>
          <w:tcPr>
            <w:tcW w:type="dxa" w:w="19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Konverter</w:t>
            </w:r>
          </w:p>
        </w:tc>
        <w:tc>
          <w:tcPr>
            <w:tcW w:type="dxa" w:w="251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JsonConverter</w:t>
            </w:r>
          </w:p>
        </w:tc>
        <w:tc>
          <w:tcPr>
            <w:tcW w:type="dxa" w:w="5032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19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Hauptstatus</w:t>
            </w:r>
          </w:p>
        </w:tc>
        <w:tc>
          <w:tcPr>
            <w:tcW w:type="dxa" w:w="2516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Fertiggestellt</w:t>
            </w:r>
          </w:p>
        </w:tc>
        <w:tc>
          <w:tcPr>
            <w:tcW w:type="dxa" w:w="5032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Fehler</w:t>
            </w:r>
            <w:r>
              <w:rPr>
                <w:sz w:val="17"/>
              </w:rPr>
              <w:t xml:space="preserve"> = nicht verarbeitet (Kap. 7)</w:t>
            </w:r>
          </w:p>
        </w:tc>
      </w:tr>
      <w:tr>
        <w:tc>
          <w:tcPr>
            <w:tcW w:type="dxa" w:w="19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Telegramme</w:t>
            </w:r>
          </w:p>
        </w:tc>
        <w:tc>
          <w:tcPr>
            <w:tcW w:type="dxa" w:w="251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z. B. </w:t>
            </w:r>
            <w:r>
              <w:rPr>
                <w:rFonts w:ascii="Consolas" w:hAnsi="Consolas" w:cs="Consolas" w:eastAsia="Consolas"/>
                <w:sz w:val="15"/>
              </w:rPr>
              <w:t>1 / 1</w:t>
            </w:r>
          </w:p>
        </w:tc>
        <w:tc>
          <w:tcPr>
            <w:tcW w:type="dxa" w:w="5032"/>
          </w:tcPr>
          <w:p>
            <w:pPr>
              <w:spacing w:after="0" w:line="252" w:lineRule="auto"/>
            </w:pPr>
            <w:r>
              <w:rPr>
                <w:sz w:val="17"/>
              </w:rPr>
              <w:t>verarbeitet/gesamt</w:t>
            </w:r>
          </w:p>
        </w:tc>
      </w:tr>
      <w:tr>
        <w:tc>
          <w:tcPr>
            <w:tcW w:type="dxa" w:w="19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Hauptdatensatztyp</w:t>
            </w:r>
          </w:p>
        </w:tc>
        <w:tc>
          <w:tcPr>
            <w:tcW w:type="dxa" w:w="2516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z. B. </w:t>
            </w:r>
            <w:r>
              <w:rPr>
                <w:rFonts w:ascii="Consolas" w:hAnsi="Consolas" w:cs="Consolas" w:eastAsia="Consolas"/>
                <w:sz w:val="15"/>
              </w:rPr>
              <w:t>WLSSD002</w:t>
            </w:r>
          </w:p>
        </w:tc>
        <w:tc>
          <w:tcPr>
            <w:tcW w:type="dxa" w:w="5032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muss zur Datei passen; </w:t>
            </w:r>
            <w:r>
              <w:rPr>
                <w:rFonts w:ascii="Consolas" w:hAnsi="Consolas" w:cs="Consolas" w:eastAsia="Consolas"/>
                <w:sz w:val="15"/>
              </w:rPr>
              <w:t>*</w:t>
            </w:r>
            <w:r>
              <w:rPr>
                <w:sz w:val="17"/>
              </w:rPr>
              <w:t xml:space="preserve"> = nicht erkannt</w:t>
            </w:r>
          </w:p>
        </w:tc>
      </w:tr>
      <w:tr>
        <w:tc>
          <w:tcPr>
            <w:tcW w:type="dxa" w:w="19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Dateiname</w:t>
            </w:r>
          </w:p>
        </w:tc>
        <w:tc>
          <w:tcPr>
            <w:tcW w:type="dxa" w:w="2516"/>
          </w:tcPr>
          <w:p>
            <w:pPr>
              <w:spacing w:after="0" w:line="252" w:lineRule="auto"/>
            </w:pPr>
            <w:r>
              <w:rPr>
                <w:sz w:val="17"/>
              </w:rPr>
              <w:t>Name der hochgeladenen Datei</w:t>
            </w:r>
          </w:p>
        </w:tc>
        <w:tc>
          <w:tcPr>
            <w:tcW w:type="dxa" w:w="5032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1977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Quellsystempartner</w:t>
            </w:r>
          </w:p>
        </w:tc>
        <w:tc>
          <w:tcPr>
            <w:tcW w:type="dxa" w:w="2516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HOST</w:t>
            </w:r>
          </w:p>
        </w:tc>
        <w:tc>
          <w:tcPr>
            <w:tcW w:type="dxa" w:w="5032"/>
          </w:tcPr>
          <w:p>
            <w:pPr>
              <w:spacing w:after="0" w:line="252" w:lineRule="auto"/>
            </w:pPr>
          </w:p>
        </w:tc>
      </w:tr>
    </w:tbl>
    <w:p>
      <w:pPr>
        <w:pStyle w:val="BeschriftungSSI"/>
      </w:pPr>
      <w:r>
        <w:t>Tab. 8: Kontrollspalten in DI002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400000" cy="3375000"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abb_di002_ergebnis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3375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3: DI002 mit einer fehlerhaften (InSPM 1801) und einer fertiggestellten Nachricht (InSPM 1807)</w:t>
      </w:r>
    </w:p>
    <w:p>
      <w:r>
        <w:t xml:space="preserve">Bei </w:t>
      </w:r>
      <w:r>
        <w:rPr>
          <w:b/>
        </w:rPr>
        <w:t>Fehler</w:t>
      </w:r>
      <w:r>
        <w:t xml:space="preserve"> die Zeile öffnen. Der Fehlertext steht in den Details bzw. im Meldungsfenster (FW027), z. B. „Konvertierung fehlgeschlagen. Fehler-inSPM '…' wurde angelegt“. WAMAS kann fehlerhafte Nachrichten automatisch wiederholen; dann erscheinen weitere Fehler-inSPMs mit demselben Text (live: 932–934 zu InSPM 1808).</w:t>
      </w:r>
    </w:p>
    <w:p>
      <w:pPr>
        <w:pStyle w:val="Heading2"/>
      </w:pPr>
      <w:r>
        <w:t>6.2 Prüfung in der Fachmaske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955"/>
        <w:gridCol w:w="3785"/>
        <w:gridCol w:w="3785"/>
      </w:tblGrid>
      <w:tr>
        <w:trPr>
          <w:tblHeader w:val="true"/>
        </w:trPr>
        <w:tc>
          <w:tcPr>
            <w:tcW w:type="dxa" w:w="195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Import</w:t>
            </w:r>
          </w:p>
        </w:tc>
        <w:tc>
          <w:tcPr>
            <w:tcW w:type="dxa" w:w="378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Fachmaske</w:t>
            </w:r>
          </w:p>
        </w:tc>
        <w:tc>
          <w:tcPr>
            <w:tcW w:type="dxa" w:w="378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Was prüfen</w:t>
            </w:r>
          </w:p>
        </w:tc>
      </w:tr>
      <w:tr>
        <w:tc>
          <w:tcPr>
            <w:tcW w:type="dxa" w:w="195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Artikel </w:t>
            </w:r>
            <w:r>
              <w:rPr>
                <w:rFonts w:ascii="Consolas" w:hAnsi="Consolas" w:cs="Consolas" w:eastAsia="Consolas"/>
                <w:sz w:val="15"/>
              </w:rPr>
              <w:t>WLSITEM001</w:t>
            </w:r>
          </w:p>
        </w:tc>
        <w:tc>
          <w:tcPr>
            <w:tcW w:type="dxa" w:w="378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MD001 Übersicht Artikel</w:t>
            </w:r>
            <w:r>
              <w:rPr>
                <w:sz w:val="17"/>
              </w:rPr>
              <w:t xml:space="preserve">, </w:t>
            </w:r>
            <w:r>
              <w:rPr>
                <w:b/>
                <w:sz w:val="17"/>
              </w:rPr>
              <w:t>MD002/MD089 Artikel pflegen</w:t>
            </w:r>
          </w:p>
        </w:tc>
        <w:tc>
          <w:tcPr>
            <w:tcW w:type="dxa" w:w="3785"/>
          </w:tcPr>
          <w:p>
            <w:pPr>
              <w:spacing w:after="0" w:line="252" w:lineRule="auto"/>
            </w:pPr>
            <w:r>
              <w:rPr>
                <w:sz w:val="17"/>
              </w:rPr>
              <w:t>Artikel vorhanden, Bezeichnung, Warengruppe, Basismengeneinheit, Standard-Verpackungsversion 1</w:t>
            </w:r>
          </w:p>
        </w:tc>
      </w:tr>
      <w:tr>
        <w:tc>
          <w:tcPr>
            <w:tcW w:type="dxa" w:w="195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Kubatur </w:t>
            </w:r>
            <w:r>
              <w:rPr>
                <w:rFonts w:ascii="Consolas" w:hAnsi="Consolas" w:cs="Consolas" w:eastAsia="Consolas"/>
                <w:sz w:val="15"/>
              </w:rPr>
              <w:t>WLSITEMCUBATURE001</w:t>
            </w:r>
          </w:p>
        </w:tc>
        <w:tc>
          <w:tcPr>
            <w:tcW w:type="dxa" w:w="378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LM084 Boxtyp-Zuordnung pflegen</w:t>
            </w:r>
          </w:p>
        </w:tc>
        <w:tc>
          <w:tcPr>
            <w:tcW w:type="dxa" w:w="3785"/>
          </w:tcPr>
          <w:p>
            <w:pPr>
              <w:spacing w:after="0" w:line="252" w:lineRule="auto"/>
            </w:pPr>
            <w:r>
              <w:rPr>
                <w:sz w:val="17"/>
              </w:rPr>
              <w:t>neue Zuordnung mit max. Menge; bestehende Zuordnungen bleiben erhalten</w:t>
            </w:r>
          </w:p>
        </w:tc>
      </w:tr>
      <w:tr>
        <w:tc>
          <w:tcPr>
            <w:tcW w:type="dxa" w:w="195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Einlagerauftrag </w:t>
            </w:r>
            <w:r>
              <w:rPr>
                <w:rFonts w:ascii="Consolas" w:hAnsi="Consolas" w:cs="Consolas" w:eastAsia="Consolas"/>
                <w:sz w:val="15"/>
              </w:rPr>
              <w:t>WLSSD002</w:t>
            </w:r>
          </w:p>
        </w:tc>
        <w:tc>
          <w:tcPr>
            <w:tcW w:type="dxa" w:w="378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LM080 Übersicht Einlagerbedarfe</w:t>
            </w:r>
          </w:p>
        </w:tc>
        <w:tc>
          <w:tcPr>
            <w:tcW w:type="dxa" w:w="3785"/>
          </w:tcPr>
          <w:p>
            <w:pPr>
              <w:spacing w:after="0" w:line="252" w:lineRule="auto"/>
            </w:pPr>
            <w:r>
              <w:rPr>
                <w:sz w:val="17"/>
              </w:rPr>
              <w:t>Typ, Status (Freigegeben/Reserviert), Zeilen und Mengen</w:t>
            </w:r>
          </w:p>
        </w:tc>
      </w:tr>
      <w:tr>
        <w:tc>
          <w:tcPr>
            <w:tcW w:type="dxa" w:w="195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Kommissionierauftrag </w:t>
            </w:r>
            <w:r>
              <w:rPr>
                <w:rFonts w:ascii="Consolas" w:hAnsi="Consolas" w:cs="Consolas" w:eastAsia="Consolas"/>
                <w:sz w:val="15"/>
              </w:rPr>
              <w:t>WLSPD002</w:t>
            </w:r>
          </w:p>
        </w:tc>
        <w:tc>
          <w:tcPr>
            <w:tcW w:type="dxa" w:w="3785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LM071 Übersicht Kommissionierbedarfe</w:t>
            </w:r>
          </w:p>
        </w:tc>
        <w:tc>
          <w:tcPr>
            <w:tcW w:type="dxa" w:w="3785"/>
          </w:tcPr>
          <w:p>
            <w:pPr>
              <w:spacing w:after="0" w:line="252" w:lineRule="auto"/>
            </w:pPr>
            <w:r>
              <w:rPr>
                <w:sz w:val="17"/>
              </w:rPr>
              <w:t>Typ, Status, Zeilen, reservierte Mengen</w:t>
            </w:r>
          </w:p>
        </w:tc>
      </w:tr>
      <w:tr>
        <w:tc>
          <w:tcPr>
            <w:tcW w:type="dxa" w:w="195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Partnersätze </w:t>
            </w:r>
            <w:r>
              <w:rPr>
                <w:rFonts w:ascii="Consolas" w:hAnsi="Consolas" w:cs="Consolas" w:eastAsia="Consolas"/>
                <w:sz w:val="15"/>
              </w:rPr>
              <w:t>…PARTNER001</w:t>
            </w:r>
          </w:p>
        </w:tc>
        <w:tc>
          <w:tcPr>
            <w:tcW w:type="dxa" w:w="378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Lieferschein über </w:t>
            </w:r>
            <w:r>
              <w:rPr>
                <w:b/>
                <w:sz w:val="17"/>
              </w:rPr>
              <w:t>RM018</w:t>
            </w:r>
          </w:p>
        </w:tc>
        <w:tc>
          <w:tcPr>
            <w:tcW w:type="dxa" w:w="3785"/>
          </w:tcPr>
          <w:p>
            <w:pPr>
              <w:spacing w:after="0" w:line="252" w:lineRule="auto"/>
            </w:pPr>
            <w:r>
              <w:rPr>
                <w:sz w:val="17"/>
              </w:rPr>
              <w:t>Adresse der Rolle auf dem Beleg</w:t>
            </w:r>
          </w:p>
        </w:tc>
      </w:tr>
    </w:tbl>
    <w:p>
      <w:pPr>
        <w:pStyle w:val="BeschriftungSSI"/>
      </w:pPr>
      <w:r>
        <w:t>Tab. 9: Prüfung in der Fachmaske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FEEE19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Welche Rollen auf dem Lieferschein erscheinen</w:t>
            </w:r>
          </w:p>
          <w:p>
            <w:pPr>
              <w:spacing w:after="40"/>
            </w:pPr>
            <w:r>
              <w:rPr>
                <w:sz w:val="19"/>
              </w:rPr>
              <w:t>Live gespeichert werden alle Rollen. Auf dem Einlagerungslieferschein erscheinen SUPPLIER („Supplier“) und CONTRACTEE („Empfänger“). Auf dem Kommissionierlieferschein erscheinen CONTRACTEE (Kunde) und SUPPLIER (Absender); CONSIGNEE, FINAL_CONSIGNEE, ORDERER und INVOICE_RECIPIENT erschienen nicht.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Testlog 08:03, 12:35, 14:09, 16:15–16:32</w:t>
      </w:r>
    </w:p>
    <w:p>
      <w:pPr>
        <w:pStyle w:val="Heading1"/>
      </w:pPr>
      <w:r>
        <w:t>7 Typische Fehler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3175"/>
        <w:gridCol w:w="3175"/>
        <w:gridCol w:w="3175"/>
      </w:tblGrid>
      <w:tr>
        <w:trPr>
          <w:tblHeader w:val="true"/>
        </w:trPr>
        <w:tc>
          <w:tcPr>
            <w:tcW w:type="dxa" w:w="317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Meldung / Symptom</w:t>
            </w:r>
          </w:p>
        </w:tc>
        <w:tc>
          <w:tcPr>
            <w:tcW w:type="dxa" w:w="317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Ursache</w:t>
            </w:r>
          </w:p>
        </w:tc>
        <w:tc>
          <w:tcPr>
            <w:tcW w:type="dxa" w:w="317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Abhilfe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„Name des Datensatztyp-Tags WLSITEMIMAGE001 enthält ungültige Daten.“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Satzart der Schnittstelle 2.8 im Modus ERP_2_7_0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Untersatz entfernen. Bilder über DI014-Upload + </w:t>
            </w:r>
            <w:r>
              <w:rPr>
                <w:b/>
                <w:sz w:val="17"/>
              </w:rPr>
              <w:t>LM114</w:t>
            </w:r>
            <w:r>
              <w:rPr>
                <w:sz w:val="17"/>
              </w:rPr>
              <w:t xml:space="preserve"> laden.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„Wert 'false' des Feldes 'unlimited' (Unbegrenzt) ist zu lang (Ist 5, erlaubt 1).“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Boolean als </w:t>
            </w:r>
            <w:r>
              <w:rPr>
                <w:rFonts w:ascii="Consolas" w:hAnsi="Consolas" w:cs="Consolas" w:eastAsia="Consolas"/>
                <w:sz w:val="15"/>
              </w:rPr>
              <w:t>false</w:t>
            </w:r>
            <w:r>
              <w:rPr>
                <w:sz w:val="17"/>
              </w:rPr>
              <w:t>/</w:t>
            </w:r>
            <w:r>
              <w:rPr>
                <w:rFonts w:ascii="Consolas" w:hAnsi="Consolas" w:cs="Consolas" w:eastAsia="Consolas"/>
                <w:sz w:val="15"/>
              </w:rPr>
              <w:t>true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"0"</w:t>
            </w:r>
            <w:r>
              <w:rPr>
                <w:sz w:val="17"/>
              </w:rPr>
              <w:t xml:space="preserve"> bzw. </w:t>
            </w:r>
            <w:r>
              <w:rPr>
                <w:rFonts w:ascii="Consolas" w:hAnsi="Consolas" w:cs="Consolas" w:eastAsia="Consolas"/>
                <w:sz w:val="15"/>
              </w:rPr>
              <w:t>"1"</w:t>
            </w:r>
            <w:r>
              <w:rPr>
                <w:sz w:val="17"/>
              </w:rPr>
              <w:t xml:space="preserve"> verwenden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„Hauptdatensatztyp konnte nicht bestimmt werden.“ + „Der sendende Systempartner HOST unterscheidet sich vom Systempartner , der in der Systempartnernachricht angegeben ist.“ + „Ziel-Systempartner ist nicht gültig.“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Datei ist kein Telegramm (z. B. Profil-XML) oder Kopf </w:t>
            </w:r>
            <w:r>
              <w:rPr>
                <w:rFonts w:ascii="Consolas" w:hAnsi="Consolas" w:cs="Consolas" w:eastAsia="Consolas"/>
                <w:sz w:val="15"/>
              </w:rPr>
              <w:t>header.FULL</w:t>
            </w:r>
            <w:r>
              <w:rPr>
                <w:sz w:val="17"/>
              </w:rPr>
              <w:t xml:space="preserve"> fehlt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Nur </w:t>
            </w:r>
            <w:r>
              <w:rPr>
                <w:rFonts w:ascii="Consolas" w:hAnsi="Consolas" w:cs="Consolas" w:eastAsia="Consolas"/>
                <w:sz w:val="15"/>
              </w:rPr>
              <w:t>DI_TELEGRAMS</w:t>
            </w:r>
            <w:r>
              <w:rPr>
                <w:sz w:val="17"/>
              </w:rPr>
              <w:t xml:space="preserve">-Dateien mit vollständigem Kopf importieren; </w:t>
            </w:r>
            <w:r>
              <w:rPr>
                <w:rFonts w:ascii="Consolas" w:hAnsi="Consolas" w:cs="Consolas" w:eastAsia="Consolas"/>
                <w:sz w:val="15"/>
              </w:rPr>
              <w:t>HEADER_SOURCE</w:t>
            </w:r>
            <w:r>
              <w:rPr>
                <w:sz w:val="17"/>
              </w:rPr>
              <w:t xml:space="preserve"> = gewählter Systempartner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„Dateien konnten nicht importiert werden.“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Pfad von Hand eingetragen statt hochgeladen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Datei über </w:t>
            </w:r>
            <w:r>
              <w:rPr>
                <w:b/>
                <w:sz w:val="17"/>
              </w:rPr>
              <w:t>Add</w:t>
            </w:r>
            <w:r>
              <w:rPr>
                <w:sz w:val="17"/>
              </w:rPr>
              <w:t xml:space="preserve"> hochladen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Excel-Import LM163: „Cannot invoke java.lang.reflect.Field.get(Object) because field is null“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Mapping-Profil enthält ein Feld, das es im Datenmodell nicht gibt (Vermutung)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JSON-Weg dieser Anleitung nutzen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Kubatur importiert, alte Zuordnung bleibt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Telegramm ergänzt, ersetzt nicht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Nicht mehr gewünschte Zuordnung in </w:t>
            </w:r>
            <w:r>
              <w:rPr>
                <w:b/>
                <w:sz w:val="17"/>
              </w:rPr>
              <w:t>LM084</w:t>
            </w:r>
            <w:r>
              <w:rPr>
                <w:sz w:val="17"/>
              </w:rPr>
              <w:t xml:space="preserve"> löschen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Auftrag wird auf falschem LOGIMAT reserviert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Artikel hat mehrere Boxtyp-Zuordnungen; die mit Vorrang liegt in einem anderen Gerät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Vor dem Import Boxtyp-Zuordnungen in LM084 bereinigen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Satzart </w:t>
            </w:r>
            <w:r>
              <w:rPr>
                <w:rFonts w:ascii="Consolas" w:hAnsi="Consolas" w:cs="Consolas" w:eastAsia="Consolas"/>
                <w:sz w:val="15"/>
              </w:rPr>
              <w:t>…003</w:t>
            </w:r>
            <w:r>
              <w:rPr>
                <w:sz w:val="17"/>
              </w:rPr>
              <w:t xml:space="preserve"> / </w:t>
            </w:r>
            <w:r>
              <w:rPr>
                <w:rFonts w:ascii="Consolas" w:hAnsi="Consolas" w:cs="Consolas" w:eastAsia="Consolas"/>
                <w:sz w:val="15"/>
              </w:rPr>
              <w:t>WLSITEMCUBATURE002</w:t>
            </w:r>
            <w:r>
              <w:rPr>
                <w:sz w:val="17"/>
              </w:rPr>
              <w:t xml:space="preserve"> abgelehnt (erwartet)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2.8-Satzart im Modus 2.7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WLSSD002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WLSPD002</w:t>
            </w:r>
            <w:r>
              <w:rPr>
                <w:sz w:val="17"/>
              </w:rPr>
              <w:t xml:space="preserve">, </w:t>
            </w:r>
            <w:r>
              <w:rPr>
                <w:rFonts w:ascii="Consolas" w:hAnsi="Consolas" w:cs="Consolas" w:eastAsia="Consolas"/>
                <w:sz w:val="15"/>
              </w:rPr>
              <w:t>WLSITEMCUBATURE001</w:t>
            </w:r>
            <w:r>
              <w:rPr>
                <w:sz w:val="17"/>
              </w:rPr>
              <w:t xml:space="preserve"> verwenden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 xml:space="preserve">Fehler bei </w:t>
            </w:r>
            <w:r>
              <w:rPr>
                <w:rFonts w:ascii="Consolas" w:hAnsi="Consolas" w:cs="Consolas" w:eastAsia="Consolas"/>
                <w:sz w:val="15"/>
              </w:rPr>
              <w:t>langId</w:t>
            </w:r>
            <w:r>
              <w:rPr>
                <w:sz w:val="17"/>
              </w:rPr>
              <w:t xml:space="preserve"> </w:t>
            </w:r>
            <w:r>
              <w:rPr>
                <w:rFonts w:ascii="Consolas" w:hAnsi="Consolas" w:cs="Consolas" w:eastAsia="Consolas"/>
                <w:sz w:val="15"/>
              </w:rPr>
              <w:t>de</w:t>
            </w:r>
            <w:r>
              <w:rPr>
                <w:sz w:val="17"/>
              </w:rPr>
              <w:t xml:space="preserve"> oder </w:t>
            </w:r>
            <w:r>
              <w:rPr>
                <w:rFonts w:ascii="Consolas" w:hAnsi="Consolas" w:cs="Consolas" w:eastAsia="Consolas"/>
                <w:sz w:val="15"/>
              </w:rPr>
              <w:t>deu</w:t>
            </w:r>
            <w:r>
              <w:rPr>
                <w:sz w:val="17"/>
              </w:rPr>
              <w:t xml:space="preserve"> (erwartet)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Sprache nicht ISO 639-2/B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rFonts w:ascii="Consolas" w:hAnsi="Consolas" w:cs="Consolas" w:eastAsia="Consolas"/>
                <w:sz w:val="15"/>
              </w:rPr>
              <w:t>ger</w:t>
            </w:r>
            <w:r>
              <w:rPr>
                <w:sz w:val="17"/>
              </w:rPr>
              <w:t xml:space="preserve"> verwenden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Fehler bei Mengeneinheit, Warengruppe, Bedarfstyp, Partner, Kubatur (erwartet)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Wert existiert nicht in den Stammdaten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vorher in MD017, MD018, MD031 anlegen</w:t>
            </w:r>
          </w:p>
        </w:tc>
      </w:tr>
      <w:tr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Zwei gleiche Nachrichten in DI002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Datei doppelt hochgeladen</w:t>
            </w:r>
          </w:p>
        </w:tc>
        <w:tc>
          <w:tcPr>
            <w:tcW w:type="dxa" w:w="3175"/>
          </w:tcPr>
          <w:p>
            <w:pPr>
              <w:spacing w:after="0" w:line="252" w:lineRule="auto"/>
            </w:pPr>
            <w:r>
              <w:rPr>
                <w:sz w:val="17"/>
              </w:rPr>
              <w:t>DI002 nach jedem Import prüfen, nicht erneut hochladen</w:t>
            </w:r>
          </w:p>
        </w:tc>
      </w:tr>
    </w:tbl>
    <w:p>
      <w:pPr>
        <w:pStyle w:val="BeschriftungSSI"/>
      </w:pPr>
      <w:r>
        <w:t>Tab. 10: Fehler, Ursache und Abhilfe („erwartet“ = aus Handbuch abgeleitet, nicht live provoziert)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Testlog InSPM 1801, 1808, 1810, 1811, 1821–1823; Hauri-Import Stufe 1; Testlog 08:46</w:t>
      </w:r>
    </w:p>
    <w:p>
      <w:pPr>
        <w:pStyle w:val="Heading1"/>
      </w:pPr>
      <w:r>
        <w:t>8 Checkliste vor dem Import</w:t>
      </w:r>
    </w:p>
    <w:p>
      <w:pPr>
        <w:pStyle w:val="ListBullet"/>
      </w:pPr>
      <w:r>
        <w:t>☐ Schnittstellenmodus geprüft (</w:t>
      </w:r>
      <w:r>
        <w:rPr>
          <w:rFonts w:ascii="Consolas" w:hAnsi="Consolas" w:cs="Consolas" w:eastAsia="Consolas"/>
          <w:sz w:val="18"/>
        </w:rPr>
        <w:t>logimat.interfaceMode</w:t>
      </w:r>
      <w:r>
        <w:t>). Bei ERP_2_7_0 nur Satzarten 2.7 verwenden.</w:t>
      </w:r>
    </w:p>
    <w:p>
      <w:pPr>
        <w:pStyle w:val="ListBullet"/>
      </w:pPr>
      <w:r>
        <w:t>☐ Datei ist UTF-8 und gültiges JSON (z. B. mit einem JSON-Validator geprüft).</w:t>
      </w:r>
    </w:p>
    <w:p>
      <w:pPr>
        <w:pStyle w:val="ListBullet"/>
      </w:pPr>
      <w:r>
        <w:t xml:space="preserve">☐ Alle Platzhalter </w:t>
      </w:r>
      <w:r>
        <w:rPr>
          <w:rFonts w:ascii="Consolas" w:hAnsi="Consolas" w:cs="Consolas" w:eastAsia="Consolas"/>
          <w:sz w:val="18"/>
        </w:rPr>
        <w:t>&lt;…&gt;</w:t>
      </w:r>
      <w:r>
        <w:t xml:space="preserve"> ersetzt; Zahlen ohne Anführungszeichen.</w:t>
      </w:r>
    </w:p>
    <w:p>
      <w:pPr>
        <w:pStyle w:val="ListBullet"/>
      </w:pPr>
      <w:r>
        <w:t xml:space="preserve">☐ </w:t>
      </w:r>
      <w:r>
        <w:rPr>
          <w:rFonts w:ascii="Consolas" w:hAnsi="Consolas" w:cs="Consolas" w:eastAsia="Consolas"/>
          <w:sz w:val="18"/>
        </w:rPr>
        <w:t>HEADER_RECORDTYPENAME</w:t>
      </w:r>
      <w:r>
        <w:t xml:space="preserve"> passt zum Hauptsatz im </w:t>
      </w:r>
      <w:r>
        <w:rPr>
          <w:rFonts w:ascii="Consolas" w:hAnsi="Consolas" w:cs="Consolas" w:eastAsia="Consolas"/>
          <w:sz w:val="18"/>
        </w:rPr>
        <w:t>body</w:t>
      </w:r>
      <w:r>
        <w:t>.</w:t>
      </w:r>
    </w:p>
    <w:p>
      <w:pPr>
        <w:pStyle w:val="ListBullet"/>
      </w:pPr>
      <w:r>
        <w:t xml:space="preserve">☐ </w:t>
      </w:r>
      <w:r>
        <w:rPr>
          <w:rFonts w:ascii="Consolas" w:hAnsi="Consolas" w:cs="Consolas" w:eastAsia="Consolas"/>
          <w:sz w:val="18"/>
        </w:rPr>
        <w:t>HEADER_SOURCE</w:t>
      </w:r>
      <w:r>
        <w:t xml:space="preserve"> = Systempartner, der in DI014 gewählt wird (</w:t>
      </w:r>
      <w:r>
        <w:rPr>
          <w:rFonts w:ascii="Consolas" w:hAnsi="Consolas" w:cs="Consolas" w:eastAsia="Consolas"/>
          <w:sz w:val="18"/>
        </w:rPr>
        <w:t>HOST</w:t>
      </w:r>
      <w:r>
        <w:t>).</w:t>
      </w:r>
    </w:p>
    <w:p>
      <w:pPr>
        <w:pStyle w:val="ListBullet"/>
      </w:pPr>
      <w:r>
        <w:t>☐ Klient, Mengeneinheiten, Warengruppen und Bedarfstypen existieren (MD017).</w:t>
      </w:r>
    </w:p>
    <w:p>
      <w:pPr>
        <w:pStyle w:val="ListBullet"/>
      </w:pPr>
      <w:r>
        <w:t>☐ Partner der Partnersätze existieren (MD018).</w:t>
      </w:r>
    </w:p>
    <w:p>
      <w:pPr>
        <w:pStyle w:val="ListBullet"/>
      </w:pPr>
      <w:r>
        <w:t>☐ Kubaturen/Boxtypen existieren (MD031/LM078); bestehende Zuordnungen in LM084 geprüft.</w:t>
      </w:r>
    </w:p>
    <w:p>
      <w:pPr>
        <w:pStyle w:val="ListBullet"/>
      </w:pPr>
      <w:r>
        <w:t>☐ Artikel der Auftragszeilen existieren (MD001).</w:t>
      </w:r>
    </w:p>
    <w:p>
      <w:pPr>
        <w:pStyle w:val="ListBullet"/>
      </w:pPr>
      <w:r>
        <w:t xml:space="preserve">☐ </w:t>
      </w:r>
      <w:r>
        <w:rPr>
          <w:rFonts w:ascii="Consolas" w:hAnsi="Consolas" w:cs="Consolas" w:eastAsia="Consolas"/>
          <w:sz w:val="18"/>
        </w:rPr>
        <w:t>demandNo</w:t>
      </w:r>
      <w:r>
        <w:t xml:space="preserve"> ist neu und höchstens 20 Zeichen lang.</w:t>
      </w:r>
    </w:p>
    <w:p>
      <w:pPr>
        <w:pStyle w:val="ListBullet"/>
      </w:pPr>
      <w:r>
        <w:t xml:space="preserve">☐ </w:t>
      </w:r>
      <w:r>
        <w:rPr>
          <w:rFonts w:ascii="Consolas" w:hAnsi="Consolas" w:cs="Consolas" w:eastAsia="Consolas"/>
          <w:sz w:val="18"/>
        </w:rPr>
        <w:t>variant</w:t>
      </w:r>
      <w:r>
        <w:t xml:space="preserve"> = </w:t>
      </w:r>
      <w:r>
        <w:rPr>
          <w:rFonts w:ascii="Consolas" w:hAnsi="Consolas" w:cs="Consolas" w:eastAsia="Consolas"/>
          <w:sz w:val="18"/>
        </w:rPr>
        <w:t>00000</w:t>
      </w:r>
      <w:r>
        <w:t xml:space="preserve">, </w:t>
      </w:r>
      <w:r>
        <w:rPr>
          <w:rFonts w:ascii="Consolas" w:hAnsi="Consolas" w:cs="Consolas" w:eastAsia="Consolas"/>
          <w:sz w:val="18"/>
        </w:rPr>
        <w:t>langId</w:t>
      </w:r>
      <w:r>
        <w:t xml:space="preserve"> = </w:t>
      </w:r>
      <w:r>
        <w:rPr>
          <w:rFonts w:ascii="Consolas" w:hAnsi="Consolas" w:cs="Consolas" w:eastAsia="Consolas"/>
          <w:sz w:val="18"/>
        </w:rPr>
        <w:t>ger</w:t>
      </w:r>
      <w:r>
        <w:t xml:space="preserve">, Boolean als </w:t>
      </w:r>
      <w:r>
        <w:rPr>
          <w:rFonts w:ascii="Consolas" w:hAnsi="Consolas" w:cs="Consolas" w:eastAsia="Consolas"/>
          <w:sz w:val="18"/>
        </w:rPr>
        <w:t>"0"</w:t>
      </w:r>
      <w:r>
        <w:t>/</w:t>
      </w:r>
      <w:r>
        <w:rPr>
          <w:rFonts w:ascii="Consolas" w:hAnsi="Consolas" w:cs="Consolas" w:eastAsia="Consolas"/>
          <w:sz w:val="18"/>
        </w:rPr>
        <w:t>"1"</w:t>
      </w:r>
      <w:r>
        <w:t>.</w:t>
      </w:r>
    </w:p>
    <w:p>
      <w:pPr>
        <w:pStyle w:val="ListBullet"/>
      </w:pPr>
      <w:r>
        <w:t>☐ Bei vielen Datensätzen zuerst eine Testdatei mit 1 Datensatz importieren.</w:t>
      </w:r>
    </w:p>
    <w:p>
      <w:pPr>
        <w:pStyle w:val="ListBullet"/>
      </w:pPr>
      <w:r>
        <w:t>☐ Bei Bestand (</w:t>
      </w:r>
      <w:r>
        <w:rPr>
          <w:rFonts w:ascii="Consolas" w:hAnsi="Consolas" w:cs="Consolas" w:eastAsia="Consolas"/>
          <w:sz w:val="18"/>
        </w:rPr>
        <w:t>WLSSTOCKIMPORT001</w:t>
      </w:r>
      <w:r>
        <w:t>) oder Klient (</w:t>
      </w:r>
      <w:r>
        <w:rPr>
          <w:rFonts w:ascii="Consolas" w:hAnsi="Consolas" w:cs="Consolas" w:eastAsia="Consolas"/>
          <w:sz w:val="18"/>
        </w:rPr>
        <w:t>WLSCLIENT001</w:t>
      </w:r>
      <w:r>
        <w:t>): Freigabe der Projektleitung liegt vor.</w:t>
      </w:r>
    </w:p>
    <w:p>
      <w:pPr>
        <w:pStyle w:val="ListBullet"/>
      </w:pPr>
      <w:r>
        <w:t>☐ InSPM-Nummer und Dateiname werden protokolliert.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Kap. 2–7</w:t>
      </w:r>
    </w:p>
    <w:p>
      <w:pPr>
        <w:pStyle w:val="Heading1"/>
      </w:pPr>
      <w:r>
        <w:t>9 Stolperfallen</w:t>
      </w:r>
    </w:p>
    <w:p>
      <w:pPr>
        <w:pStyle w:val="ListBullet"/>
      </w:pPr>
      <w:r>
        <w:rPr>
          <w:b/>
        </w:rPr>
        <w:t>Aufträge lassen sich schlecht zurücknehmen.</w:t>
      </w:r>
      <w:r>
        <w:t xml:space="preserve"> Ein importierter Einlagerbedarf liess sich in LM080 („Abschließen…“) und LM081 („Datensatz löschen“) nicht wirksam stornieren. Erst nach dem Stornieren der Tablaranforderung in </w:t>
      </w:r>
      <w:r>
        <w:rPr>
          <w:b/>
        </w:rPr>
        <w:t>LM062</w:t>
      </w:r>
      <w:r>
        <w:t xml:space="preserve"> war das Aufräumen möglich. Darum zuerst mit einem Datensatz testen.</w:t>
      </w:r>
    </w:p>
    <w:p>
      <w:pPr>
        <w:pStyle w:val="ListBullet"/>
      </w:pPr>
      <w:r>
        <w:rPr>
          <w:b/>
        </w:rPr>
        <w:t>Kubatur ergänzt.</w:t>
      </w:r>
      <w:r>
        <w:t xml:space="preserve"> Ein zweiter Kubatur-Import für denselben Artikel fügt eine Zuordnung hinzu.</w:t>
      </w:r>
    </w:p>
    <w:p>
      <w:pPr>
        <w:pStyle w:val="ListBullet"/>
      </w:pPr>
      <w:r>
        <w:rPr>
          <w:b/>
        </w:rPr>
        <w:t>Artikel-Update überschreibt.</w:t>
      </w:r>
      <w:r>
        <w:t xml:space="preserve"> Ein erneuter </w:t>
      </w:r>
      <w:r>
        <w:rPr>
          <w:rFonts w:ascii="Consolas" w:hAnsi="Consolas" w:cs="Consolas" w:eastAsia="Consolas"/>
          <w:sz w:val="18"/>
        </w:rPr>
        <w:t>WLSITEM001</w:t>
      </w:r>
      <w:r>
        <w:t xml:space="preserve"> für einen vorhandenen Artikel ändert Warengruppe und Bezeichnung auf die Werte der Datei.</w:t>
      </w:r>
    </w:p>
    <w:p>
      <w:pPr>
        <w:pStyle w:val="ListBullet"/>
      </w:pPr>
      <w:r>
        <w:rPr>
          <w:b/>
        </w:rPr>
        <w:t>Mengeneinheiten aus dem ERP</w:t>
      </w:r>
      <w:r>
        <w:t xml:space="preserve"> (z. B. STK, PAAR, M, GAR) existieren oft nicht in WAMAS. Vorher auf vorhandene Einheiten abbilden oder in MD017 anlegen.</w:t>
      </w:r>
    </w:p>
    <w:p>
      <w:pPr>
        <w:pStyle w:val="ListBullet"/>
      </w:pPr>
      <w:r>
        <w:rPr>
          <w:b/>
        </w:rPr>
        <w:t>Bilder</w:t>
      </w:r>
      <w:r>
        <w:t xml:space="preserve"> gehen im Modus 2.7 nicht per Telegramm.</w:t>
      </w:r>
    </w:p>
    <w:p>
      <w:pPr>
        <w:pStyle w:val="ListBullet"/>
      </w:pPr>
      <w:r>
        <w:rPr>
          <w:b/>
        </w:rPr>
        <w:t>Rückmeldungen an den Host</w:t>
      </w:r>
      <w:r>
        <w:t xml:space="preserve"> (z. B. </w:t>
      </w:r>
      <w:r>
        <w:rPr>
          <w:rFonts w:ascii="Consolas" w:hAnsi="Consolas" w:cs="Consolas" w:eastAsia="Consolas"/>
          <w:sz w:val="18"/>
        </w:rPr>
        <w:t>WLSPDACK002</w:t>
      </w:r>
      <w:r>
        <w:t>) können ohne ERP-Anbindung als Fehler im Ausgang erscheinen. Nicht erneut senden.</w:t>
      </w:r>
    </w:p>
    <w:p>
      <w:pPr>
        <w:pStyle w:val="ListBullet"/>
      </w:pPr>
      <w:r>
        <w:rPr>
          <w:b/>
        </w:rPr>
        <w:t>Datei doppelt hochgeladen</w:t>
      </w:r>
      <w:r>
        <w:t>: DI002 zeigt zwei Nachrichten. Jede Datei nur einmal importieren.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Testlog 08:54–09:50, 12:35, 14:09, 15:58; Hauri-Material (Einheiten-Mapping)</w:t>
      </w:r>
    </w:p>
    <w:p>
      <w:pPr>
        <w:pStyle w:val="Heading1"/>
      </w:pPr>
      <w:r>
        <w:t>10 Praxisbeispiele</w:t>
      </w:r>
    </w:p>
    <w:p>
      <w:pPr>
        <w:pStyle w:val="Heading2"/>
      </w:pPr>
      <w:r>
        <w:t>10.1 Artikelstamm aus einer ERP-Liste</w:t>
      </w:r>
    </w:p>
    <w:p>
      <w:r>
        <w:t>Ausgangslage: Ein Kunde liefert seinen Materialstamm als Excel-Liste (mehrere tausend Artikel). Vorgehen: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Spalten auf </w:t>
      </w:r>
      <w:r>
        <w:rPr>
          <w:rFonts w:ascii="Consolas" w:hAnsi="Consolas" w:cs="Consolas" w:eastAsia="Consolas"/>
          <w:sz w:val="18"/>
        </w:rPr>
        <w:t>itemNo</w:t>
      </w:r>
      <w:r>
        <w:t xml:space="preserve">, </w:t>
      </w:r>
      <w:r>
        <w:rPr>
          <w:rFonts w:ascii="Consolas" w:hAnsi="Consolas" w:cs="Consolas" w:eastAsia="Consolas"/>
          <w:sz w:val="18"/>
        </w:rPr>
        <w:t>description</w:t>
      </w:r>
      <w:r>
        <w:t xml:space="preserve">, </w:t>
      </w:r>
      <w:r>
        <w:rPr>
          <w:rFonts w:ascii="Consolas" w:hAnsi="Consolas" w:cs="Consolas" w:eastAsia="Consolas"/>
          <w:sz w:val="18"/>
        </w:rPr>
        <w:t>description2</w:t>
      </w:r>
      <w:r>
        <w:t xml:space="preserve">, </w:t>
      </w:r>
      <w:r>
        <w:rPr>
          <w:rFonts w:ascii="Consolas" w:hAnsi="Consolas" w:cs="Consolas" w:eastAsia="Consolas"/>
          <w:sz w:val="18"/>
        </w:rPr>
        <w:t>baseQtyUnit</w:t>
      </w:r>
      <w:r>
        <w:t xml:space="preserve"> abbilden. Einheiten auf in MD017 vorhandene Einheiten abbilden.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Eine Warengruppe festlegen (z. B. eine einzige Warengruppe für alle Artikel) und in MD017 anlegen.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 xml:space="preserve">Pro Artikel ein </w:t>
      </w:r>
      <w:r>
        <w:rPr>
          <w:rFonts w:ascii="Consolas" w:hAnsi="Consolas" w:cs="Consolas" w:eastAsia="Consolas"/>
          <w:sz w:val="18"/>
        </w:rPr>
        <w:t>DI_TELEGRAM</w:t>
      </w:r>
      <w:r>
        <w:t xml:space="preserve"> aus </w:t>
      </w:r>
      <w:r>
        <w:rPr>
          <w:rFonts w:ascii="Consolas" w:hAnsi="Consolas" w:cs="Consolas" w:eastAsia="Consolas"/>
          <w:sz w:val="18"/>
        </w:rPr>
        <w:t>WLSITEM001_Artikel.json</w:t>
      </w:r>
      <w:r>
        <w:t xml:space="preserve"> erzeugen; </w:t>
      </w:r>
      <w:r>
        <w:rPr>
          <w:rFonts w:ascii="Consolas" w:hAnsi="Consolas" w:cs="Consolas" w:eastAsia="Consolas"/>
          <w:sz w:val="18"/>
        </w:rPr>
        <w:t>langId</w:t>
      </w:r>
      <w:r>
        <w:t xml:space="preserve"> = </w:t>
      </w:r>
      <w:r>
        <w:rPr>
          <w:rFonts w:ascii="Consolas" w:hAnsi="Consolas" w:cs="Consolas" w:eastAsia="Consolas"/>
          <w:sz w:val="18"/>
        </w:rPr>
        <w:t>ger</w:t>
      </w:r>
      <w:r>
        <w:t>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Zuerst eine Datei mit 1 bis 10 Artikeln importieren und in MD001 prüfen. Dann den Rest in Teildateien importieren.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Aliase/EAN (</w:t>
      </w:r>
      <w:r>
        <w:rPr>
          <w:rFonts w:ascii="Consolas" w:hAnsi="Consolas" w:cs="Consolas" w:eastAsia="Consolas"/>
          <w:sz w:val="18"/>
        </w:rPr>
        <w:t>WLSITEMALIAS001</w:t>
      </w:r>
      <w:r>
        <w:t>) erst nach einem eigenen Test aufnehmen (nicht live getestet).</w:t>
      </w:r>
    </w:p>
    <w:p>
      <w:pPr>
        <w:pStyle w:val="Heading2"/>
      </w:pPr>
      <w:r>
        <w:t>10.2 Einlager- und Kommissionierauftrag mit Adressen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 xml:space="preserve">Lieferant und Kunde in </w:t>
      </w:r>
      <w:r>
        <w:rPr>
          <w:b/>
        </w:rPr>
        <w:t>MD018</w:t>
      </w:r>
      <w:r>
        <w:t xml:space="preserve"> anlegen.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rFonts w:ascii="Consolas" w:hAnsi="Consolas" w:cs="Consolas" w:eastAsia="Consolas"/>
          <w:sz w:val="18"/>
        </w:rPr>
        <w:t>WLSSD002_Einlagerauftrag_mit_Partner.json</w:t>
      </w:r>
      <w:r>
        <w:t xml:space="preserve"> mit SUPPLIER = Lieferant füllen, importieren, in LM080 prüfen, am LOGIMAT einlagern.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rFonts w:ascii="Consolas" w:hAnsi="Consolas" w:cs="Consolas" w:eastAsia="Consolas"/>
          <w:sz w:val="18"/>
        </w:rPr>
        <w:t>WLSPD002_Kommissionierauftrag_mit_Partner.json</w:t>
      </w:r>
      <w:r>
        <w:t xml:space="preserve"> mit CONTRACTEE = Kunde und SUPPLIER = Absender füllen, importieren, in LM071 prüfen, kommissionieren.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 xml:space="preserve">Lieferscheine in </w:t>
      </w:r>
      <w:r>
        <w:rPr>
          <w:b/>
        </w:rPr>
        <w:t>RM018</w:t>
      </w:r>
      <w:r>
        <w:t xml:space="preserve"> öffnen und die Adressen prüfen.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Testlog 15:58–16:32 (InSPM 1822–1826)</w:t>
      </w:r>
    </w:p>
    <w:p>
      <w:pPr>
        <w:pStyle w:val="Heading1"/>
      </w:pPr>
      <w:r>
        <w:t>11 Offene Punkte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Minimales Benutzerrecht</w:t>
            </w:r>
          </w:p>
          <w:p>
            <w:pPr>
              <w:spacing w:after="40"/>
            </w:pPr>
            <w:r>
              <w:rPr>
                <w:sz w:val="19"/>
              </w:rPr>
              <w:t xml:space="preserve">Alle Importe wurden nur als </w:t>
            </w:r>
            <w:r>
              <w:rPr>
                <w:b/>
                <w:sz w:val="19"/>
              </w:rPr>
              <w:t>root</w:t>
            </w:r>
            <w:r>
              <w:rPr>
                <w:sz w:val="19"/>
              </w:rPr>
              <w:t xml:space="preserve"> ausgeführt. Welches Recht (Dialogzugriff DI002/DI014, Rolle) ein Kundenbenutzer mindestens braucht, ist nicht verifiziert.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REST-Weg über MD021</w:t>
            </w:r>
          </w:p>
          <w:p>
            <w:pPr>
              <w:spacing w:after="40"/>
            </w:pPr>
            <w:r>
              <w:rPr>
                <w:sz w:val="19"/>
              </w:rPr>
              <w:t xml:space="preserve">Auf dem Testsystem ist ein REST-Empfänger für den Systempartner HOST eingerichtet (MD021, Basic-Authentifizierung). Ein Import über </w:t>
            </w:r>
            <w:r>
              <w:rPr>
                <w:rFonts w:ascii="Consolas" w:hAnsi="Consolas" w:cs="Consolas" w:eastAsia="Consolas"/>
                <w:sz w:val="17"/>
              </w:rPr>
              <w:t>POST /di-api/v3/{partner}/messages</w:t>
            </w:r>
            <w:r>
              <w:rPr>
                <w:sz w:val="19"/>
              </w:rPr>
              <w:t xml:space="preserve"> mit denselben Telegrammen wurde </w:t>
            </w:r>
            <w:r>
              <w:rPr>
                <w:b/>
                <w:sz w:val="19"/>
              </w:rPr>
              <w:t>nicht getestet</w:t>
            </w:r>
            <w:r>
              <w:rPr>
                <w:sz w:val="19"/>
              </w:rPr>
              <w:t>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Excel-Profil LM161/LM163</w:t>
            </w:r>
          </w:p>
          <w:p>
            <w:pPr>
              <w:spacing w:after="40"/>
            </w:pPr>
            <w:r>
              <w:rPr>
                <w:sz w:val="19"/>
              </w:rPr>
              <w:t>Der Excel-Import mit Mapping-Profil brach mit „Cannot invoke java.lang.reflect.Field.get(Object) because field is null“ ab. In LM161 liess sich bei einer Neuanlage das Datenfeld nicht auswählen. Ursache offen.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SE030 Import Data</w:t>
            </w:r>
          </w:p>
          <w:p>
            <w:pPr>
              <w:spacing w:after="40"/>
            </w:pPr>
            <w:r>
              <w:rPr>
                <w:sz w:val="19"/>
              </w:rPr>
              <w:t>Generischer Tabellenimport, vom Berechtigungsprofil (Reiter „Import“) abhängig. Freigegebene Tabellen und Dateiformat sind unbekannt. Möglicher Weg für Benutzer oder Partner, nicht geprüft.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Nicht live getestete Satzarten</w:t>
            </w:r>
          </w:p>
          <w:p>
            <w:pPr>
              <w:spacing w:after="40"/>
            </w:pPr>
            <w:r>
              <w:rPr>
                <w:rFonts w:ascii="Consolas" w:hAnsi="Consolas" w:cs="Consolas" w:eastAsia="Consolas"/>
                <w:sz w:val="17"/>
              </w:rPr>
              <w:t>WLSITEMALIAS001</w:t>
            </w:r>
            <w:r>
              <w:rPr>
                <w:sz w:val="19"/>
              </w:rPr>
              <w:t xml:space="preserve"> (muss bei GTIN eine Mengeneinheit gepflegt sein?), </w:t>
            </w:r>
            <w:r>
              <w:rPr>
                <w:rFonts w:ascii="Consolas" w:hAnsi="Consolas" w:cs="Consolas" w:eastAsia="Consolas"/>
                <w:sz w:val="17"/>
              </w:rPr>
              <w:t>WLSPKV001</w:t>
            </w:r>
            <w:r>
              <w:rPr>
                <w:sz w:val="19"/>
              </w:rPr>
              <w:t>/</w:t>
            </w:r>
            <w:r>
              <w:rPr>
                <w:rFonts w:ascii="Consolas" w:hAnsi="Consolas" w:cs="Consolas" w:eastAsia="Consolas"/>
                <w:sz w:val="17"/>
              </w:rPr>
              <w:t>WLSQTYUNIT001</w:t>
            </w:r>
            <w:r>
              <w:rPr>
                <w:sz w:val="19"/>
              </w:rPr>
              <w:t xml:space="preserve"> (werden Masse übernommen?), </w:t>
            </w:r>
            <w:r>
              <w:rPr>
                <w:rFonts w:ascii="Consolas" w:hAnsi="Consolas" w:cs="Consolas" w:eastAsia="Consolas"/>
                <w:sz w:val="17"/>
              </w:rPr>
              <w:t>WLSCLIENT001</w:t>
            </w:r>
            <w:r>
              <w:rPr>
                <w:sz w:val="19"/>
              </w:rPr>
              <w:t xml:space="preserve">, </w:t>
            </w:r>
            <w:r>
              <w:rPr>
                <w:rFonts w:ascii="Consolas" w:hAnsi="Consolas" w:cs="Consolas" w:eastAsia="Consolas"/>
                <w:sz w:val="17"/>
              </w:rPr>
              <w:t>WLSSTOCKIMPORT001</w:t>
            </w:r>
            <w:r>
              <w:rPr>
                <w:sz w:val="19"/>
              </w:rPr>
              <w:t xml:space="preserve"> (</w:t>
            </w:r>
            <w:r>
              <w:rPr>
                <w:rFonts w:ascii="Consolas" w:hAnsi="Consolas" w:cs="Consolas" w:eastAsia="Consolas"/>
                <w:sz w:val="17"/>
              </w:rPr>
              <w:t>recordState</w:t>
            </w:r>
            <w:r>
              <w:rPr>
                <w:sz w:val="19"/>
              </w:rPr>
              <w:t xml:space="preserve"> </w:t>
            </w:r>
            <w:r>
              <w:rPr>
                <w:rFonts w:ascii="Consolas" w:hAnsi="Consolas" w:cs="Consolas" w:eastAsia="Consolas"/>
                <w:sz w:val="17"/>
              </w:rPr>
              <w:t>ADD</w:t>
            </w:r>
            <w:r>
              <w:rPr>
                <w:sz w:val="19"/>
              </w:rPr>
              <w:t xml:space="preserve"> laut SSI-Beispiel oder </w:t>
            </w:r>
            <w:r>
              <w:rPr>
                <w:rFonts w:ascii="Consolas" w:hAnsi="Consolas" w:cs="Consolas" w:eastAsia="Consolas"/>
                <w:sz w:val="17"/>
              </w:rPr>
              <w:t>CREATE</w:t>
            </w:r>
            <w:r>
              <w:rPr>
                <w:sz w:val="19"/>
              </w:rPr>
              <w:t xml:space="preserve"> laut Handbuch; neue oder vorhandene LE?), </w:t>
            </w:r>
            <w:r>
              <w:rPr>
                <w:rFonts w:ascii="Consolas" w:hAnsi="Consolas" w:cs="Consolas" w:eastAsia="Consolas"/>
                <w:sz w:val="17"/>
              </w:rPr>
              <w:t>WLSINVD002</w:t>
            </w:r>
            <w:r>
              <w:rPr>
                <w:sz w:val="19"/>
              </w:rPr>
              <w:t xml:space="preserve">. Ausserdem offen: Verhalten bei unbekannter </w:t>
            </w:r>
            <w:r>
              <w:rPr>
                <w:rFonts w:ascii="Consolas" w:hAnsi="Consolas" w:cs="Consolas" w:eastAsia="Consolas"/>
                <w:sz w:val="17"/>
              </w:rPr>
              <w:t>partnerId</w:t>
            </w:r>
            <w:r>
              <w:rPr>
                <w:sz w:val="19"/>
              </w:rPr>
              <w:t xml:space="preserve"> im Auftrag.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Stammdaten_Import_Recherche Kap. 2 und 4; Testlog Hauri-Import Stufe 1</w:t>
      </w:r>
    </w:p>
    <w:p>
      <w:pPr>
        <w:pStyle w:val="Heading1"/>
      </w:pPr>
      <w:r>
        <w:t>12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65"/>
        <w:gridCol w:w="8659"/>
      </w:tblGrid>
      <w:tr>
        <w:trPr>
          <w:tblHeader w:val="true"/>
        </w:trPr>
        <w:tc>
          <w:tcPr>
            <w:tcW w:type="dxa" w:w="866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865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 / Datei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IF27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WAMAS.LS 2.7 Interface Manual WLS-ERP V01.0 (Satzarten 2.7, Tab. 12–19, 36–38, 53–54, 111)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IF28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WAMAS.LS 2.8 Interface Manual WLS-ERP V01.0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AH28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WAMAS.LS 2.8 Administrator Manual (Kap. 3.5.5/3.5.6 Excel-Import, Dialoge LM/MD/RM/SE)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REC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00_Testplan/Stammdaten_Import_Recherche.md (17.10.2026)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TL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00_Testplan/Testlog_WAMAS_Dev.md (InSPM 1801–1828)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LIVE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Import/Kommission, Import/Phase2, Import/Phase2_live, TEST_WD_*_WLS*.json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EX27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SSI-Beispieldateien 2.7.0 (CLIENT, ITEM, STOCK_IMPORT)</w:t>
            </w:r>
          </w:p>
        </w:tc>
      </w:tr>
      <w:tr>
        <w:tc>
          <w:tcPr>
            <w:tcW w:type="dxa" w:w="866"/>
          </w:tcPr>
          <w:p>
            <w:pPr>
              <w:spacing w:after="0" w:line="252" w:lineRule="auto"/>
            </w:pPr>
            <w:r>
              <w:rPr>
                <w:sz w:val="17"/>
              </w:rPr>
              <w:t>FREF</w:t>
            </w:r>
          </w:p>
        </w:tc>
        <w:tc>
          <w:tcPr>
            <w:tcW w:type="dxa" w:w="8659"/>
          </w:tcPr>
          <w:p>
            <w:pPr>
              <w:spacing w:after="0" w:line="252" w:lineRule="auto"/>
            </w:pPr>
            <w:r>
              <w:rPr>
                <w:sz w:val="17"/>
              </w:rPr>
              <w:t>Import_Vorlagen/WAMAS-LS28_Telegramm_Feldreferenz_deDE_v1.0 (.md/.xlsx)</w:t>
            </w:r>
          </w:p>
        </w:tc>
      </w:tr>
    </w:tbl>
    <w:p>
      <w:pPr>
        <w:pStyle w:val="BeschriftungSSI"/>
      </w:pPr>
      <w:r>
        <w:t>Tab. 11: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2.8</w:t>
          </w:r>
        </w:p>
        <w:p>
          <w:pPr>
            <w:spacing w:after="0" w:line="240" w:lineRule="auto"/>
          </w:pPr>
          <w:r>
            <w:rPr>
              <w:sz w:val="13"/>
            </w:rPr>
            <w:t>How-to-Handbuch V 1.0</w:t>
          </w:r>
        </w:p>
        <w:p>
          <w:pPr>
            <w:spacing w:after="0" w:line="240" w:lineRule="auto"/>
          </w:pPr>
          <w:r>
            <w:rPr>
              <w:sz w:val="13"/>
            </w:rPr>
            <w:t>Standard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How-to-Handbuch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WAMAS-LS28 Stammdaten- und Auftragsimport per Telegramm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Relationship Id="rId15" Type="http://schemas.openxmlformats.org/officeDocument/2006/relationships/image" Target="media/image6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WAMAS-LS28 Stammdaten- und Auftragsimport per Telegramm</dc:title>
  <dc:subject>Artikel, Kubaturen, Einlager- und Kommissionieraufträge per JSON-Datei über DI002/DI014 importieren</dc:subject>
  <dc:creator>SSI SCHÄFER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