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Arbeitsanleitung</w:t>
            </w:r>
          </w:p>
          <w:p>
            <w:pPr>
              <w:spacing w:after="120"/>
            </w:pPr>
            <w:r>
              <w:rPr>
                <w:b/>
                <w:sz w:val="48"/>
              </w:rPr>
              <w:t>Artikel und Einlageraufträge importieren</w:t>
            </w:r>
          </w:p>
          <w:p>
            <w:pPr>
              <w:spacing w:after="360"/>
            </w:pPr>
            <w:r>
              <w:rPr>
                <w:b w:val="0"/>
                <w:sz w:val="32"/>
              </w:rPr>
              <w:t>WAMAS Lift &amp; Store 2.8 · SSI LOGIMAT</w:t>
            </w:r>
          </w:p>
          <w:p>
            <w:pPr>
              <w:spacing w:after="0"/>
            </w:pPr>
            <w:r>
              <w:rPr>
                <w:b w:val="0"/>
                <w:sz w:val="22"/>
              </w:rPr>
              <w:t>Kundendokument Stumatec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Excel-Import über LM160/LM163 und Einlagerauftrag per Telegramm</w:t>
            </w:r>
          </w:p>
          <w:p>
            <w:pPr>
              <w:spacing w:after="0"/>
            </w:pPr>
            <w:r>
              <w:rPr>
                <w:b w:val="0"/>
                <w:color w:val="555555"/>
                <w:sz w:val="18"/>
              </w:rPr>
              <w:t>Stumatec · Schulung 26.10.2026 · SSI SCHÄFER</w:t>
            </w:r>
          </w:p>
        </w:tc>
      </w:tr>
    </w:tbl>
    <w:p>
      <w:pPr>
        <w:spacing w:before="6520"/>
      </w:pPr>
      <w:r>
        <w:rPr>
          <w:sz w:val="18"/>
        </w:rPr>
        <w:t>V 1.1  ·  26.10.2026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So lesen Sie das Dokument</w:t>
        <w:tab/>
        <w:t>3</w:t>
      </w:r>
    </w:p>
    <w:p>
      <w:pPr>
        <w:pStyle w:val="TOC2"/>
        <w:tabs>
          <w:tab w:pos="9524" w:val="right" w:leader="dot"/>
        </w:tabs>
      </w:pPr>
      <w:r>
        <w:t>1.3 Dokumentinformationen</w:t>
        <w:tab/>
        <w:t>3</w:t>
      </w:r>
    </w:p>
    <w:p>
      <w:pPr>
        <w:pStyle w:val="TOC1"/>
        <w:tabs>
          <w:tab w:pos="9524" w:val="right" w:leader="dot"/>
        </w:tabs>
      </w:pPr>
      <w:r>
        <w:t>2 Überblick</w:t>
        <w:tab/>
        <w:t>4</w:t>
      </w:r>
    </w:p>
    <w:p>
      <w:pPr>
        <w:pStyle w:val="TOC1"/>
        <w:tabs>
          <w:tab w:pos="9524" w:val="right" w:leader="dot"/>
        </w:tabs>
      </w:pPr>
      <w:r>
        <w:t>3 Dateien und Paare Profil ↔ Vorlage</w:t>
        <w:tab/>
        <w:t>5</w:t>
      </w:r>
    </w:p>
    <w:p>
      <w:pPr>
        <w:pStyle w:val="TOC2"/>
        <w:tabs>
          <w:tab w:pos="9524" w:val="right" w:leader="dot"/>
        </w:tabs>
      </w:pPr>
      <w:r>
        <w:t>3.1 Ablageort</w:t>
        <w:tab/>
        <w:t>5</w:t>
      </w:r>
    </w:p>
    <w:p>
      <w:pPr>
        <w:pStyle w:val="TOC2"/>
        <w:tabs>
          <w:tab w:pos="9524" w:val="right" w:leader="dot"/>
        </w:tabs>
      </w:pPr>
      <w:r>
        <w:t>3.2 Welche Vorlage passt zu welchem Profil?</w:t>
        <w:tab/>
        <w:t>5</w:t>
      </w:r>
    </w:p>
    <w:p>
      <w:pPr>
        <w:pStyle w:val="TOC1"/>
        <w:tabs>
          <w:tab w:pos="9524" w:val="right" w:leader="dot"/>
        </w:tabs>
      </w:pPr>
      <w:r>
        <w:t>4 Profil anlegen (LM160 / LM161)</w:t>
        <w:tab/>
        <w:t>6</w:t>
      </w:r>
    </w:p>
    <w:p>
      <w:pPr>
        <w:pStyle w:val="TOC2"/>
        <w:tabs>
          <w:tab w:pos="9524" w:val="right" w:leader="dot"/>
        </w:tabs>
      </w:pPr>
      <w:r>
        <w:t>4.1 Voraussetzungen</w:t>
        <w:tab/>
        <w:t>6</w:t>
      </w:r>
    </w:p>
    <w:p>
      <w:pPr>
        <w:pStyle w:val="TOC2"/>
        <w:tabs>
          <w:tab w:pos="9524" w:val="right" w:leader="dot"/>
        </w:tabs>
      </w:pPr>
      <w:r>
        <w:t>4.2 Weg A – Profil aus XML-Datei importieren (empfohlen)</w:t>
        <w:tab/>
        <w:t>6</w:t>
      </w:r>
    </w:p>
    <w:p>
      <w:pPr>
        <w:pStyle w:val="TOC2"/>
        <w:tabs>
          <w:tab w:pos="9524" w:val="right" w:leader="dot"/>
        </w:tabs>
      </w:pPr>
      <w:r>
        <w:t>4.3 Weg B – Profil manuell anlegen</w:t>
        <w:tab/>
        <w:t>6</w:t>
      </w:r>
    </w:p>
    <w:p>
      <w:pPr>
        <w:pStyle w:val="TOC2"/>
        <w:tabs>
          <w:tab w:pos="9524" w:val="right" w:leader="dot"/>
        </w:tabs>
      </w:pPr>
      <w:r>
        <w:t>4.4 Profil kontrollieren</w:t>
        <w:tab/>
        <w:t>6</w:t>
      </w:r>
    </w:p>
    <w:p>
      <w:pPr>
        <w:pStyle w:val="TOC1"/>
        <w:tabs>
          <w:tab w:pos="9524" w:val="right" w:leader="dot"/>
        </w:tabs>
      </w:pPr>
      <w:r>
        <w:t>5 Excel-Datei vorbereiten</w:t>
        <w:tab/>
        <w:t>8</w:t>
      </w:r>
    </w:p>
    <w:p>
      <w:pPr>
        <w:pStyle w:val="TOC1"/>
        <w:tabs>
          <w:tab w:pos="9524" w:val="right" w:leader="dot"/>
        </w:tabs>
      </w:pPr>
      <w:r>
        <w:t>6 Import durchführen (LM163)</w:t>
        <w:tab/>
        <w:t>9</w:t>
      </w:r>
    </w:p>
    <w:p>
      <w:pPr>
        <w:pStyle w:val="TOC2"/>
        <w:tabs>
          <w:tab w:pos="9524" w:val="right" w:leader="dot"/>
        </w:tabs>
      </w:pPr>
      <w:r>
        <w:t>6.1 Reihenfolge</w:t>
        <w:tab/>
        <w:t>9</w:t>
      </w:r>
    </w:p>
    <w:p>
      <w:pPr>
        <w:pStyle w:val="TOC2"/>
        <w:tabs>
          <w:tab w:pos="9524" w:val="right" w:leader="dot"/>
        </w:tabs>
      </w:pPr>
      <w:r>
        <w:t>6.2 Schritt für Schritt</w:t>
        <w:tab/>
        <w:t>9</w:t>
      </w:r>
    </w:p>
    <w:p>
      <w:pPr>
        <w:pStyle w:val="TOC1"/>
        <w:tabs>
          <w:tab w:pos="9524" w:val="right" w:leader="dot"/>
        </w:tabs>
      </w:pPr>
      <w:r>
        <w:t>7 Ergebnis kontrollieren (DI002 / MD001)</w:t>
        <w:tab/>
        <w:t>11</w:t>
      </w:r>
    </w:p>
    <w:p>
      <w:pPr>
        <w:pStyle w:val="TOC1"/>
        <w:tabs>
          <w:tab w:pos="9524" w:val="right" w:leader="dot"/>
        </w:tabs>
      </w:pPr>
      <w:r>
        <w:t>8 Fehler beheben</w:t>
        <w:tab/>
        <w:t>13</w:t>
      </w:r>
    </w:p>
    <w:p>
      <w:pPr>
        <w:pStyle w:val="TOC2"/>
        <w:tabs>
          <w:tab w:pos="9524" w:val="right" w:leader="dot"/>
        </w:tabs>
      </w:pPr>
      <w:r>
        <w:t>8.1 Fehlerprotokoll</w:t>
        <w:tab/>
        <w:t>13</w:t>
      </w:r>
    </w:p>
    <w:p>
      <w:pPr>
        <w:pStyle w:val="TOC2"/>
        <w:tabs>
          <w:tab w:pos="9524" w:val="right" w:leader="dot"/>
        </w:tabs>
      </w:pPr>
      <w:r>
        <w:t>8.2 Bekannte Meldungen</w:t>
        <w:tab/>
        <w:t>13</w:t>
      </w:r>
    </w:p>
    <w:p>
      <w:pPr>
        <w:pStyle w:val="TOC1"/>
        <w:tabs>
          <w:tab w:pos="9524" w:val="right" w:leader="dot"/>
        </w:tabs>
      </w:pPr>
      <w:r>
        <w:t>9 Optional: Einlagerauftrag mit Wareneigentümer</w:t>
        <w:tab/>
        <w:t>15</w:t>
      </w:r>
    </w:p>
    <w:p>
      <w:pPr>
        <w:pStyle w:val="TOC2"/>
        <w:tabs>
          <w:tab w:pos="9524" w:val="right" w:leader="dot"/>
        </w:tabs>
      </w:pPr>
      <w:r>
        <w:t>9.1 Voraussetzungen und Felder</w:t>
        <w:tab/>
        <w:t>15</w:t>
      </w:r>
    </w:p>
    <w:p>
      <w:pPr>
        <w:pStyle w:val="TOC2"/>
        <w:tabs>
          <w:tab w:pos="9524" w:val="right" w:leader="dot"/>
        </w:tabs>
      </w:pPr>
      <w:r>
        <w:t>9.2 Schritte</w:t>
        <w:tab/>
        <w:t>15</w:t>
      </w:r>
    </w:p>
    <w:p>
      <w:pPr>
        <w:pStyle w:val="TOC1"/>
        <w:tabs>
          <w:tab w:pos="9524" w:val="right" w:leader="dot"/>
        </w:tabs>
      </w:pPr>
      <w:r>
        <w:t>10 Stolperfallen</w:t>
        <w:tab/>
        <w:t>16</w:t>
      </w:r>
    </w:p>
    <w:p>
      <w:pPr>
        <w:pStyle w:val="TOC1"/>
        <w:tabs>
          <w:tab w:pos="9524" w:val="right" w:leader="dot"/>
        </w:tabs>
      </w:pPr>
      <w:r>
        <w:t>11 Praxisbeispiele</w:t>
        <w:tab/>
        <w:t>17</w:t>
      </w:r>
    </w:p>
    <w:p>
      <w:pPr>
        <w:pStyle w:val="TOC2"/>
        <w:tabs>
          <w:tab w:pos="9524" w:val="right" w:leader="dot"/>
        </w:tabs>
      </w:pPr>
      <w:r>
        <w:t>11.1 Erstimport mit V5</w:t>
        <w:tab/>
        <w:t>17</w:t>
      </w:r>
    </w:p>
    <w:p>
      <w:pPr>
        <w:pStyle w:val="TOC2"/>
        <w:tabs>
          <w:tab w:pos="9524" w:val="right" w:leader="dot"/>
        </w:tabs>
      </w:pPr>
      <w:r>
        <w:t>11.2 Fehlerfall „workbook is null“</w:t>
        <w:tab/>
        <w:t>17</w:t>
      </w:r>
    </w:p>
    <w:p>
      <w:pPr>
        <w:pStyle w:val="TOC1"/>
        <w:tabs>
          <w:tab w:pos="9524" w:val="right" w:leader="dot"/>
        </w:tabs>
      </w:pPr>
      <w:r>
        <w:t>12 Quellenverzeichnis</w:t>
        <w:tab/>
        <w:t>18</w:t>
      </w:r>
      <w:r>
        <w:fldChar w:fldCharType="end"/>
      </w:r>
    </w:p>
    <w:p>
      <w:pPr>
        <w:pStyle w:val="Heading1"/>
      </w:pPr>
      <w:r>
        <w:t>1 Über dieses Dokument</w:t>
      </w:r>
    </w:p>
    <w:p>
      <w:pPr>
        <w:pStyle w:val="Heading2"/>
      </w:pPr>
      <w:r>
        <w:t>1.1 Zweck</w:t>
      </w:r>
    </w:p>
    <w:p>
      <w:r>
        <w:t xml:space="preserve">Mit dem Excel-Import legen Sie viele Artikel auf einmal an. Diese Anleitung zeigt, welche </w:t>
      </w:r>
      <w:r>
        <w:rPr>
          <w:b/>
        </w:rPr>
        <w:t>zwei Dateien</w:t>
      </w:r>
      <w:r>
        <w:t xml:space="preserve"> Sie brauchen (Mapping-Profil </w:t>
      </w:r>
      <w:r>
        <w:rPr>
          <w:rFonts w:ascii="Consolas" w:hAnsi="Consolas" w:cs="Consolas" w:eastAsia="Consolas"/>
          <w:sz w:val="18"/>
        </w:rPr>
        <w:t>.xml</w:t>
      </w:r>
      <w:r>
        <w:t xml:space="preserve"> und Artikeldaten </w:t>
      </w:r>
      <w:r>
        <w:rPr>
          <w:rFonts w:ascii="Consolas" w:hAnsi="Consolas" w:cs="Consolas" w:eastAsia="Consolas"/>
          <w:sz w:val="18"/>
        </w:rPr>
        <w:t>.xlsx</w:t>
      </w:r>
      <w:r>
        <w:t>), wo jede Datei hingehört (</w:t>
      </w:r>
      <w:r>
        <w:rPr>
          <w:b/>
        </w:rPr>
        <w:t>LM160</w:t>
      </w:r>
      <w:r>
        <w:t xml:space="preserve"> bzw. </w:t>
      </w:r>
      <w:r>
        <w:rPr>
          <w:b/>
        </w:rPr>
        <w:t>LM163</w:t>
      </w:r>
      <w:r>
        <w:t xml:space="preserve">) und wie Sie das Ergebnis kontrollieren. Kapitel 9 beschreibt zusätzlich den Import von </w:t>
      </w:r>
      <w:r>
        <w:rPr>
          <w:b/>
        </w:rPr>
        <w:t>Einlageraufträgen mit Wareneigentümer</w:t>
      </w:r>
      <w:r>
        <w:t xml:space="preserve"> als JSON-Telegramm. Woher die Artikelstammdaten der Stumatec künftig kommen (ERP-Schnittstelle oder Excel-Liste), ist noch offen </w:t>
      </w:r>
      <w:r>
        <w:rPr>
          <w:b/>
        </w:rPr>
        <w:t>[auszufüllen]</w:t>
      </w:r>
      <w:r>
        <w:t>.</w:t>
      </w:r>
    </w:p>
    <w:p>
      <w:pPr>
        <w:pStyle w:val="ListBullet"/>
      </w:pPr>
      <w:r>
        <w:rPr>
          <w:b/>
        </w:rPr>
        <w:t>[vor Ort prüfen]</w:t>
      </w:r>
      <w:r>
        <w:t xml:space="preserve">: im Testsystem belegt, auf dem Stumatec-System noch zu bestätigen. </w:t>
      </w:r>
      <w:r>
        <w:rPr>
          <w:b/>
        </w:rPr>
        <w:t>[auszufüllen]</w:t>
      </w:r>
      <w:r>
        <w:t>: Stumatec-Angabe fehlt noch.</w:t>
      </w:r>
    </w:p>
    <w:p>
      <w:pPr>
        <w:pStyle w:val="Heading2"/>
      </w:pPr>
      <w:r>
        <w:t>1.2 So lesen Sie das Dokument</w:t>
      </w:r>
    </w:p>
    <w:p>
      <w:pPr>
        <w:pStyle w:val="ListBullet"/>
      </w:pPr>
      <w:r>
        <w:t>Erstimport: Kapitel 2 bis 8 der Reihe nach durcharbeiten.</w:t>
      </w:r>
    </w:p>
    <w:p>
      <w:pPr>
        <w:pStyle w:val="ListBullet"/>
      </w:pPr>
      <w:r>
        <w:t>Profil ist schon angelegt: direkt mit Kapitel 5 (Excel vorbereiten) und Kapitel 6 (Import) beginnen.</w:t>
      </w:r>
    </w:p>
    <w:p>
      <w:pPr>
        <w:pStyle w:val="ListBullet"/>
      </w:pPr>
      <w:r>
        <w:t>Fehlermeldung erhalten: Kapitel 8.</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cantSplit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rPr>
          <w:cantSplit w:val="true"/>
        </w:trPr>
        <w:tc>
          <w:tcPr>
            <w:tcW w:type="dxa" w:w="2268"/>
          </w:tcPr>
          <w:p>
            <w:pPr>
              <w:spacing w:after="0" w:line="252" w:lineRule="auto"/>
            </w:pPr>
            <w:r>
              <w:rPr>
                <w:b/>
                <w:sz w:val="17"/>
              </w:rPr>
              <w:t>Titel</w:t>
            </w:r>
          </w:p>
        </w:tc>
        <w:tc>
          <w:tcPr>
            <w:tcW w:type="dxa" w:w="7257"/>
          </w:tcPr>
          <w:p>
            <w:pPr>
              <w:spacing w:after="0" w:line="252" w:lineRule="auto"/>
            </w:pPr>
            <w:r>
              <w:rPr>
                <w:sz w:val="17"/>
              </w:rPr>
              <w:t>Artikel und Einlageraufträge importieren</w:t>
            </w:r>
          </w:p>
        </w:tc>
      </w:tr>
      <w:tr>
        <w:trPr>
          <w:cantSplit w:val="true"/>
        </w:trP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 · SSI LOGIMAT</w:t>
            </w:r>
          </w:p>
        </w:tc>
      </w:tr>
      <w:tr>
        <w:trPr>
          <w:cantSplit w:val="true"/>
        </w:trPr>
        <w:tc>
          <w:tcPr>
            <w:tcW w:type="dxa" w:w="2268"/>
          </w:tcPr>
          <w:p>
            <w:pPr>
              <w:spacing w:after="0" w:line="252" w:lineRule="auto"/>
            </w:pPr>
            <w:r>
              <w:rPr>
                <w:b/>
                <w:sz w:val="17"/>
              </w:rPr>
              <w:t>Dokumentversion</w:t>
            </w:r>
          </w:p>
        </w:tc>
        <w:tc>
          <w:tcPr>
            <w:tcW w:type="dxa" w:w="7257"/>
          </w:tcPr>
          <w:p>
            <w:pPr>
              <w:spacing w:after="0" w:line="252" w:lineRule="auto"/>
            </w:pPr>
            <w:r>
              <w:rPr>
                <w:sz w:val="17"/>
              </w:rPr>
              <w:t>1.1</w:t>
            </w:r>
          </w:p>
        </w:tc>
      </w:tr>
      <w:tr>
        <w:trPr>
          <w:cantSplit w:val="true"/>
        </w:trPr>
        <w:tc>
          <w:tcPr>
            <w:tcW w:type="dxa" w:w="2268"/>
          </w:tcPr>
          <w:p>
            <w:pPr>
              <w:spacing w:after="0" w:line="252" w:lineRule="auto"/>
            </w:pPr>
            <w:r>
              <w:rPr>
                <w:b/>
                <w:sz w:val="17"/>
              </w:rPr>
              <w:t>Stand</w:t>
            </w:r>
          </w:p>
        </w:tc>
        <w:tc>
          <w:tcPr>
            <w:tcW w:type="dxa" w:w="7257"/>
          </w:tcPr>
          <w:p>
            <w:pPr>
              <w:spacing w:after="0" w:line="252" w:lineRule="auto"/>
            </w:pPr>
            <w:r>
              <w:rPr>
                <w:sz w:val="17"/>
              </w:rPr>
              <w:t>26.10.2026</w:t>
            </w:r>
          </w:p>
        </w:tc>
      </w:tr>
      <w:tr>
        <w:trPr>
          <w:cantSplit w:val="true"/>
        </w:trP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rPr>
          <w:cantSplit w:val="true"/>
        </w:trPr>
        <w:tc>
          <w:tcPr>
            <w:tcW w:type="dxa" w:w="2268"/>
          </w:tcPr>
          <w:p>
            <w:pPr>
              <w:spacing w:after="0" w:line="252" w:lineRule="auto"/>
            </w:pPr>
            <w:r>
              <w:rPr>
                <w:b/>
                <w:sz w:val="17"/>
              </w:rPr>
              <w:t>Zielgruppe</w:t>
            </w:r>
          </w:p>
        </w:tc>
        <w:tc>
          <w:tcPr>
            <w:tcW w:type="dxa" w:w="7257"/>
          </w:tcPr>
          <w:p>
            <w:pPr>
              <w:spacing w:after="0" w:line="252" w:lineRule="auto"/>
            </w:pPr>
            <w:r>
              <w:rPr>
                <w:sz w:val="17"/>
              </w:rPr>
              <w:t>Key-User der Stumatec, Profil LogiMat Admin</w:t>
            </w:r>
          </w:p>
        </w:tc>
      </w:tr>
      <w:tr>
        <w:trPr>
          <w:cantSplit w:val="true"/>
        </w:trPr>
        <w:tc>
          <w:tcPr>
            <w:tcW w:type="dxa" w:w="2268"/>
          </w:tcPr>
          <w:p>
            <w:pPr>
              <w:spacing w:after="0" w:line="252" w:lineRule="auto"/>
            </w:pPr>
            <w:r>
              <w:rPr>
                <w:b/>
                <w:sz w:val="17"/>
              </w:rPr>
              <w:t>Grundlage</w:t>
            </w:r>
          </w:p>
        </w:tc>
        <w:tc>
          <w:tcPr>
            <w:tcW w:type="dxa" w:w="7257"/>
          </w:tcPr>
          <w:p>
            <w:pPr>
              <w:spacing w:after="0" w:line="252" w:lineRule="auto"/>
            </w:pPr>
            <w:r>
              <w:rPr>
                <w:sz w:val="17"/>
              </w:rPr>
              <w:t>SSI-Mustervorlage Artikel importieren V 1.1 (Oktober 2026), How-to Artikel anlegen und importieren 2.8 V 1.0, Telegramm-Anleitung Stammdaten- und Auftragsimport 2.8 V 1.0, Live-Tests SSI-Testsystem srv01 (16.–23.10.2026), Live-Import vor Ort bei der Stumatec (26.10.2026), Administrator Manual 2.8</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32"/>
        <w:gridCol w:w="1247"/>
        <w:gridCol w:w="7345"/>
      </w:tblGrid>
      <w:tr>
        <w:trPr>
          <w:tblHeader w:val="true"/>
          <w:cantSplit w:val="true"/>
        </w:trPr>
        <w:tc>
          <w:tcPr>
            <w:tcW w:type="dxa" w:w="933"/>
            <w:shd w:val="clear" w:color="auto" w:fill="FEEE19"/>
          </w:tcPr>
          <w:p>
            <w:pPr>
              <w:spacing w:after="0"/>
            </w:pPr>
            <w:r>
              <w:rPr>
                <w:b/>
                <w:sz w:val="17"/>
              </w:rPr>
              <w:t>Version</w:t>
            </w:r>
          </w:p>
        </w:tc>
        <w:tc>
          <w:tcPr>
            <w:tcW w:type="dxa" w:w="1247"/>
            <w:shd w:val="clear" w:color="auto" w:fill="FEEE19"/>
          </w:tcPr>
          <w:p>
            <w:pPr>
              <w:spacing w:after="0"/>
            </w:pPr>
            <w:r>
              <w:rPr>
                <w:b/>
                <w:sz w:val="17"/>
              </w:rPr>
              <w:t>Datum</w:t>
            </w:r>
          </w:p>
        </w:tc>
        <w:tc>
          <w:tcPr>
            <w:tcW w:type="dxa" w:w="7345"/>
            <w:shd w:val="clear" w:color="auto" w:fill="FEEE19"/>
          </w:tcPr>
          <w:p>
            <w:pPr>
              <w:spacing w:after="0"/>
            </w:pPr>
            <w:r>
              <w:rPr>
                <w:b/>
                <w:sz w:val="17"/>
              </w:rPr>
              <w:t>Änderungen</w:t>
            </w:r>
          </w:p>
        </w:tc>
      </w:tr>
      <w:tr>
        <w:trPr>
          <w:cantSplit w:val="true"/>
        </w:trPr>
        <w:tc>
          <w:tcPr>
            <w:tcW w:type="dxa" w:w="933"/>
          </w:tcPr>
          <w:p>
            <w:pPr>
              <w:spacing w:after="0" w:line="252" w:lineRule="auto"/>
            </w:pPr>
            <w:r>
              <w:rPr>
                <w:sz w:val="17"/>
              </w:rPr>
              <w:t>1.0</w:t>
            </w:r>
          </w:p>
        </w:tc>
        <w:tc>
          <w:tcPr>
            <w:tcW w:type="dxa" w:w="1247"/>
          </w:tcPr>
          <w:p>
            <w:pPr>
              <w:spacing w:after="0" w:line="252" w:lineRule="auto"/>
            </w:pPr>
            <w:r>
              <w:rPr>
                <w:sz w:val="17"/>
              </w:rPr>
              <w:t>26.10.2026</w:t>
            </w:r>
          </w:p>
        </w:tc>
        <w:tc>
          <w:tcPr>
            <w:tcW w:type="dxa" w:w="7345"/>
          </w:tcPr>
          <w:p>
            <w:pPr>
              <w:spacing w:after="0" w:line="252" w:lineRule="auto"/>
            </w:pPr>
            <w:r>
              <w:rPr>
                <w:sz w:val="17"/>
              </w:rPr>
              <w:t>Erste Fassung für die Stumatec, abgeleitet aus der SSI-Mustervorlage Schulungsmappe WAMAS LS 2.8 (Oktober 2026); kundenspezifische Daten der Vorlage entfernt. Neu: Spalte Mandant (clientId), Kapitel 8 Einlagerauftrag mit Wareneigentümer.</w:t>
            </w:r>
          </w:p>
        </w:tc>
      </w:tr>
      <w:tr>
        <w:trPr>
          <w:cantSplit w:val="true"/>
        </w:trPr>
        <w:tc>
          <w:tcPr>
            <w:tcW w:type="dxa" w:w="933"/>
          </w:tcPr>
          <w:p>
            <w:pPr>
              <w:spacing w:after="0" w:line="252" w:lineRule="auto"/>
            </w:pPr>
            <w:r>
              <w:rPr>
                <w:sz w:val="17"/>
              </w:rPr>
              <w:t>1.1</w:t>
            </w:r>
          </w:p>
        </w:tc>
        <w:tc>
          <w:tcPr>
            <w:tcW w:type="dxa" w:w="1247"/>
          </w:tcPr>
          <w:p>
            <w:pPr>
              <w:spacing w:after="0" w:line="252" w:lineRule="auto"/>
            </w:pPr>
            <w:r>
              <w:rPr>
                <w:sz w:val="17"/>
              </w:rPr>
              <w:t>26.10.2026</w:t>
            </w:r>
          </w:p>
        </w:tc>
        <w:tc>
          <w:tcPr>
            <w:tcW w:type="dxa" w:w="7345"/>
          </w:tcPr>
          <w:p>
            <w:pPr>
              <w:spacing w:after="0" w:line="252" w:lineRule="auto"/>
            </w:pPr>
            <w:r>
              <w:rPr>
                <w:sz w:val="17"/>
              </w:rPr>
              <w:t xml:space="preserve">Optimierung nach Live-Import vor Ort: Trennung LM160 (Profil-XML) und LM163 (Excel), Feldwerte LM163 (Konverter </w:t>
            </w:r>
            <w:r>
              <w:rPr>
                <w:b/>
                <w:sz w:val="17"/>
              </w:rPr>
              <w:t>JsonConverter</w:t>
            </w:r>
            <w:r>
              <w:rPr>
                <w:sz w:val="17"/>
              </w:rPr>
              <w:t xml:space="preserve">, Systempartner </w:t>
            </w:r>
            <w:r>
              <w:rPr>
                <w:b/>
                <w:sz w:val="17"/>
              </w:rPr>
              <w:t>HOST</w:t>
            </w:r>
            <w:r>
              <w:rPr>
                <w:sz w:val="17"/>
              </w:rPr>
              <w:t xml:space="preserve">, Verarbeitungspfad leer), Tabelle Profil ↔ Vorlage, Variante nur </w:t>
            </w:r>
            <w:r>
              <w:rPr>
                <w:rFonts w:ascii="Consolas" w:hAnsi="Consolas" w:cs="Consolas" w:eastAsia="Consolas"/>
                <w:sz w:val="15"/>
              </w:rPr>
              <w:t>STM</w:t>
            </w:r>
            <w:r>
              <w:rPr>
                <w:sz w:val="17"/>
              </w:rPr>
              <w:t>/</w:t>
            </w:r>
            <w:r>
              <w:rPr>
                <w:rFonts w:ascii="Consolas" w:hAnsi="Consolas" w:cs="Consolas" w:eastAsia="Consolas"/>
                <w:sz w:val="15"/>
              </w:rPr>
              <w:t>STS</w:t>
            </w:r>
            <w:r>
              <w:rPr>
                <w:sz w:val="17"/>
              </w:rPr>
              <w:t xml:space="preserve"> (Dropdown), Warnung zu </w:t>
            </w:r>
            <w:r>
              <w:rPr>
                <w:rFonts w:ascii="Consolas" w:hAnsi="Consolas" w:cs="Consolas" w:eastAsia="Consolas"/>
                <w:sz w:val="15"/>
              </w:rPr>
              <w:t>externalItem</w:t>
            </w:r>
            <w:r>
              <w:rPr>
                <w:sz w:val="17"/>
              </w:rPr>
              <w:t>/EXCEL_ITEM_EXT, neue Fehlermeldung „workbook is null“, Kapitel neu geordnet, Einlagerauftrag gekürzt.</w:t>
            </w:r>
          </w:p>
        </w:tc>
      </w:tr>
    </w:tbl>
    <w:p>
      <w:pPr>
        <w:pStyle w:val="BeschriftungSSI"/>
      </w:pPr>
      <w:r>
        <w:t>Tab. 1: Versionshistorie</w:t>
      </w:r>
    </w:p>
    <w:p>
      <w:pPr>
        <w:pStyle w:val="Heading1"/>
      </w:pPr>
      <w:r>
        <w:t>2 Überblick</w:t>
      </w:r>
    </w:p>
    <w:p>
      <w:r>
        <w:t xml:space="preserve">Für einen Artikelimport braucht es </w:t>
      </w:r>
      <w:r>
        <w:rPr>
          <w:b/>
        </w:rPr>
        <w:t>zwei verschiedene Dateien</w:t>
      </w:r>
      <w:r>
        <w:t>. Sie werden an zwei verschiedenen Stellen eingelesen: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22"/>
        <w:gridCol w:w="4561"/>
        <w:gridCol w:w="2749"/>
        <w:gridCol w:w="1492"/>
      </w:tblGrid>
      <w:tr>
        <w:trPr>
          <w:tblHeader w:val="true"/>
          <w:cantSplit w:val="true"/>
        </w:trPr>
        <w:tc>
          <w:tcPr>
            <w:tcW w:type="dxa" w:w="723"/>
            <w:shd w:val="clear" w:color="auto" w:fill="FEEE19"/>
          </w:tcPr>
          <w:p>
            <w:pPr>
              <w:spacing w:after="0"/>
            </w:pPr>
            <w:r>
              <w:rPr>
                <w:b/>
                <w:sz w:val="17"/>
              </w:rPr>
              <w:t>Datei</w:t>
            </w:r>
          </w:p>
        </w:tc>
        <w:tc>
          <w:tcPr>
            <w:tcW w:type="dxa" w:w="4561"/>
            <w:shd w:val="clear" w:color="auto" w:fill="FEEE19"/>
          </w:tcPr>
          <w:p>
            <w:pPr>
              <w:spacing w:after="0"/>
            </w:pPr>
            <w:r>
              <w:rPr>
                <w:b/>
                <w:sz w:val="17"/>
              </w:rPr>
              <w:t>Inhalt</w:t>
            </w:r>
          </w:p>
        </w:tc>
        <w:tc>
          <w:tcPr>
            <w:tcW w:type="dxa" w:w="2749"/>
            <w:shd w:val="clear" w:color="auto" w:fill="FEEE19"/>
          </w:tcPr>
          <w:p>
            <w:pPr>
              <w:spacing w:after="0"/>
            </w:pPr>
            <w:r>
              <w:rPr>
                <w:b/>
                <w:sz w:val="17"/>
              </w:rPr>
              <w:t>Wohin</w:t>
            </w:r>
          </w:p>
        </w:tc>
        <w:tc>
          <w:tcPr>
            <w:tcW w:type="dxa" w:w="1492"/>
            <w:shd w:val="clear" w:color="auto" w:fill="FEEE19"/>
          </w:tcPr>
          <w:p>
            <w:pPr>
              <w:spacing w:after="0"/>
            </w:pPr>
            <w:r>
              <w:rPr>
                <w:b/>
                <w:sz w:val="17"/>
              </w:rPr>
              <w:t>Wie oft</w:t>
            </w:r>
          </w:p>
        </w:tc>
      </w:tr>
      <w:tr>
        <w:trPr>
          <w:cantSplit w:val="true"/>
        </w:trPr>
        <w:tc>
          <w:tcPr>
            <w:tcW w:type="dxa" w:w="723"/>
          </w:tcPr>
          <w:p>
            <w:pPr>
              <w:spacing w:after="0" w:line="252" w:lineRule="auto"/>
            </w:pPr>
            <w:r>
              <w:rPr>
                <w:rFonts w:ascii="Consolas" w:hAnsi="Consolas" w:cs="Consolas" w:eastAsia="Consolas"/>
                <w:sz w:val="15"/>
              </w:rPr>
              <w:t>.xml</w:t>
            </w:r>
          </w:p>
        </w:tc>
        <w:tc>
          <w:tcPr>
            <w:tcW w:type="dxa" w:w="4561"/>
          </w:tcPr>
          <w:p>
            <w:pPr>
              <w:spacing w:after="0" w:line="252" w:lineRule="auto"/>
            </w:pPr>
            <w:r>
              <w:rPr>
                <w:b/>
                <w:sz w:val="17"/>
              </w:rPr>
              <w:t>Mapping-Profil</w:t>
            </w:r>
            <w:r>
              <w:rPr>
                <w:sz w:val="17"/>
              </w:rPr>
              <w:t xml:space="preserve"> (welche Excel-Spalte in welches WAMAS-Feld geht)</w:t>
            </w:r>
          </w:p>
        </w:tc>
        <w:tc>
          <w:tcPr>
            <w:tcW w:type="dxa" w:w="2749"/>
          </w:tcPr>
          <w:p>
            <w:pPr>
              <w:spacing w:after="0" w:line="252" w:lineRule="auto"/>
            </w:pPr>
            <w:r>
              <w:rPr>
                <w:sz w:val="17"/>
              </w:rPr>
              <w:t xml:space="preserve">nur </w:t>
            </w:r>
            <w:r>
              <w:rPr>
                <w:b/>
                <w:sz w:val="17"/>
              </w:rPr>
              <w:t>LM160</w:t>
            </w:r>
            <w:r>
              <w:rPr>
                <w:sz w:val="17"/>
              </w:rPr>
              <w:t xml:space="preserve"> → </w:t>
            </w:r>
            <w:r>
              <w:rPr>
                <w:b/>
                <w:sz w:val="17"/>
              </w:rPr>
              <w:t>Aus XML-Datei importieren</w:t>
            </w:r>
            <w:r>
              <w:rPr>
                <w:sz w:val="17"/>
              </w:rPr>
              <w:t xml:space="preserve"> (UTF-8)</w:t>
            </w:r>
          </w:p>
        </w:tc>
        <w:tc>
          <w:tcPr>
            <w:tcW w:type="dxa" w:w="1492"/>
          </w:tcPr>
          <w:p>
            <w:pPr>
              <w:spacing w:after="0" w:line="252" w:lineRule="auto"/>
            </w:pPr>
            <w:r>
              <w:rPr>
                <w:sz w:val="17"/>
              </w:rPr>
              <w:t>einmal je Profil</w:t>
            </w:r>
          </w:p>
        </w:tc>
      </w:tr>
      <w:tr>
        <w:trPr>
          <w:cantSplit w:val="true"/>
        </w:trPr>
        <w:tc>
          <w:tcPr>
            <w:tcW w:type="dxa" w:w="723"/>
          </w:tcPr>
          <w:p>
            <w:pPr>
              <w:spacing w:after="0" w:line="252" w:lineRule="auto"/>
            </w:pPr>
            <w:r>
              <w:rPr>
                <w:rFonts w:ascii="Consolas" w:hAnsi="Consolas" w:cs="Consolas" w:eastAsia="Consolas"/>
                <w:sz w:val="15"/>
              </w:rPr>
              <w:t>.xlsx</w:t>
            </w:r>
          </w:p>
        </w:tc>
        <w:tc>
          <w:tcPr>
            <w:tcW w:type="dxa" w:w="4561"/>
          </w:tcPr>
          <w:p>
            <w:pPr>
              <w:spacing w:after="0" w:line="252" w:lineRule="auto"/>
            </w:pPr>
            <w:r>
              <w:rPr>
                <w:b/>
                <w:sz w:val="17"/>
              </w:rPr>
              <w:t>Artikeldaten</w:t>
            </w:r>
            <w:r>
              <w:rPr>
                <w:sz w:val="17"/>
              </w:rPr>
              <w:t xml:space="preserve"> (eine Zeile pro Artikel, nach Vorlage)</w:t>
            </w:r>
          </w:p>
        </w:tc>
        <w:tc>
          <w:tcPr>
            <w:tcW w:type="dxa" w:w="2749"/>
          </w:tcPr>
          <w:p>
            <w:pPr>
              <w:spacing w:after="0" w:line="252" w:lineRule="auto"/>
            </w:pPr>
            <w:r>
              <w:rPr>
                <w:sz w:val="17"/>
              </w:rPr>
              <w:t xml:space="preserve">nur </w:t>
            </w:r>
            <w:r>
              <w:rPr>
                <w:b/>
                <w:sz w:val="17"/>
              </w:rPr>
              <w:t>LM163</w:t>
            </w:r>
            <w:r>
              <w:rPr>
                <w:sz w:val="17"/>
              </w:rPr>
              <w:t xml:space="preserve"> → Feld </w:t>
            </w:r>
            <w:r>
              <w:rPr>
                <w:b/>
                <w:sz w:val="17"/>
              </w:rPr>
              <w:t>Datei</w:t>
            </w:r>
          </w:p>
        </w:tc>
        <w:tc>
          <w:tcPr>
            <w:tcW w:type="dxa" w:w="1492"/>
          </w:tcPr>
          <w:p>
            <w:pPr>
              <w:spacing w:after="0" w:line="252" w:lineRule="auto"/>
            </w:pPr>
            <w:r>
              <w:rPr>
                <w:sz w:val="17"/>
              </w:rPr>
              <w:t>bei jedem Import</w:t>
            </w:r>
          </w:p>
        </w:tc>
      </w:tr>
    </w:tbl>
    <w:p>
      <w:pPr>
        <w:pStyle w:val="BeschriftungSSI"/>
      </w:pPr>
      <w:r>
        <w:t>Tab. 2: Die zwei Dateien des Artikelimports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Nie die XML-Datei in LM163 wählen</w:t>
            </w:r>
          </w:p>
          <w:p>
            <w:pPr>
              <w:spacing w:after="40"/>
            </w:pPr>
            <w:r>
              <w:rPr>
                <w:sz w:val="19"/>
              </w:rPr>
              <w:t xml:space="preserve">In LM163 gehört </w:t>
            </w:r>
            <w:r>
              <w:rPr>
                <w:b/>
                <w:sz w:val="19"/>
              </w:rPr>
              <w:t>nur die Excel-Datei</w:t>
            </w:r>
            <w:r>
              <w:rPr>
                <w:sz w:val="19"/>
              </w:rPr>
              <w:t xml:space="preserve"> </w:t>
            </w:r>
            <w:r>
              <w:rPr>
                <w:rFonts w:ascii="Consolas" w:hAnsi="Consolas" w:cs="Consolas" w:eastAsia="Consolas"/>
                <w:sz w:val="17"/>
              </w:rPr>
              <w:t>.xlsx</w:t>
            </w:r>
            <w:r>
              <w:rPr>
                <w:sz w:val="19"/>
              </w:rPr>
              <w:t xml:space="preserve">. Wird dort die Profil-XML gewählt, bricht der Import mit „workbook is null“ bzw. „getNumberOfSheets“ ab. Umgekehrt lässt sich ein Profil </w:t>
            </w:r>
            <w:r>
              <w:rPr>
                <w:b/>
                <w:sz w:val="19"/>
              </w:rPr>
              <w:t>nicht</w:t>
            </w:r>
            <w:r>
              <w:rPr>
                <w:sz w:val="19"/>
              </w:rPr>
              <w:t xml:space="preserve"> über LM163 oder </w:t>
            </w:r>
            <w:r>
              <w:rPr>
                <w:b/>
                <w:sz w:val="19"/>
              </w:rPr>
              <w:t>Dateien importieren</w:t>
            </w:r>
            <w:r>
              <w:rPr>
                <w:sz w:val="19"/>
              </w:rPr>
              <w:t xml:space="preserve"> (DI014) anlegen.</w:t>
            </w:r>
          </w:p>
        </w:tc>
      </w:tr>
    </w:tbl>
    <w:p>
      <w:pPr>
        <w:spacing w:after="40"/>
      </w:pPr>
    </w:p>
    <w:p>
      <w:r>
        <w:t>Ablauf:</w:t>
      </w:r>
    </w:p>
    <w:p>
      <w:pPr>
        <w:tabs>
          <w:tab w:pos="425" w:val="left"/>
        </w:tabs>
        <w:spacing w:after="60"/>
        <w:ind w:left="425" w:hanging="425"/>
      </w:pPr>
      <w:r>
        <w:rPr>
          <w:b/>
        </w:rPr>
        <w:t>1.</w:t>
        <w:tab/>
      </w:r>
      <w:r>
        <w:t>Passendes Paar aus Profil und Vorlage wählen (Kapitel 3).</w:t>
      </w:r>
    </w:p>
    <w:p>
      <w:pPr>
        <w:tabs>
          <w:tab w:pos="425" w:val="left"/>
        </w:tabs>
        <w:spacing w:after="60"/>
        <w:ind w:left="425" w:hanging="425"/>
      </w:pPr>
      <w:r>
        <w:rPr>
          <w:b/>
        </w:rPr>
        <w:t>2.</w:t>
        <w:tab/>
      </w:r>
      <w:r>
        <w:t>Profil einmalig in LM160 aus der XML-Datei importieren und in LM161 kontrollieren (Kapitel 4).</w:t>
      </w:r>
    </w:p>
    <w:p>
      <w:pPr>
        <w:tabs>
          <w:tab w:pos="425" w:val="left"/>
        </w:tabs>
        <w:spacing w:after="60"/>
        <w:ind w:left="425" w:hanging="425"/>
      </w:pPr>
      <w:r>
        <w:rPr>
          <w:b/>
        </w:rPr>
        <w:t>3.</w:t>
        <w:tab/>
      </w:r>
      <w:r>
        <w:t>Excel-Datei nach Vorlage füllen (Kapitel 5).</w:t>
      </w:r>
    </w:p>
    <w:p>
      <w:pPr>
        <w:tabs>
          <w:tab w:pos="425" w:val="left"/>
        </w:tabs>
        <w:spacing w:after="60"/>
        <w:ind w:left="425" w:hanging="425"/>
      </w:pPr>
      <w:r>
        <w:rPr>
          <w:b/>
        </w:rPr>
        <w:t>4.</w:t>
        <w:tab/>
      </w:r>
      <w:r>
        <w:t xml:space="preserve">Excel-Datei über </w:t>
      </w:r>
      <w:r>
        <w:rPr>
          <w:b/>
        </w:rPr>
        <w:t>Datei importieren</w:t>
      </w:r>
      <w:r>
        <w:t xml:space="preserve"> (LM163) importieren (Kapitel 6).</w:t>
      </w:r>
    </w:p>
    <w:p>
      <w:pPr>
        <w:tabs>
          <w:tab w:pos="425" w:val="left"/>
        </w:tabs>
        <w:spacing w:after="60"/>
        <w:ind w:left="425" w:hanging="425"/>
      </w:pPr>
      <w:r>
        <w:rPr>
          <w:b/>
        </w:rPr>
        <w:t>5.</w:t>
        <w:tab/>
      </w:r>
      <w:r>
        <w:t>Ergebnis in DI002 und MD001 kontrollieren (Kapitel 7), Fehler beheben (Kapitel 8).</w:t>
      </w:r>
    </w:p>
    <w:p>
      <w:pPr>
        <w:tabs>
          <w:tab w:pos="425" w:val="left"/>
        </w:tabs>
        <w:spacing w:after="60"/>
        <w:ind w:left="425" w:hanging="425"/>
      </w:pPr>
      <w:r>
        <w:rPr>
          <w:b/>
        </w:rPr>
        <w:t>6.</w:t>
        <w:tab/>
      </w:r>
      <w:r>
        <w:t>Optional: Einlagerauftrag mit Wareneigentümer importieren (Kapitel 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Klient zuerst entscheiden</w:t>
            </w:r>
          </w:p>
          <w:p>
            <w:pPr>
              <w:spacing w:after="40"/>
            </w:pPr>
            <w:r>
              <w:rPr>
                <w:sz w:val="19"/>
              </w:rPr>
              <w:t xml:space="preserve">Der Klient steht in jeder Artikelzeile. Erst importieren, wenn feststeht, ob die Stumatec mit einem oder mit zwei Klienten arbeitet (Dokument 12, </w:t>
            </w:r>
            <w:r>
              <w:rPr>
                <w:b/>
                <w:sz w:val="19"/>
              </w:rPr>
              <w:t>Entscheidungsgrundlage</w:t>
            </w:r>
            <w:r>
              <w:rPr>
                <w:sz w:val="19"/>
              </w:rPr>
              <w:t>).</w:t>
            </w:r>
          </w:p>
        </w:tc>
      </w:tr>
    </w:tbl>
    <w:p>
      <w:pPr>
        <w:spacing w:after="40"/>
      </w:pPr>
    </w:p>
    <w:p>
      <w:pPr>
        <w:pStyle w:val="Quelle"/>
      </w:pPr>
      <w:r>
        <w:rPr>
          <w:b/>
        </w:rPr>
        <w:t xml:space="preserve">Quelle: </w:t>
      </w:r>
      <w:r>
        <w:rPr>
          <w:sz w:val="17"/>
        </w:rPr>
        <w:t>Live-Import vor Ort Stumatec (26.10.2026); KH-A Kap. 6.2–6.4</w:t>
      </w:r>
    </w:p>
    <w:p>
      <w:pPr>
        <w:pStyle w:val="Heading1"/>
      </w:pPr>
      <w:r>
        <w:t>3 Dateien und Paare Profil ↔ Vorlage</w:t>
      </w:r>
    </w:p>
    <w:p>
      <w:pPr>
        <w:pStyle w:val="Heading2"/>
      </w:pPr>
      <w:r>
        <w:t>3.1 Ablageort</w:t>
      </w:r>
    </w:p>
    <w:p>
      <w:r>
        <w:t>Alle Profile (</w:t>
      </w:r>
      <w:r>
        <w:rPr>
          <w:rFonts w:ascii="Consolas" w:hAnsi="Consolas" w:cs="Consolas" w:eastAsia="Consolas"/>
          <w:sz w:val="18"/>
        </w:rPr>
        <w:t>.xml</w:t>
      </w:r>
      <w:r>
        <w:t>) und Vorlagen (</w:t>
      </w:r>
      <w:r>
        <w:rPr>
          <w:rFonts w:ascii="Consolas" w:hAnsi="Consolas" w:cs="Consolas" w:eastAsia="Consolas"/>
          <w:sz w:val="18"/>
        </w:rPr>
        <w:t>.xlsx</w:t>
      </w:r>
      <w:r>
        <w:t xml:space="preserve">) der Stumatec liegen auf dem Rechner </w:t>
      </w:r>
      <w:r>
        <w:rPr>
          <w:b/>
        </w:rPr>
        <w:t>Sobo</w:t>
      </w:r>
      <w:r>
        <w:t xml:space="preserve"> im Ordner:</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C:\Users\marek\Documents\WAMAS_Projekte\Stumatec\10_Artikel_Import\</w:t>
            </w:r>
          </w:p>
        </w:tc>
      </w:tr>
    </w:tbl>
    <w:p>
      <w:pPr>
        <w:pStyle w:val="BeschriftungSSI"/>
      </w:pPr>
      <w:r>
        <w:t>Abb. #: Ablageort der Importdateien (Rechner Sobo)</w:t>
      </w:r>
    </w:p>
    <w:p>
      <w:pPr>
        <w:pStyle w:val="Heading2"/>
      </w:pPr>
      <w:r>
        <w:t>3.2 Welche Vorlage passt zu welchem Profil?</w:t>
      </w:r>
    </w:p>
    <w:p>
      <w:r>
        <w:t>Profil und Vorlage gehören immer zusammen. Eine Excel-Datei nur mit dem Profil importieren, für das ihre Vorlage gebaut ist.</w:t>
      </w:r>
    </w:p>
    <w:tbl>
      <w:tblPr>
        <w:tblStyle w:val="TableGrid"/>
        <w:jc w:val="left"/>
        <w:tblLook w:firstColumn="1" w:firstRow="1" w:lastColumn="0" w:lastRow="0" w:noHBand="0" w:noVBand="1" w:val="04A0"/>
        <w:tblW w:w="10092"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4195"/>
        <w:gridCol w:w="3515"/>
      </w:tblGrid>
      <w:tr>
        <w:trPr>
          <w:tblHeader w:val="true"/>
          <w:cantSplit w:val="true"/>
        </w:trPr>
        <w:tc>
          <w:tcPr>
            <w:tcW w:type="dxa" w:w="2381"/>
            <w:shd w:val="clear" w:color="auto" w:fill="FEEE19"/>
          </w:tcPr>
          <w:p>
            <w:pPr>
              <w:spacing w:after="0"/>
            </w:pPr>
            <w:r>
              <w:rPr>
                <w:b/>
                <w:sz w:val="17"/>
              </w:rPr>
              <w:t>Profil (LM160/LM161)</w:t>
            </w:r>
          </w:p>
        </w:tc>
        <w:tc>
          <w:tcPr>
            <w:tcW w:type="dxa" w:w="4195"/>
            <w:shd w:val="clear" w:color="auto" w:fill="FEEE19"/>
          </w:tcPr>
          <w:p>
            <w:pPr>
              <w:spacing w:after="0"/>
            </w:pPr>
            <w:r>
              <w:rPr>
                <w:b/>
                <w:sz w:val="17"/>
              </w:rPr>
              <w:t>Excel-Vorlage</w:t>
            </w:r>
          </w:p>
        </w:tc>
        <w:tc>
          <w:tcPr>
            <w:tcW w:type="dxa" w:w="3515"/>
            <w:shd w:val="clear" w:color="auto" w:fill="FEEE19"/>
          </w:tcPr>
          <w:p>
            <w:pPr>
              <w:spacing w:after="0"/>
            </w:pPr>
            <w:r>
              <w:rPr>
                <w:b/>
                <w:sz w:val="17"/>
              </w:rPr>
              <w:t>Einsatz</w:t>
            </w:r>
          </w:p>
        </w:tc>
      </w:tr>
      <w:tr>
        <w:trPr>
          <w:cantSplit w:val="true"/>
        </w:trPr>
        <w:tc>
          <w:tcPr>
            <w:tcW w:type="dxa" w:w="2381"/>
          </w:tcPr>
          <w:p>
            <w:pPr>
              <w:spacing w:after="0" w:line="252" w:lineRule="auto"/>
            </w:pPr>
            <w:r>
              <w:rPr>
                <w:b/>
                <w:sz w:val="17"/>
              </w:rPr>
              <w:t>EXCEL_ITEM_V5</w:t>
            </w:r>
          </w:p>
        </w:tc>
        <w:tc>
          <w:tcPr>
            <w:tcW w:type="dxa" w:w="4195"/>
          </w:tcPr>
          <w:p>
            <w:pPr>
              <w:spacing w:after="0" w:line="252" w:lineRule="auto"/>
            </w:pPr>
            <w:r>
              <w:rPr>
                <w:rFonts w:ascii="Consolas" w:hAnsi="Consolas" w:cs="Consolas" w:eastAsia="Consolas"/>
                <w:sz w:val="15"/>
              </w:rPr>
              <w:t>EXCEL_ITEM_V5_Vorlage.xlsx</w:t>
            </w:r>
          </w:p>
        </w:tc>
        <w:tc>
          <w:tcPr>
            <w:tcW w:type="dxa" w:w="3515"/>
          </w:tcPr>
          <w:p>
            <w:pPr>
              <w:spacing w:after="0" w:line="252" w:lineRule="auto"/>
            </w:pPr>
            <w:r>
              <w:rPr>
                <w:b/>
                <w:sz w:val="17"/>
              </w:rPr>
              <w:t>Standard, empfohlen</w:t>
            </w:r>
            <w:r>
              <w:rPr>
                <w:sz w:val="17"/>
              </w:rPr>
              <w:t xml:space="preserve">; ohne Spalte </w:t>
            </w:r>
            <w:r>
              <w:rPr>
                <w:rFonts w:ascii="Consolas" w:hAnsi="Consolas" w:cs="Consolas" w:eastAsia="Consolas"/>
                <w:sz w:val="15"/>
              </w:rPr>
              <w:t>externalItem</w:t>
            </w:r>
          </w:p>
        </w:tc>
      </w:tr>
      <w:tr>
        <w:trPr>
          <w:cantSplit w:val="true"/>
        </w:trPr>
        <w:tc>
          <w:tcPr>
            <w:tcW w:type="dxa" w:w="2381"/>
          </w:tcPr>
          <w:p>
            <w:pPr>
              <w:spacing w:after="0" w:line="252" w:lineRule="auto"/>
            </w:pPr>
            <w:r>
              <w:rPr>
                <w:b/>
                <w:sz w:val="17"/>
              </w:rPr>
              <w:t>EXCEL_ITEM_MIN</w:t>
            </w:r>
          </w:p>
        </w:tc>
        <w:tc>
          <w:tcPr>
            <w:tcW w:type="dxa" w:w="4195"/>
          </w:tcPr>
          <w:p>
            <w:pPr>
              <w:spacing w:after="0" w:line="252" w:lineRule="auto"/>
            </w:pPr>
            <w:r>
              <w:rPr>
                <w:rFonts w:ascii="Consolas" w:hAnsi="Consolas" w:cs="Consolas" w:eastAsia="Consolas"/>
                <w:sz w:val="15"/>
              </w:rPr>
              <w:t>Stumatec_EXCEL_ITEM_MIN_Vorlage_v1.0.xlsx</w:t>
            </w:r>
          </w:p>
        </w:tc>
        <w:tc>
          <w:tcPr>
            <w:tcW w:type="dxa" w:w="3515"/>
          </w:tcPr>
          <w:p>
            <w:pPr>
              <w:spacing w:after="0" w:line="252" w:lineRule="auto"/>
            </w:pPr>
            <w:r>
              <w:rPr>
                <w:sz w:val="17"/>
              </w:rPr>
              <w:t>Minimal-Import</w:t>
            </w:r>
          </w:p>
        </w:tc>
      </w:tr>
      <w:tr>
        <w:trPr>
          <w:cantSplit w:val="true"/>
        </w:trPr>
        <w:tc>
          <w:tcPr>
            <w:tcW w:type="dxa" w:w="2381"/>
          </w:tcPr>
          <w:p>
            <w:pPr>
              <w:spacing w:after="0" w:line="252" w:lineRule="auto"/>
            </w:pPr>
            <w:r>
              <w:rPr>
                <w:b/>
                <w:sz w:val="17"/>
              </w:rPr>
              <w:t>EXCEL_ITEM_EXT</w:t>
            </w:r>
            <w:r>
              <w:rPr>
                <w:sz w:val="17"/>
              </w:rPr>
              <w:t xml:space="preserve"> / </w:t>
            </w:r>
            <w:r>
              <w:rPr>
                <w:b/>
                <w:sz w:val="17"/>
              </w:rPr>
              <w:t>EXCEL_ITEM_EXT_v2</w:t>
            </w:r>
          </w:p>
        </w:tc>
        <w:tc>
          <w:tcPr>
            <w:tcW w:type="dxa" w:w="4195"/>
          </w:tcPr>
          <w:p>
            <w:pPr>
              <w:spacing w:after="0" w:line="252" w:lineRule="auto"/>
            </w:pPr>
            <w:r>
              <w:rPr>
                <w:rFonts w:ascii="Consolas" w:hAnsi="Consolas" w:cs="Consolas" w:eastAsia="Consolas"/>
                <w:sz w:val="15"/>
              </w:rPr>
              <w:t>Stumatec_EXCEL_ITEM_EXT_v2_Vorlage</w:t>
            </w:r>
            <w:r>
              <w:rPr>
                <w:sz w:val="17"/>
              </w:rPr>
              <w:t xml:space="preserve"> (</w:t>
            </w:r>
            <w:r>
              <w:rPr>
                <w:rFonts w:ascii="Consolas" w:hAnsi="Consolas" w:cs="Consolas" w:eastAsia="Consolas"/>
                <w:sz w:val="15"/>
              </w:rPr>
              <w:t>.xlsx</w:t>
            </w:r>
            <w:r>
              <w:rPr>
                <w:sz w:val="17"/>
              </w:rPr>
              <w:t>)</w:t>
            </w:r>
          </w:p>
        </w:tc>
        <w:tc>
          <w:tcPr>
            <w:tcW w:type="dxa" w:w="3515"/>
          </w:tcPr>
          <w:p>
            <w:pPr>
              <w:spacing w:after="0" w:line="252" w:lineRule="auto"/>
            </w:pPr>
            <w:r>
              <w:rPr>
                <w:sz w:val="17"/>
              </w:rPr>
              <w:t xml:space="preserve">mit Spalte </w:t>
            </w:r>
            <w:r>
              <w:rPr>
                <w:rFonts w:ascii="Consolas" w:hAnsi="Consolas" w:cs="Consolas" w:eastAsia="Consolas"/>
                <w:sz w:val="15"/>
              </w:rPr>
              <w:t>externalItem</w:t>
            </w:r>
            <w:r>
              <w:rPr>
                <w:sz w:val="17"/>
              </w:rPr>
              <w:t xml:space="preserve"> (</w:t>
            </w:r>
            <w:r>
              <w:rPr>
                <w:rFonts w:ascii="Consolas" w:hAnsi="Consolas" w:cs="Consolas" w:eastAsia="Consolas"/>
                <w:sz w:val="15"/>
              </w:rPr>
              <w:t>0</w:t>
            </w:r>
            <w:r>
              <w:rPr>
                <w:sz w:val="17"/>
              </w:rPr>
              <w:t>/</w:t>
            </w:r>
            <w:r>
              <w:rPr>
                <w:rFonts w:ascii="Consolas" w:hAnsi="Consolas" w:cs="Consolas" w:eastAsia="Consolas"/>
                <w:sz w:val="15"/>
              </w:rPr>
              <w:t>1</w:t>
            </w:r>
            <w:r>
              <w:rPr>
                <w:sz w:val="17"/>
              </w:rPr>
              <w:t>)</w:t>
            </w:r>
          </w:p>
        </w:tc>
      </w:tr>
    </w:tbl>
    <w:p>
      <w:pPr>
        <w:pStyle w:val="BeschriftungSSI"/>
      </w:pPr>
      <w:r>
        <w:t>Tab. 3: Paare Profil ↔ Vorlage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EXCEL_ITEM_EXT nur mit Kontrolle</w:t>
            </w:r>
          </w:p>
          <w:p>
            <w:pPr>
              <w:spacing w:after="40"/>
            </w:pPr>
            <w:r>
              <w:rPr>
                <w:sz w:val="19"/>
              </w:rPr>
              <w:t xml:space="preserve">Mit </w:t>
            </w:r>
            <w:r>
              <w:rPr>
                <w:rFonts w:ascii="Consolas" w:hAnsi="Consolas" w:cs="Consolas" w:eastAsia="Consolas"/>
                <w:sz w:val="17"/>
              </w:rPr>
              <w:t>externalItem</w:t>
            </w:r>
            <w:r>
              <w:rPr>
                <w:sz w:val="19"/>
              </w:rPr>
              <w:t xml:space="preserve"> bzw. dem Profil </w:t>
            </w:r>
            <w:r>
              <w:rPr>
                <w:b/>
                <w:sz w:val="19"/>
              </w:rPr>
              <w:t>EXCEL_ITEM_EXT</w:t>
            </w:r>
            <w:r>
              <w:rPr>
                <w:sz w:val="19"/>
              </w:rPr>
              <w:t xml:space="preserve"> trat früher die Meldung „Cannot invoke … because field is null“ auf (altes, fehleranfälliges Verhalten). Wenn Sie EXT verwenden, das Ergebnis </w:t>
            </w:r>
            <w:r>
              <w:rPr>
                <w:b/>
                <w:sz w:val="19"/>
              </w:rPr>
              <w:t>immer in DI002 prüfen</w:t>
            </w:r>
            <w:r>
              <w:rPr>
                <w:sz w:val="19"/>
              </w:rPr>
              <w:t xml:space="preserve"> (Kapitel 7). Der sichere Standard ohne Extern-Flag ist </w:t>
            </w:r>
            <w:r>
              <w:rPr>
                <w:b/>
                <w:sz w:val="19"/>
              </w:rPr>
              <w:t>EXCEL_ITEM_V5</w:t>
            </w:r>
            <w:r>
              <w:rPr>
                <w:sz w:val="19"/>
              </w:rPr>
              <w: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Dateinamen der Profil-XML</w:t>
            </w:r>
          </w:p>
          <w:p>
            <w:pPr>
              <w:spacing w:after="40"/>
            </w:pPr>
            <w:r>
              <w:rPr>
                <w:sz w:val="19"/>
              </w:rPr>
              <w:t xml:space="preserve">Belegt ist </w:t>
            </w:r>
            <w:r>
              <w:rPr>
                <w:rFonts w:ascii="Consolas" w:hAnsi="Consolas" w:cs="Consolas" w:eastAsia="Consolas"/>
                <w:sz w:val="17"/>
              </w:rPr>
              <w:t>EXCEL_ITEM_V5_profile.xml</w:t>
            </w:r>
            <w:r>
              <w:rPr>
                <w:sz w:val="19"/>
              </w:rPr>
              <w:t xml:space="preserve"> (Stand 17.10.2026). Die genauen Dateinamen der XML-Profile für MIN und EXT_v2 sowie die Dateiendung/Version der EXT_v2-Vorlage im Ordner </w:t>
            </w:r>
            <w:r>
              <w:rPr>
                <w:rFonts w:ascii="Consolas" w:hAnsi="Consolas" w:cs="Consolas" w:eastAsia="Consolas"/>
                <w:sz w:val="17"/>
              </w:rPr>
              <w:t>10_Artikel_Import</w:t>
            </w:r>
            <w:r>
              <w:rPr>
                <w:sz w:val="19"/>
              </w:rPr>
              <w:t xml:space="preserve"> vor Ort ergänzen.</w:t>
            </w:r>
          </w:p>
        </w:tc>
      </w:tr>
    </w:tbl>
    <w:p>
      <w:pPr>
        <w:spacing w:after="40"/>
      </w:pPr>
    </w:p>
    <w:p>
      <w:pPr>
        <w:pStyle w:val="Quelle"/>
      </w:pPr>
      <w:r>
        <w:rPr>
          <w:b/>
        </w:rPr>
        <w:t xml:space="preserve">Quelle: </w:t>
      </w:r>
      <w:r>
        <w:rPr>
          <w:sz w:val="17"/>
        </w:rPr>
        <w:t>Live-Import vor Ort Stumatec (26.10.2026); V5; KH-A Kap. 6.5</w:t>
      </w:r>
    </w:p>
    <w:p>
      <w:pPr>
        <w:pStyle w:val="Heading1"/>
      </w:pPr>
      <w:r>
        <w:t>4 Profil anlegen (LM160 / LM161)</w:t>
      </w:r>
    </w:p>
    <w:p>
      <w:pPr>
        <w:pStyle w:val="Heading2"/>
      </w:pPr>
      <w:r>
        <w:t>4.1 Voraussetzungen</w:t>
      </w:r>
    </w:p>
    <w:p>
      <w:pPr>
        <w:pStyle w:val="ListBullet"/>
      </w:pPr>
      <w:r>
        <w:t xml:space="preserve">Benutzer mit Profil </w:t>
      </w:r>
      <w:r>
        <w:rPr>
          <w:b/>
        </w:rPr>
        <w:t>LogiMat Admin</w:t>
      </w:r>
      <w:r>
        <w:t xml:space="preserve"> (nur dieses Profil hat das Recht auf LM160/LM161/LM163).</w:t>
      </w:r>
    </w:p>
    <w:p>
      <w:pPr>
        <w:pStyle w:val="ListBullet"/>
      </w:pPr>
      <w:r>
        <w:t xml:space="preserve">Klient (nach Entscheid Dokument 12 </w:t>
      </w:r>
      <w:r>
        <w:rPr>
          <w:b/>
        </w:rPr>
        <w:t>[auszufüllen]</w:t>
      </w:r>
      <w:r>
        <w:t xml:space="preserve">), Artikeltyp </w:t>
      </w:r>
      <w:r>
        <w:rPr>
          <w:rFonts w:ascii="Consolas" w:hAnsi="Consolas" w:cs="Consolas" w:eastAsia="Consolas"/>
          <w:sz w:val="18"/>
        </w:rPr>
        <w:t>MERC</w:t>
      </w:r>
      <w:r>
        <w:t xml:space="preserve"> und alle Mengeneinheiten der Datei sind in MD017 </w:t>
      </w:r>
      <w:r>
        <w:rPr>
          <w:b/>
        </w:rPr>
        <w:t>beim richtigen Klienten</w:t>
      </w:r>
      <w:r>
        <w:t xml:space="preserve"> vorhanden. Einheiten werden nicht vom Klienten </w:t>
      </w:r>
      <w:r>
        <w:rPr>
          <w:rFonts w:ascii="Consolas" w:hAnsi="Consolas" w:cs="Consolas" w:eastAsia="Consolas"/>
          <w:sz w:val="18"/>
        </w:rPr>
        <w:t>DEFAULT</w:t>
      </w:r>
      <w:r>
        <w:t xml:space="preserve"> geerbt.</w:t>
      </w:r>
    </w:p>
    <w:p>
      <w:pPr>
        <w:pStyle w:val="ListBullet"/>
      </w:pPr>
      <w:r>
        <w:t xml:space="preserve">Profil-XML liegt vor (Kapitel 3.1), Zeichencodierung </w:t>
      </w:r>
      <w:r>
        <w:rPr>
          <w:b/>
        </w:rPr>
        <w:t>UTF-8</w:t>
      </w:r>
      <w:r>
        <w:t>.</w:t>
      </w:r>
    </w:p>
    <w:p>
      <w:pPr>
        <w:pStyle w:val="Heading2"/>
      </w:pPr>
      <w:r>
        <w:t>4.2 Weg A – Profil aus XML-Datei importieren (empfohlen)</w:t>
      </w:r>
    </w:p>
    <w:p>
      <w:pPr>
        <w:tabs>
          <w:tab w:pos="425" w:val="left"/>
        </w:tabs>
        <w:spacing w:after="60"/>
        <w:ind w:left="425" w:hanging="425"/>
      </w:pPr>
      <w:r>
        <w:rPr>
          <w:b/>
        </w:rPr>
        <w:t>1.</w:t>
        <w:tab/>
      </w:r>
      <w:r>
        <w:rPr>
          <w:b/>
        </w:rPr>
        <w:t>LM160</w:t>
      </w:r>
      <w:r>
        <w:t xml:space="preserve"> (Übersicht Schnittstellen-Mapping-Profile) öffnen.</w:t>
      </w:r>
    </w:p>
    <w:p>
      <w:pPr>
        <w:tabs>
          <w:tab w:pos="425" w:val="left"/>
        </w:tabs>
        <w:spacing w:after="60"/>
        <w:ind w:left="425" w:hanging="425"/>
      </w:pPr>
      <w:r>
        <w:rPr>
          <w:b/>
        </w:rPr>
        <w:t>2.</w:t>
        <w:tab/>
      </w:r>
      <w:r>
        <w:rPr>
          <w:b/>
        </w:rPr>
        <w:t>Aus XML-Datei importieren</w:t>
      </w:r>
      <w:r>
        <w:t xml:space="preserve"> wählen.</w:t>
      </w:r>
    </w:p>
    <w:p>
      <w:pPr>
        <w:tabs>
          <w:tab w:pos="425" w:val="left"/>
        </w:tabs>
        <w:spacing w:after="60"/>
        <w:ind w:left="425" w:hanging="425"/>
      </w:pPr>
      <w:r>
        <w:rPr>
          <w:b/>
        </w:rPr>
        <w:t>3.</w:t>
        <w:tab/>
      </w:r>
      <w:r>
        <w:t xml:space="preserve">Die Profil-XML (z. B. </w:t>
      </w:r>
      <w:r>
        <w:rPr>
          <w:rFonts w:ascii="Consolas" w:hAnsi="Consolas" w:cs="Consolas" w:eastAsia="Consolas"/>
          <w:sz w:val="18"/>
        </w:rPr>
        <w:t>EXCEL_ITEM_V5_profile.xml</w:t>
      </w:r>
      <w:r>
        <w:t xml:space="preserve">) wählen, Zeichencodierung </w:t>
      </w:r>
      <w:r>
        <w:rPr>
          <w:b/>
        </w:rPr>
        <w:t>UTF-8</w:t>
      </w:r>
      <w:r>
        <w:t>.</w:t>
      </w:r>
    </w:p>
    <w:p>
      <w:pPr>
        <w:tabs>
          <w:tab w:pos="425" w:val="left"/>
        </w:tabs>
        <w:spacing w:after="60"/>
        <w:ind w:left="425" w:hanging="425"/>
      </w:pPr>
      <w:r>
        <w:rPr>
          <w:b/>
        </w:rPr>
        <w:t>4.</w:t>
        <w:tab/>
      </w:r>
      <w:r>
        <w:t xml:space="preserve">Import bestätigen. Das Profil erscheint danach in der Übersicht </w:t>
      </w:r>
      <w:r>
        <w:rPr>
          <w:b/>
        </w:rPr>
        <w:t>LM160</w:t>
      </w:r>
      <w:r>
        <w:t xml:space="preserve"> und in </w:t>
      </w:r>
      <w:r>
        <w:rPr>
          <w:b/>
        </w:rPr>
        <w:t>Schnittstellen-Mapping-Profil pflegen</w:t>
      </w:r>
      <w:r>
        <w:t xml:space="preserve"> (LM161).</w:t>
      </w:r>
    </w:p>
    <w:p>
      <w:pPr>
        <w:pStyle w:val="Heading2"/>
      </w:pPr>
      <w:r>
        <w:t>4.3 Weg B – Profil manuell anlegen</w:t>
      </w:r>
    </w:p>
    <w:p>
      <w:pPr>
        <w:tabs>
          <w:tab w:pos="425" w:val="left"/>
        </w:tabs>
        <w:spacing w:after="60"/>
        <w:ind w:left="425" w:hanging="425"/>
      </w:pPr>
      <w:r>
        <w:rPr>
          <w:b/>
        </w:rPr>
        <w:t>1.</w:t>
        <w:tab/>
      </w:r>
      <w:r>
        <w:rPr>
          <w:b/>
        </w:rPr>
        <w:t>Schnittstellen-Mapping-Profil pflegen</w:t>
      </w:r>
      <w:r>
        <w:t xml:space="preserve"> (LM161) öffnen → </w:t>
      </w:r>
      <w:r>
        <w:rPr>
          <w:b/>
        </w:rPr>
        <w:t>Neu</w:t>
      </w:r>
      <w:r>
        <w:t>.</w:t>
      </w:r>
    </w:p>
    <w:p>
      <w:pPr>
        <w:tabs>
          <w:tab w:pos="425" w:val="left"/>
        </w:tabs>
        <w:spacing w:after="60"/>
        <w:ind w:left="425" w:hanging="425"/>
      </w:pPr>
      <w:r>
        <w:rPr>
          <w:b/>
        </w:rPr>
        <w:t>2.</w:t>
        <w:tab/>
      </w:r>
      <w:r>
        <w:t xml:space="preserve">Profilkopf: Datensatz Artikel, Datenvalidierung und Mapping-Fehler = </w:t>
      </w:r>
      <w:r>
        <w:rPr>
          <w:b/>
        </w:rPr>
        <w:t>Import abbrechen</w:t>
      </w:r>
      <w:r>
        <w:t>. Speichern.</w:t>
      </w:r>
    </w:p>
    <w:p>
      <w:pPr>
        <w:tabs>
          <w:tab w:pos="425" w:val="left"/>
        </w:tabs>
        <w:spacing w:after="60"/>
        <w:ind w:left="425" w:hanging="425"/>
      </w:pPr>
      <w:r>
        <w:rPr>
          <w:b/>
        </w:rPr>
        <w:t>3.</w:t>
        <w:tab/>
      </w:r>
      <w:r>
        <w:t>Datenfelder zuordnen (Satzart wählen, Feld verlassen, Profilkopf speichern, dann Datenfeld).</w:t>
      </w:r>
    </w:p>
    <w:p>
      <w:pPr>
        <w:pStyle w:val="Heading2"/>
      </w:pPr>
      <w:r>
        <w:t>4.4 Profil kontrollieren</w:t>
      </w:r>
    </w:p>
    <w:p>
      <w:r>
        <w:t xml:space="preserve">In LM161 prüfen: Name des Profils (z. B. </w:t>
      </w:r>
      <w:r>
        <w:rPr>
          <w:b/>
        </w:rPr>
        <w:t>EXCEL_ITEM_V5</w:t>
      </w:r>
      <w:r>
        <w:t xml:space="preserve">), Kopf mit </w:t>
      </w:r>
      <w:r>
        <w:rPr>
          <w:b/>
        </w:rPr>
        <w:t>Import abbrechen</w:t>
      </w:r>
      <w:r>
        <w:t>, Datenfelder vorhanden.</w:t>
      </w:r>
    </w:p>
    <w:p>
      <w:pPr>
        <w:keepNext/>
      </w:pPr>
      <w:r>
        <w:drawing>
          <wp:inline xmlns:a="http://schemas.openxmlformats.org/drawingml/2006/main" xmlns:pic="http://schemas.openxmlformats.org/drawingml/2006/picture">
            <wp:extent cx="5040000" cy="1277821"/>
            <wp:docPr id="104" name="Picture 104"/>
            <wp:cNvGraphicFramePr>
              <a:graphicFrameLocks noChangeAspect="1"/>
            </wp:cNvGraphicFramePr>
            <a:graphic>
              <a:graphicData uri="http://schemas.openxmlformats.org/drawingml/2006/picture">
                <pic:pic>
                  <pic:nvPicPr>
                    <pic:cNvPr id="0" name="ART_10b_LM161_Profil.png"/>
                    <pic:cNvPicPr/>
                  </pic:nvPicPr>
                  <pic:blipFill>
                    <a:blip r:embed="rId14"/>
                    <a:stretch>
                      <a:fillRect/>
                    </a:stretch>
                  </pic:blipFill>
                  <pic:spPr>
                    <a:xfrm>
                      <a:off x="0" y="0"/>
                      <a:ext cx="5040000" cy="1277821"/>
                    </a:xfrm>
                    <a:prstGeom prst="rect"/>
                  </pic:spPr>
                </pic:pic>
              </a:graphicData>
            </a:graphic>
          </wp:inline>
        </w:drawing>
      </w:r>
    </w:p>
    <w:p>
      <w:pPr>
        <w:pStyle w:val="BeschriftungSSI"/>
      </w:pPr>
      <w:r>
        <w:t>Abb. 1: LM161 – Profilkopf (SSI-Testsystem srv01, WAMAS LS 2.8 (Testdaten))</w:t>
      </w:r>
    </w:p>
    <w:p>
      <w:pPr>
        <w:keepNext/>
      </w:pPr>
      <w:r>
        <w:drawing>
          <wp:inline xmlns:a="http://schemas.openxmlformats.org/drawingml/2006/main" xmlns:pic="http://schemas.openxmlformats.org/drawingml/2006/picture">
            <wp:extent cx="5040000" cy="1538610"/>
            <wp:docPr id="105" name="Picture 105"/>
            <wp:cNvGraphicFramePr>
              <a:graphicFrameLocks noChangeAspect="1"/>
            </wp:cNvGraphicFramePr>
            <a:graphic>
              <a:graphicData uri="http://schemas.openxmlformats.org/drawingml/2006/picture">
                <pic:pic>
                  <pic:nvPicPr>
                    <pic:cNvPr id="0" name="ART_10_LM161_Daten-Zuordnung.png"/>
                    <pic:cNvPicPr/>
                  </pic:nvPicPr>
                  <pic:blipFill>
                    <a:blip r:embed="rId15"/>
                    <a:stretch>
                      <a:fillRect/>
                    </a:stretch>
                  </pic:blipFill>
                  <pic:spPr>
                    <a:xfrm>
                      <a:off x="0" y="0"/>
                      <a:ext cx="5040000" cy="1538610"/>
                    </a:xfrm>
                    <a:prstGeom prst="rect"/>
                  </pic:spPr>
                </pic:pic>
              </a:graphicData>
            </a:graphic>
          </wp:inline>
        </w:drawing>
      </w:r>
    </w:p>
    <w:p>
      <w:pPr>
        <w:pStyle w:val="BeschriftungSSI"/>
      </w:pPr>
      <w:r>
        <w:t>Abb. 2: LM161 – Daten-Zuordnung (SSI-Testsystem srv01, WAMAS LS 2.8 (Testdaten))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Profile nicht über DI014 oder LM163 importieren</w:t>
            </w:r>
          </w:p>
          <w:p>
            <w:pPr>
              <w:spacing w:after="40"/>
            </w:pPr>
            <w:r>
              <w:rPr>
                <w:sz w:val="19"/>
              </w:rPr>
              <w:t xml:space="preserve">Eine Profil-XML über </w:t>
            </w:r>
            <w:r>
              <w:rPr>
                <w:b/>
                <w:sz w:val="19"/>
              </w:rPr>
              <w:t>Dateien importieren</w:t>
            </w:r>
            <w:r>
              <w:rPr>
                <w:sz w:val="19"/>
              </w:rPr>
              <w:t xml:space="preserve"> (DI014) oder LM163 einzulesen, legt </w:t>
            </w:r>
            <w:r>
              <w:rPr>
                <w:b/>
                <w:sz w:val="19"/>
              </w:rPr>
              <w:t>kein</w:t>
            </w:r>
            <w:r>
              <w:rPr>
                <w:sz w:val="19"/>
              </w:rPr>
              <w:t xml:space="preserve"> Profil an (Meldung z. B. „Hauptdatensatztyp konnte nicht bestimmt werden.“). Profile nur über LM160 oder LM161.</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Schnittstellenstand</w:t>
            </w:r>
          </w:p>
          <w:p>
            <w:pPr>
              <w:spacing w:after="40"/>
            </w:pPr>
            <w:r>
              <w:rPr>
                <w:sz w:val="19"/>
              </w:rPr>
              <w:t xml:space="preserve">Im SSI-Testsystem steht der Parameter </w:t>
            </w:r>
            <w:r>
              <w:rPr>
                <w:rFonts w:ascii="Consolas" w:hAnsi="Consolas" w:cs="Consolas" w:eastAsia="Consolas"/>
                <w:sz w:val="17"/>
              </w:rPr>
              <w:t>logimat.interfaceMode</w:t>
            </w:r>
            <w:r>
              <w:rPr>
                <w:sz w:val="19"/>
              </w:rPr>
              <w:t xml:space="preserve"> auf </w:t>
            </w:r>
            <w:r>
              <w:rPr>
                <w:rFonts w:ascii="Consolas" w:hAnsi="Consolas" w:cs="Consolas" w:eastAsia="Consolas"/>
                <w:sz w:val="17"/>
              </w:rPr>
              <w:t>ERP_2_7_0</w:t>
            </w:r>
            <w:r>
              <w:rPr>
                <w:sz w:val="19"/>
              </w:rPr>
              <w:t xml:space="preserve">: Satzarten aus 2.8 (z. B. </w:t>
            </w:r>
            <w:r>
              <w:rPr>
                <w:rFonts w:ascii="Consolas" w:hAnsi="Consolas" w:cs="Consolas" w:eastAsia="Consolas"/>
                <w:sz w:val="17"/>
              </w:rPr>
              <w:t>WLSITEMIMAGE001</w:t>
            </w:r>
            <w:r>
              <w:rPr>
                <w:sz w:val="19"/>
              </w:rPr>
              <w:t xml:space="preserve">) werden abgelehnt. V5 nutzt nur </w:t>
            </w:r>
            <w:r>
              <w:rPr>
                <w:rFonts w:ascii="Consolas" w:hAnsi="Consolas" w:cs="Consolas" w:eastAsia="Consolas"/>
                <w:sz w:val="17"/>
              </w:rPr>
              <w:t>WLSITEM001</w:t>
            </w:r>
            <w:r>
              <w:rPr>
                <w:sz w:val="19"/>
              </w:rPr>
              <w:t xml:space="preserve">, </w:t>
            </w:r>
            <w:r>
              <w:rPr>
                <w:rFonts w:ascii="Consolas" w:hAnsi="Consolas" w:cs="Consolas" w:eastAsia="Consolas"/>
                <w:sz w:val="17"/>
              </w:rPr>
              <w:t>WLSITEMDESC001</w:t>
            </w:r>
            <w:r>
              <w:rPr>
                <w:sz w:val="19"/>
              </w:rPr>
              <w:t xml:space="preserve">, </w:t>
            </w:r>
            <w:r>
              <w:rPr>
                <w:rFonts w:ascii="Consolas" w:hAnsi="Consolas" w:cs="Consolas" w:eastAsia="Consolas"/>
                <w:sz w:val="17"/>
              </w:rPr>
              <w:t>WLSITEMALIAS001</w:t>
            </w:r>
            <w:r>
              <w:rPr>
                <w:sz w:val="19"/>
              </w:rPr>
              <w:t xml:space="preserve">. </w:t>
            </w:r>
            <w:r>
              <w:rPr>
                <w:b/>
                <w:sz w:val="19"/>
              </w:rPr>
              <w:t>[vor Ort prüfen]</w:t>
            </w:r>
            <w:r>
              <w:rPr>
                <w:sz w:val="19"/>
              </w:rPr>
              <w:t xml:space="preserve"> Einstellung auf dem Stumatec-System.</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Menüweg LM160</w:t>
            </w:r>
          </w:p>
          <w:p>
            <w:pPr>
              <w:spacing w:after="40"/>
            </w:pPr>
            <w:r>
              <w:rPr>
                <w:sz w:val="19"/>
              </w:rPr>
              <w:t xml:space="preserve">Den genauen Menüweg bzw. Knopf zu </w:t>
            </w:r>
            <w:r>
              <w:rPr>
                <w:b/>
                <w:sz w:val="19"/>
              </w:rPr>
              <w:t>Aus XML-Datei importieren</w:t>
            </w:r>
            <w:r>
              <w:rPr>
                <w:sz w:val="19"/>
              </w:rPr>
              <w:t xml:space="preserve"> in LM160 (Symbolleiste oder Rechtsklick) vor Ort mit Screenshot ergänzen.</w:t>
            </w:r>
          </w:p>
        </w:tc>
      </w:tr>
    </w:tbl>
    <w:p>
      <w:pPr>
        <w:spacing w:after="40"/>
      </w:pPr>
    </w:p>
    <w:p>
      <w:pPr>
        <w:pStyle w:val="Quelle"/>
      </w:pPr>
      <w:r>
        <w:rPr>
          <w:b/>
        </w:rPr>
        <w:t xml:space="preserve">Quelle: </w:t>
      </w:r>
      <w:r>
        <w:rPr>
          <w:sz w:val="17"/>
        </w:rPr>
        <w:t>Live-Import vor Ort Stumatec (26.10.2026); KH-A Kap. 6.1, 6.6; TL Z. 12–15</w:t>
      </w:r>
    </w:p>
    <w:p>
      <w:pPr>
        <w:pStyle w:val="Heading1"/>
      </w:pPr>
      <w:r>
        <w:t>5 Excel-Datei vorbereiten</w:t>
      </w:r>
    </w:p>
    <w:p>
      <w:pPr>
        <w:tabs>
          <w:tab w:pos="425" w:val="left"/>
        </w:tabs>
        <w:spacing w:after="60"/>
        <w:ind w:left="425" w:hanging="425"/>
      </w:pPr>
      <w:r>
        <w:rPr>
          <w:b/>
        </w:rPr>
        <w:t>1.</w:t>
        <w:tab/>
      </w:r>
      <w:r>
        <w:t xml:space="preserve">Die zum Profil passende Vorlage (Tab. 3) aus dem Ordner </w:t>
      </w:r>
      <w:r>
        <w:rPr>
          <w:rFonts w:ascii="Consolas" w:hAnsi="Consolas" w:cs="Consolas" w:eastAsia="Consolas"/>
          <w:sz w:val="18"/>
        </w:rPr>
        <w:t>10_Artikel_Import</w:t>
      </w:r>
      <w:r>
        <w:t xml:space="preserve"> kopieren und unter neuem Namen speichern.</w:t>
      </w:r>
    </w:p>
    <w:p>
      <w:pPr>
        <w:tabs>
          <w:tab w:pos="425" w:val="left"/>
        </w:tabs>
        <w:spacing w:after="60"/>
        <w:ind w:left="425" w:hanging="425"/>
      </w:pPr>
      <w:r>
        <w:rPr>
          <w:b/>
        </w:rPr>
        <w:t>2.</w:t>
        <w:tab/>
      </w:r>
      <w:r>
        <w:t>Blatt „Artikel“ an erster Stelle lassen, Zeile 1 = Überschrift.</w:t>
      </w:r>
    </w:p>
    <w:p>
      <w:pPr>
        <w:tabs>
          <w:tab w:pos="425" w:val="left"/>
        </w:tabs>
        <w:spacing w:after="60"/>
        <w:ind w:left="425" w:hanging="425"/>
      </w:pPr>
      <w:r>
        <w:rPr>
          <w:b/>
        </w:rPr>
        <w:t>3.</w:t>
        <w:tab/>
      </w:r>
      <w:r>
        <w:t>Ab Zeile 2 je Artikel eine Zeile füllen, Regeln siehe Tabelle.</w:t>
      </w:r>
    </w:p>
    <w:p>
      <w:pPr>
        <w:tabs>
          <w:tab w:pos="425" w:val="left"/>
        </w:tabs>
        <w:spacing w:after="60"/>
        <w:ind w:left="425" w:hanging="425"/>
      </w:pPr>
      <w:r>
        <w:rPr>
          <w:b/>
        </w:rPr>
        <w:t>4.</w:t>
        <w:tab/>
      </w:r>
      <w:r>
        <w:t xml:space="preserve">Als </w:t>
      </w:r>
      <w:r>
        <w:rPr>
          <w:rFonts w:ascii="Consolas" w:hAnsi="Consolas" w:cs="Consolas" w:eastAsia="Consolas"/>
          <w:sz w:val="18"/>
        </w:rPr>
        <w:t>.xlsx</w:t>
      </w:r>
      <w:r>
        <w:t xml:space="preserve"> speichern und schliessen.</w:t>
      </w:r>
    </w:p>
    <w:tbl>
      <w:tblPr>
        <w:tblStyle w:val="TableGrid"/>
        <w:jc w:val="left"/>
        <w:tblLook w:firstColumn="1" w:firstRow="1" w:lastColumn="0" w:lastRow="0" w:noHBand="0" w:noVBand="1" w:val="04A0"/>
        <w:tblW w:w="10092"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08"/>
        <w:gridCol w:w="7484"/>
      </w:tblGrid>
      <w:tr>
        <w:trPr>
          <w:tblHeader w:val="true"/>
          <w:cantSplit w:val="true"/>
        </w:trPr>
        <w:tc>
          <w:tcPr>
            <w:tcW w:type="dxa" w:w="2608"/>
            <w:shd w:val="clear" w:color="auto" w:fill="FEEE19"/>
          </w:tcPr>
          <w:p>
            <w:pPr>
              <w:spacing w:after="0"/>
            </w:pPr>
            <w:r>
              <w:rPr>
                <w:b/>
                <w:sz w:val="17"/>
              </w:rPr>
              <w:t>Feld (Spalte)</w:t>
            </w:r>
          </w:p>
        </w:tc>
        <w:tc>
          <w:tcPr>
            <w:tcW w:type="dxa" w:w="7483"/>
            <w:shd w:val="clear" w:color="auto" w:fill="FEEE19"/>
          </w:tcPr>
          <w:p>
            <w:pPr>
              <w:spacing w:after="0"/>
            </w:pPr>
            <w:r>
              <w:rPr>
                <w:b/>
                <w:sz w:val="17"/>
              </w:rPr>
              <w:t>Regel Stumatec</w:t>
            </w:r>
          </w:p>
        </w:tc>
      </w:tr>
      <w:tr>
        <w:trPr>
          <w:cantSplit w:val="true"/>
        </w:trPr>
        <w:tc>
          <w:tcPr>
            <w:tcW w:type="dxa" w:w="2608"/>
          </w:tcPr>
          <w:p>
            <w:pPr>
              <w:spacing w:after="0" w:line="252" w:lineRule="auto"/>
            </w:pPr>
            <w:r>
              <w:rPr>
                <w:sz w:val="17"/>
              </w:rPr>
              <w:t xml:space="preserve">Mandant </w:t>
            </w:r>
            <w:r>
              <w:rPr>
                <w:rFonts w:ascii="Consolas" w:hAnsi="Consolas" w:cs="Consolas" w:eastAsia="Consolas"/>
                <w:sz w:val="15"/>
              </w:rPr>
              <w:t>clientId</w:t>
            </w:r>
          </w:p>
        </w:tc>
        <w:tc>
          <w:tcPr>
            <w:tcW w:type="dxa" w:w="7483"/>
          </w:tcPr>
          <w:p>
            <w:pPr>
              <w:spacing w:after="0" w:line="252" w:lineRule="auto"/>
            </w:pPr>
            <w:r>
              <w:rPr>
                <w:sz w:val="17"/>
              </w:rPr>
              <w:t xml:space="preserve">Klient nach Entscheid </w:t>
            </w:r>
            <w:r>
              <w:rPr>
                <w:b/>
                <w:sz w:val="17"/>
              </w:rPr>
              <w:t>[auszufüllen]</w:t>
            </w:r>
            <w:r>
              <w:rPr>
                <w:sz w:val="17"/>
              </w:rPr>
              <w:t xml:space="preserve"> (im Testsystem </w:t>
            </w:r>
            <w:r>
              <w:rPr>
                <w:rFonts w:ascii="Consolas" w:hAnsi="Consolas" w:cs="Consolas" w:eastAsia="Consolas"/>
                <w:sz w:val="15"/>
              </w:rPr>
              <w:t>DEFAULT</w:t>
            </w:r>
            <w:r>
              <w:rPr>
                <w:sz w:val="17"/>
              </w:rPr>
              <w:t>)</w:t>
            </w:r>
          </w:p>
        </w:tc>
      </w:tr>
      <w:tr>
        <w:trPr>
          <w:cantSplit w:val="true"/>
        </w:trPr>
        <w:tc>
          <w:tcPr>
            <w:tcW w:type="dxa" w:w="2608"/>
          </w:tcPr>
          <w:p>
            <w:pPr>
              <w:spacing w:after="0" w:line="252" w:lineRule="auto"/>
            </w:pPr>
            <w:r>
              <w:rPr>
                <w:sz w:val="17"/>
              </w:rPr>
              <w:t xml:space="preserve">Artikelnummer </w:t>
            </w:r>
            <w:r>
              <w:rPr>
                <w:rFonts w:ascii="Consolas" w:hAnsi="Consolas" w:cs="Consolas" w:eastAsia="Consolas"/>
                <w:sz w:val="15"/>
              </w:rPr>
              <w:t>itemNo</w:t>
            </w:r>
          </w:p>
        </w:tc>
        <w:tc>
          <w:tcPr>
            <w:tcW w:type="dxa" w:w="7483"/>
          </w:tcPr>
          <w:p>
            <w:pPr>
              <w:spacing w:after="0" w:line="252" w:lineRule="auto"/>
            </w:pPr>
            <w:r>
              <w:rPr>
                <w:sz w:val="17"/>
              </w:rPr>
              <w:t xml:space="preserve">Regel </w:t>
            </w:r>
            <w:r>
              <w:rPr>
                <w:b/>
                <w:sz w:val="17"/>
              </w:rPr>
              <w:t>[auszufüllen]</w:t>
            </w:r>
            <w:r>
              <w:rPr>
                <w:sz w:val="17"/>
              </w:rPr>
              <w:t>; genau wie im Quellsystem, als Text</w:t>
            </w:r>
          </w:p>
        </w:tc>
      </w:tr>
      <w:tr>
        <w:trPr>
          <w:cantSplit w:val="true"/>
        </w:trPr>
        <w:tc>
          <w:tcPr>
            <w:tcW w:type="dxa" w:w="2608"/>
          </w:tcPr>
          <w:p>
            <w:pPr>
              <w:spacing w:after="0" w:line="252" w:lineRule="auto"/>
            </w:pPr>
            <w:r>
              <w:rPr>
                <w:sz w:val="17"/>
              </w:rPr>
              <w:t xml:space="preserve">Variante </w:t>
            </w:r>
            <w:r>
              <w:rPr>
                <w:rFonts w:ascii="Consolas" w:hAnsi="Consolas" w:cs="Consolas" w:eastAsia="Consolas"/>
                <w:sz w:val="15"/>
              </w:rPr>
              <w:t>variant</w:t>
            </w:r>
          </w:p>
        </w:tc>
        <w:tc>
          <w:tcPr>
            <w:tcW w:type="dxa" w:w="7483"/>
          </w:tcPr>
          <w:p>
            <w:pPr>
              <w:spacing w:after="0" w:line="252" w:lineRule="auto"/>
            </w:pPr>
            <w:r>
              <w:rPr>
                <w:sz w:val="17"/>
              </w:rPr>
              <w:t xml:space="preserve">nur </w:t>
            </w:r>
            <w:r>
              <w:rPr>
                <w:b/>
                <w:sz w:val="17"/>
              </w:rPr>
              <w:t>`STM`</w:t>
            </w:r>
            <w:r>
              <w:rPr>
                <w:sz w:val="17"/>
              </w:rPr>
              <w:t xml:space="preserve"> oder </w:t>
            </w:r>
            <w:r>
              <w:rPr>
                <w:b/>
                <w:sz w:val="17"/>
              </w:rPr>
              <w:t>`STS`</w:t>
            </w:r>
            <w:r>
              <w:rPr>
                <w:sz w:val="17"/>
              </w:rPr>
              <w:t xml:space="preserve">, über das </w:t>
            </w:r>
            <w:r>
              <w:rPr>
                <w:b/>
                <w:sz w:val="17"/>
              </w:rPr>
              <w:t>Dropdown</w:t>
            </w:r>
            <w:r>
              <w:rPr>
                <w:sz w:val="17"/>
              </w:rPr>
              <w:t xml:space="preserve"> der Zelle wählen. Nicht </w:t>
            </w:r>
            <w:r>
              <w:rPr>
                <w:rFonts w:ascii="Consolas" w:hAnsi="Consolas" w:cs="Consolas" w:eastAsia="Consolas"/>
                <w:sz w:val="15"/>
              </w:rPr>
              <w:t>STUMATEC</w:t>
            </w:r>
            <w:r>
              <w:rPr>
                <w:sz w:val="17"/>
              </w:rPr>
              <w:t xml:space="preserve">, </w:t>
            </w:r>
            <w:r>
              <w:rPr>
                <w:rFonts w:ascii="Consolas" w:hAnsi="Consolas" w:cs="Consolas" w:eastAsia="Consolas"/>
                <w:sz w:val="15"/>
              </w:rPr>
              <w:t>STUDERSON</w:t>
            </w:r>
            <w:r>
              <w:rPr>
                <w:sz w:val="17"/>
              </w:rPr>
              <w:t xml:space="preserve">, </w:t>
            </w:r>
            <w:r>
              <w:rPr>
                <w:rFonts w:ascii="Consolas" w:hAnsi="Consolas" w:cs="Consolas" w:eastAsia="Consolas"/>
                <w:sz w:val="15"/>
              </w:rPr>
              <w:t>00000</w:t>
            </w:r>
            <w:r>
              <w:rPr>
                <w:sz w:val="17"/>
              </w:rPr>
              <w:t xml:space="preserve"> oder </w:t>
            </w:r>
            <w:r>
              <w:rPr>
                <w:rFonts w:ascii="Consolas" w:hAnsi="Consolas" w:cs="Consolas" w:eastAsia="Consolas"/>
                <w:sz w:val="15"/>
              </w:rPr>
              <w:t>TOOLS</w:t>
            </w:r>
          </w:p>
        </w:tc>
      </w:tr>
      <w:tr>
        <w:trPr>
          <w:cantSplit w:val="true"/>
        </w:trPr>
        <w:tc>
          <w:tcPr>
            <w:tcW w:type="dxa" w:w="2608"/>
          </w:tcPr>
          <w:p>
            <w:pPr>
              <w:spacing w:after="0" w:line="252" w:lineRule="auto"/>
            </w:pPr>
            <w:r>
              <w:rPr>
                <w:sz w:val="17"/>
              </w:rPr>
              <w:t>Bezeichnung</w:t>
            </w:r>
          </w:p>
        </w:tc>
        <w:tc>
          <w:tcPr>
            <w:tcW w:type="dxa" w:w="7483"/>
          </w:tcPr>
          <w:p>
            <w:pPr>
              <w:spacing w:after="0" w:line="252" w:lineRule="auto"/>
            </w:pPr>
            <w:r>
              <w:rPr>
                <w:sz w:val="17"/>
              </w:rPr>
              <w:t>höchstens 40 Zeichen</w:t>
            </w:r>
          </w:p>
        </w:tc>
      </w:tr>
      <w:tr>
        <w:trPr>
          <w:cantSplit w:val="true"/>
        </w:trPr>
        <w:tc>
          <w:tcPr>
            <w:tcW w:type="dxa" w:w="2608"/>
          </w:tcPr>
          <w:p>
            <w:pPr>
              <w:spacing w:after="0" w:line="252" w:lineRule="auto"/>
            </w:pPr>
            <w:r>
              <w:rPr>
                <w:sz w:val="17"/>
              </w:rPr>
              <w:t xml:space="preserve">Basismengeneinheit </w:t>
            </w:r>
            <w:r>
              <w:rPr>
                <w:rFonts w:ascii="Consolas" w:hAnsi="Consolas" w:cs="Consolas" w:eastAsia="Consolas"/>
                <w:sz w:val="15"/>
              </w:rPr>
              <w:t>baseQtyUnit</w:t>
            </w:r>
          </w:p>
        </w:tc>
        <w:tc>
          <w:tcPr>
            <w:tcW w:type="dxa" w:w="7483"/>
          </w:tcPr>
          <w:p>
            <w:pPr>
              <w:spacing w:after="0" w:line="252" w:lineRule="auto"/>
            </w:pPr>
            <w:r>
              <w:rPr>
                <w:sz w:val="17"/>
              </w:rPr>
              <w:t xml:space="preserve">nur Einheiten, die in MD017 beim Klienten vorhanden sind (Einheiten der Stumatec </w:t>
            </w:r>
            <w:r>
              <w:rPr>
                <w:b/>
                <w:sz w:val="17"/>
              </w:rPr>
              <w:t>[auszufüllen]</w:t>
            </w:r>
            <w:r>
              <w:rPr>
                <w:sz w:val="17"/>
              </w:rPr>
              <w:t>)</w:t>
            </w:r>
          </w:p>
        </w:tc>
      </w:tr>
      <w:tr>
        <w:trPr>
          <w:cantSplit w:val="true"/>
        </w:trPr>
        <w:tc>
          <w:tcPr>
            <w:tcW w:type="dxa" w:w="2608"/>
          </w:tcPr>
          <w:p>
            <w:pPr>
              <w:spacing w:after="0" w:line="252" w:lineRule="auto"/>
            </w:pPr>
            <w:r>
              <w:rPr>
                <w:rFonts w:ascii="Consolas" w:hAnsi="Consolas" w:cs="Consolas" w:eastAsia="Consolas"/>
                <w:sz w:val="15"/>
              </w:rPr>
              <w:t>externalItem</w:t>
            </w:r>
          </w:p>
        </w:tc>
        <w:tc>
          <w:tcPr>
            <w:tcW w:type="dxa" w:w="7483"/>
          </w:tcPr>
          <w:p>
            <w:pPr>
              <w:spacing w:after="0" w:line="252" w:lineRule="auto"/>
            </w:pPr>
            <w:r>
              <w:rPr>
                <w:sz w:val="17"/>
              </w:rPr>
              <w:t xml:space="preserve">nur in der EXT_v2-Vorlage: </w:t>
            </w:r>
            <w:r>
              <w:rPr>
                <w:rFonts w:ascii="Consolas" w:hAnsi="Consolas" w:cs="Consolas" w:eastAsia="Consolas"/>
                <w:sz w:val="15"/>
              </w:rPr>
              <w:t>0</w:t>
            </w:r>
            <w:r>
              <w:rPr>
                <w:sz w:val="17"/>
              </w:rPr>
              <w:t xml:space="preserve"> oder </w:t>
            </w:r>
            <w:r>
              <w:rPr>
                <w:rFonts w:ascii="Consolas" w:hAnsi="Consolas" w:cs="Consolas" w:eastAsia="Consolas"/>
                <w:sz w:val="15"/>
              </w:rPr>
              <w:t>1</w:t>
            </w:r>
            <w:r>
              <w:rPr>
                <w:sz w:val="17"/>
              </w:rPr>
              <w:t>. In V5 gibt es diese Spalte nicht</w:t>
            </w:r>
          </w:p>
        </w:tc>
      </w:tr>
      <w:tr>
        <w:trPr>
          <w:cantSplit w:val="true"/>
        </w:trPr>
        <w:tc>
          <w:tcPr>
            <w:tcW w:type="dxa" w:w="2608"/>
          </w:tcPr>
          <w:p>
            <w:pPr>
              <w:spacing w:after="0" w:line="252" w:lineRule="auto"/>
            </w:pPr>
            <w:r>
              <w:rPr>
                <w:sz w:val="17"/>
              </w:rPr>
              <w:t>Warengruppe</w:t>
            </w:r>
          </w:p>
        </w:tc>
        <w:tc>
          <w:tcPr>
            <w:tcW w:type="dxa" w:w="7483"/>
          </w:tcPr>
          <w:p>
            <w:pPr>
              <w:spacing w:after="0" w:line="252" w:lineRule="auto"/>
            </w:pPr>
            <w:r>
              <w:rPr>
                <w:sz w:val="17"/>
              </w:rPr>
              <w:t>keine Spalte in V5 (siehe Lücke)</w:t>
            </w:r>
          </w:p>
        </w:tc>
      </w:tr>
    </w:tbl>
    <w:p>
      <w:pPr>
        <w:pStyle w:val="BeschriftungSSI"/>
      </w:pPr>
      <w:r>
        <w:t>Tab. 4: Regeln für die Spalten (Spaltenfolge siehe Blatt „Anleitung“ der jeweiligen Vorlage)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Spalten nicht verändern</w:t>
            </w:r>
          </w:p>
          <w:p>
            <w:pPr>
              <w:spacing w:after="40"/>
            </w:pPr>
            <w:r>
              <w:rPr>
                <w:sz w:val="19"/>
              </w:rPr>
              <w:t xml:space="preserve">Das Profil liest die Werte nach </w:t>
            </w:r>
            <w:r>
              <w:rPr>
                <w:b/>
                <w:sz w:val="19"/>
              </w:rPr>
              <w:t>Blatt und Spaltennummer</w:t>
            </w:r>
            <w:r>
              <w:rPr>
                <w:sz w:val="19"/>
              </w:rPr>
              <w:t xml:space="preserve">. Keine Spalten einfügen, löschen oder verschieben. Alle Zellen als </w:t>
            </w:r>
            <w:r>
              <w:rPr>
                <w:b/>
                <w:sz w:val="19"/>
              </w:rPr>
              <w:t>Text</w:t>
            </w:r>
            <w:r>
              <w:rPr>
                <w:sz w:val="19"/>
              </w:rPr>
              <w:t xml:space="preserve"> (sonst wird eine Nummer wie </w:t>
            </w:r>
            <w:r>
              <w:rPr>
                <w:rFonts w:ascii="Consolas" w:hAnsi="Consolas" w:cs="Consolas" w:eastAsia="Consolas"/>
                <w:sz w:val="17"/>
              </w:rPr>
              <w:t>0815</w:t>
            </w:r>
            <w:r>
              <w:rPr>
                <w:sz w:val="19"/>
              </w:rPr>
              <w:t xml:space="preserve"> zu </w:t>
            </w:r>
            <w:r>
              <w:rPr>
                <w:rFonts w:ascii="Consolas" w:hAnsi="Consolas" w:cs="Consolas" w:eastAsia="Consolas"/>
                <w:sz w:val="17"/>
              </w:rPr>
              <w:t>815</w:t>
            </w:r>
            <w:r>
              <w:rPr>
                <w:sz w:val="19"/>
              </w:rPr>
              <w: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Vor Ort prüfen: Warengruppe und Dropdown</w:t>
            </w:r>
          </w:p>
          <w:p>
            <w:pPr>
              <w:spacing w:after="40"/>
            </w:pPr>
            <w:r>
              <w:rPr>
                <w:sz w:val="19"/>
              </w:rPr>
              <w:t xml:space="preserve">Die Vorlage V5 hat keine Spalte für die Warengruppe. Vor dem ersten Import klären, welche Warengruppe WAMAS setzt oder ob das Profil einen festen Wert braucht. Ebenfalls prüfen, ob das Dropdown </w:t>
            </w:r>
            <w:r>
              <w:rPr>
                <w:rFonts w:ascii="Consolas" w:hAnsi="Consolas" w:cs="Consolas" w:eastAsia="Consolas"/>
                <w:sz w:val="17"/>
              </w:rPr>
              <w:t>STM</w:t>
            </w:r>
            <w:r>
              <w:rPr>
                <w:sz w:val="19"/>
              </w:rPr>
              <w:t>/</w:t>
            </w:r>
            <w:r>
              <w:rPr>
                <w:rFonts w:ascii="Consolas" w:hAnsi="Consolas" w:cs="Consolas" w:eastAsia="Consolas"/>
                <w:sz w:val="17"/>
              </w:rPr>
              <w:t>STS</w:t>
            </w:r>
            <w:r>
              <w:rPr>
                <w:sz w:val="19"/>
              </w:rPr>
              <w:t xml:space="preserve"> in allen Vorlagen (V5, MIN, EXT_v2) hinterlegt ist.</w:t>
            </w:r>
          </w:p>
        </w:tc>
      </w:tr>
    </w:tbl>
    <w:p>
      <w:pPr>
        <w:spacing w:after="40"/>
      </w:pPr>
    </w:p>
    <w:p>
      <w:pPr>
        <w:pStyle w:val="Quelle"/>
      </w:pPr>
      <w:r>
        <w:rPr>
          <w:b/>
        </w:rPr>
        <w:t xml:space="preserve">Quelle: </w:t>
      </w:r>
      <w:r>
        <w:rPr>
          <w:sz w:val="17"/>
        </w:rPr>
        <w:t xml:space="preserve">Vorlagen im Ordner </w:t>
      </w:r>
      <w:r>
        <w:rPr>
          <w:rFonts w:ascii="Consolas" w:hAnsi="Consolas" w:cs="Consolas" w:eastAsia="Consolas"/>
          <w:sz w:val="15"/>
        </w:rPr>
        <w:t>10_Artikel_Import</w:t>
      </w:r>
      <w:r>
        <w:rPr>
          <w:sz w:val="17"/>
        </w:rPr>
        <w:t xml:space="preserve"> (Blatt „Anleitung“); Vorgabe Stumatec Variante (26.10.2026); WDW-AI</w:t>
      </w:r>
    </w:p>
    <w:p>
      <w:pPr>
        <w:pStyle w:val="Heading1"/>
      </w:pPr>
      <w:r>
        <w:t>6 Import durchführen (LM163)</w:t>
      </w:r>
    </w:p>
    <w:p>
      <w:pPr>
        <w:pStyle w:val="Heading2"/>
      </w:pPr>
      <w:r>
        <w:t>6.1 Reihenfolge</w:t>
      </w:r>
    </w:p>
    <w:p>
      <w:pPr>
        <w:tabs>
          <w:tab w:pos="425" w:val="left"/>
        </w:tabs>
        <w:spacing w:after="60"/>
        <w:ind w:left="425" w:hanging="425"/>
      </w:pPr>
      <w:r>
        <w:rPr>
          <w:b/>
        </w:rPr>
        <w:t>1.</w:t>
        <w:tab/>
      </w:r>
      <w:r>
        <w:t>Zuerst eine kleine Testdatei (5–20 Artikel) importieren und kontrollieren.</w:t>
      </w:r>
    </w:p>
    <w:p>
      <w:pPr>
        <w:tabs>
          <w:tab w:pos="425" w:val="left"/>
        </w:tabs>
        <w:spacing w:after="60"/>
        <w:ind w:left="425" w:hanging="425"/>
      </w:pPr>
      <w:r>
        <w:rPr>
          <w:b/>
        </w:rPr>
        <w:t>2.</w:t>
        <w:tab/>
      </w:r>
      <w:r>
        <w:t>Dann die übrigen Dateien, je höchstens 500 Zeilen.</w:t>
      </w:r>
    </w:p>
    <w:p>
      <w:pPr>
        <w:tabs>
          <w:tab w:pos="425" w:val="left"/>
        </w:tabs>
        <w:spacing w:after="60"/>
        <w:ind w:left="425" w:hanging="425"/>
      </w:pPr>
      <w:r>
        <w:rPr>
          <w:b/>
        </w:rPr>
        <w:t>3.</w:t>
        <w:tab/>
      </w:r>
      <w:r>
        <w:t>Dateien mit Einheiten, die noch nicht in MD017 angelegt sind, erst nach Anlage der Einheit importieren.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24"/>
        <w:gridCol w:w="2697"/>
        <w:gridCol w:w="3203"/>
      </w:tblGrid>
      <w:tr>
        <w:trPr>
          <w:tblHeader w:val="true"/>
          <w:cantSplit w:val="true"/>
        </w:trPr>
        <w:tc>
          <w:tcPr>
            <w:tcW w:type="dxa" w:w="3624"/>
            <w:shd w:val="clear" w:color="auto" w:fill="FEEE19"/>
          </w:tcPr>
          <w:p>
            <w:pPr>
              <w:spacing w:after="0"/>
            </w:pPr>
            <w:r>
              <w:rPr>
                <w:b/>
                <w:sz w:val="17"/>
              </w:rPr>
              <w:t>Datei</w:t>
            </w:r>
          </w:p>
        </w:tc>
        <w:tc>
          <w:tcPr>
            <w:tcW w:type="dxa" w:w="2697"/>
            <w:shd w:val="clear" w:color="auto" w:fill="FEEE19"/>
          </w:tcPr>
          <w:p>
            <w:pPr>
              <w:spacing w:after="0"/>
            </w:pPr>
            <w:r>
              <w:rPr>
                <w:b/>
                <w:sz w:val="17"/>
              </w:rPr>
              <w:t>Zeilen</w:t>
            </w:r>
          </w:p>
        </w:tc>
        <w:tc>
          <w:tcPr>
            <w:tcW w:type="dxa" w:w="3203"/>
            <w:shd w:val="clear" w:color="auto" w:fill="FEEE19"/>
          </w:tcPr>
          <w:p>
            <w:pPr>
              <w:spacing w:after="0"/>
            </w:pPr>
            <w:r>
              <w:rPr>
                <w:b/>
                <w:sz w:val="17"/>
              </w:rPr>
              <w:t>Wann</w:t>
            </w:r>
          </w:p>
        </w:tc>
      </w:tr>
      <w:tr>
        <w:trPr>
          <w:cantSplit w:val="true"/>
        </w:trPr>
        <w:tc>
          <w:tcPr>
            <w:tcW w:type="dxa" w:w="3624"/>
          </w:tcPr>
          <w:p>
            <w:pPr>
              <w:spacing w:after="0" w:line="252" w:lineRule="auto"/>
            </w:pPr>
            <w:r>
              <w:rPr>
                <w:b/>
                <w:sz w:val="17"/>
              </w:rPr>
              <w:t>[auszufüllen]</w:t>
            </w:r>
            <w:r>
              <w:rPr>
                <w:sz w:val="17"/>
              </w:rPr>
              <w:t xml:space="preserve"> (Testdatei)</w:t>
            </w:r>
          </w:p>
        </w:tc>
        <w:tc>
          <w:tcPr>
            <w:tcW w:type="dxa" w:w="2697"/>
          </w:tcPr>
          <w:p>
            <w:pPr>
              <w:spacing w:after="0" w:line="252" w:lineRule="auto"/>
            </w:pPr>
            <w:r>
              <w:rPr>
                <w:b/>
                <w:sz w:val="17"/>
              </w:rPr>
              <w:t>[auszufüllen]</w:t>
            </w:r>
          </w:p>
        </w:tc>
        <w:tc>
          <w:tcPr>
            <w:tcW w:type="dxa" w:w="3203"/>
          </w:tcPr>
          <w:p>
            <w:pPr>
              <w:spacing w:after="0" w:line="252" w:lineRule="auto"/>
            </w:pPr>
            <w:r>
              <w:rPr>
                <w:sz w:val="17"/>
              </w:rPr>
              <w:t>zuerst</w:t>
            </w:r>
          </w:p>
        </w:tc>
      </w:tr>
      <w:tr>
        <w:trPr>
          <w:cantSplit w:val="true"/>
        </w:trPr>
        <w:tc>
          <w:tcPr>
            <w:tcW w:type="dxa" w:w="3624"/>
          </w:tcPr>
          <w:p>
            <w:pPr>
              <w:spacing w:after="0" w:line="252" w:lineRule="auto"/>
            </w:pPr>
            <w:r>
              <w:rPr>
                <w:b/>
                <w:sz w:val="17"/>
              </w:rPr>
              <w:t>[auszufüllen]</w:t>
            </w:r>
          </w:p>
        </w:tc>
        <w:tc>
          <w:tcPr>
            <w:tcW w:type="dxa" w:w="2697"/>
          </w:tcPr>
          <w:p>
            <w:pPr>
              <w:spacing w:after="0" w:line="252" w:lineRule="auto"/>
            </w:pPr>
            <w:r>
              <w:rPr>
                <w:b/>
                <w:sz w:val="17"/>
              </w:rPr>
              <w:t>[auszufüllen]</w:t>
            </w:r>
          </w:p>
        </w:tc>
        <w:tc>
          <w:tcPr>
            <w:tcW w:type="dxa" w:w="3203"/>
          </w:tcPr>
          <w:p>
            <w:pPr>
              <w:spacing w:after="0" w:line="252" w:lineRule="auto"/>
            </w:pPr>
            <w:r>
              <w:rPr>
                <w:sz w:val="17"/>
              </w:rPr>
              <w:t>nach Kontrolle der Testdatei</w:t>
            </w:r>
          </w:p>
        </w:tc>
      </w:tr>
    </w:tbl>
    <w:p>
      <w:pPr>
        <w:pStyle w:val="BeschriftungSSI"/>
      </w:pPr>
      <w:r>
        <w:t>Tab. 5: Importdateien der Stumatec (vor Ort ausfüllen)</w:t>
      </w:r>
    </w:p>
    <w:p>
      <w:pPr>
        <w:pStyle w:val="Heading2"/>
      </w:pPr>
      <w:r>
        <w:t>6.2 Schritt für Schritt</w:t>
      </w:r>
    </w:p>
    <w:p>
      <w:pPr>
        <w:tabs>
          <w:tab w:pos="425" w:val="left"/>
        </w:tabs>
        <w:spacing w:after="60"/>
        <w:ind w:left="425" w:hanging="425"/>
      </w:pPr>
      <w:r>
        <w:rPr>
          <w:b/>
        </w:rPr>
        <w:t>1.</w:t>
        <w:tab/>
      </w:r>
      <w:r>
        <w:t xml:space="preserve">Desktop-Client: </w:t>
      </w:r>
      <w:r>
        <w:rPr>
          <w:b/>
        </w:rPr>
        <w:t>Übersicht Artikel</w:t>
      </w:r>
      <w:r>
        <w:t xml:space="preserve"> (MD001) öffnen und </w:t>
      </w:r>
      <w:r>
        <w:rPr>
          <w:b/>
        </w:rPr>
        <w:t>Suche</w:t>
      </w:r>
      <w:r>
        <w:t xml:space="preserve"> ausführen, damit ein Suchergebnis angezeigt wird.</w:t>
      </w:r>
    </w:p>
    <w:p>
      <w:pPr>
        <w:tabs>
          <w:tab w:pos="425" w:val="left"/>
        </w:tabs>
        <w:spacing w:after="60"/>
        <w:ind w:left="425" w:hanging="425"/>
      </w:pPr>
      <w:r>
        <w:rPr>
          <w:b/>
        </w:rPr>
        <w:t>2.</w:t>
        <w:tab/>
      </w:r>
      <w:r>
        <w:t xml:space="preserve">Im Suchergebnis </w:t>
      </w:r>
      <w:r>
        <w:rPr>
          <w:b/>
        </w:rPr>
        <w:t>rechtsklicken</w:t>
      </w:r>
      <w:r>
        <w:t xml:space="preserve"> → </w:t>
      </w:r>
      <w:r>
        <w:rPr>
          <w:b/>
        </w:rPr>
        <w:t>Artikel importieren</w:t>
      </w:r>
      <w:r>
        <w:t xml:space="preserve">. Es öffnet sich </w:t>
      </w:r>
      <w:r>
        <w:rPr>
          <w:b/>
        </w:rPr>
        <w:t>Datei importieren</w:t>
      </w:r>
      <w:r>
        <w:t xml:space="preserve"> (LM163).</w:t>
      </w:r>
    </w:p>
    <w:p>
      <w:pPr>
        <w:tabs>
          <w:tab w:pos="425" w:val="left"/>
        </w:tabs>
        <w:spacing w:after="60"/>
        <w:ind w:left="425" w:hanging="425"/>
      </w:pPr>
      <w:r>
        <w:rPr>
          <w:b/>
        </w:rPr>
        <w:t>3.</w:t>
        <w:tab/>
      </w:r>
      <w:r>
        <w:rPr>
          <w:b/>
        </w:rPr>
        <w:t>Datei</w:t>
      </w:r>
      <w:r>
        <w:t xml:space="preserve">: die Excel-Datei </w:t>
      </w:r>
      <w:r>
        <w:rPr>
          <w:rFonts w:ascii="Consolas" w:hAnsi="Consolas" w:cs="Consolas" w:eastAsia="Consolas"/>
          <w:sz w:val="18"/>
        </w:rPr>
        <w:t>.xlsx</w:t>
      </w:r>
      <w:r>
        <w:t xml:space="preserve"> über den </w:t>
      </w:r>
      <w:r>
        <w:rPr>
          <w:b/>
        </w:rPr>
        <w:t>Upload-Knopf (Hinzufügen)</w:t>
      </w:r>
      <w:r>
        <w:t xml:space="preserve"> wählen. Keinen Pfad eintippen, </w:t>
      </w:r>
      <w:r>
        <w:rPr>
          <w:b/>
        </w:rPr>
        <w:t>keine</w:t>
      </w:r>
      <w:r>
        <w:t xml:space="preserve"> </w:t>
      </w:r>
      <w:r>
        <w:rPr>
          <w:rFonts w:ascii="Consolas" w:hAnsi="Consolas" w:cs="Consolas" w:eastAsia="Consolas"/>
          <w:sz w:val="18"/>
        </w:rPr>
        <w:t>.xml</w:t>
      </w:r>
      <w:r>
        <w:t>-Datei wählen.</w:t>
      </w:r>
    </w:p>
    <w:p>
      <w:pPr>
        <w:tabs>
          <w:tab w:pos="425" w:val="left"/>
        </w:tabs>
        <w:spacing w:after="60"/>
        <w:ind w:left="425" w:hanging="425"/>
      </w:pPr>
      <w:r>
        <w:rPr>
          <w:b/>
        </w:rPr>
        <w:t>4.</w:t>
        <w:tab/>
      </w:r>
      <w:r>
        <w:rPr>
          <w:b/>
        </w:rPr>
        <w:t>Schnittstellenzuordnungsprofil</w:t>
      </w:r>
      <w:r>
        <w:t xml:space="preserve">: das zur Vorlage passende Profil, z. B. </w:t>
      </w:r>
      <w:r>
        <w:rPr>
          <w:rFonts w:ascii="Consolas" w:hAnsi="Consolas" w:cs="Consolas" w:eastAsia="Consolas"/>
          <w:sz w:val="18"/>
        </w:rPr>
        <w:t>EXCEL_ITEM_V5</w:t>
      </w:r>
      <w:r>
        <w:t xml:space="preserve"> (Standard) oder </w:t>
      </w:r>
      <w:r>
        <w:rPr>
          <w:rFonts w:ascii="Consolas" w:hAnsi="Consolas" w:cs="Consolas" w:eastAsia="Consolas"/>
          <w:sz w:val="18"/>
        </w:rPr>
        <w:t>EXCEL_ITEM_EXT</w:t>
      </w:r>
      <w:r>
        <w:t>.</w:t>
      </w:r>
    </w:p>
    <w:p>
      <w:pPr>
        <w:tabs>
          <w:tab w:pos="425" w:val="left"/>
        </w:tabs>
        <w:spacing w:after="60"/>
        <w:ind w:left="425" w:hanging="425"/>
      </w:pPr>
      <w:r>
        <w:rPr>
          <w:b/>
        </w:rPr>
        <w:t>5.</w:t>
        <w:tab/>
      </w:r>
      <w:r>
        <w:rPr>
          <w:b/>
        </w:rPr>
        <w:t>Zeichencodierung</w:t>
      </w:r>
      <w:r>
        <w:t xml:space="preserve">: </w:t>
      </w:r>
      <w:r>
        <w:rPr>
          <w:rFonts w:ascii="Consolas" w:hAnsi="Consolas" w:cs="Consolas" w:eastAsia="Consolas"/>
          <w:sz w:val="18"/>
        </w:rPr>
        <w:t>UTF-8</w:t>
      </w:r>
      <w:r>
        <w:t>.</w:t>
      </w:r>
    </w:p>
    <w:p>
      <w:pPr>
        <w:tabs>
          <w:tab w:pos="425" w:val="left"/>
        </w:tabs>
        <w:spacing w:after="60"/>
        <w:ind w:left="425" w:hanging="425"/>
      </w:pPr>
      <w:r>
        <w:rPr>
          <w:b/>
        </w:rPr>
        <w:t>6.</w:t>
        <w:tab/>
      </w:r>
      <w:r>
        <w:rPr>
          <w:b/>
        </w:rPr>
        <w:t>Konverter</w:t>
      </w:r>
      <w:r>
        <w:t xml:space="preserve">: </w:t>
      </w:r>
      <w:r>
        <w:rPr>
          <w:b/>
        </w:rPr>
        <w:t>JsonConverter</w:t>
      </w:r>
      <w:r>
        <w:t xml:space="preserve"> (nicht CSV, nicht Xml).</w:t>
      </w:r>
    </w:p>
    <w:p>
      <w:pPr>
        <w:tabs>
          <w:tab w:pos="425" w:val="left"/>
        </w:tabs>
        <w:spacing w:after="60"/>
        <w:ind w:left="425" w:hanging="425"/>
      </w:pPr>
      <w:r>
        <w:rPr>
          <w:b/>
        </w:rPr>
        <w:t>7.</w:t>
        <w:tab/>
      </w:r>
      <w:r>
        <w:rPr>
          <w:b/>
        </w:rPr>
        <w:t>Systempartner</w:t>
      </w:r>
      <w:r>
        <w:t xml:space="preserve">: </w:t>
      </w:r>
      <w:r>
        <w:rPr>
          <w:b/>
        </w:rPr>
        <w:t>HOST</w:t>
      </w:r>
      <w:r>
        <w:t>.</w:t>
      </w:r>
    </w:p>
    <w:p>
      <w:pPr>
        <w:tabs>
          <w:tab w:pos="425" w:val="left"/>
        </w:tabs>
        <w:spacing w:after="60"/>
        <w:ind w:left="425" w:hanging="425"/>
      </w:pPr>
      <w:r>
        <w:rPr>
          <w:b/>
        </w:rPr>
        <w:t>8.</w:t>
        <w:tab/>
      </w:r>
      <w:r>
        <w:rPr>
          <w:b/>
        </w:rPr>
        <w:t>Verarbeitungspfad</w:t>
      </w:r>
      <w:r>
        <w:t>: leer lassen.</w:t>
      </w:r>
    </w:p>
    <w:p>
      <w:pPr>
        <w:tabs>
          <w:tab w:pos="425" w:val="left"/>
        </w:tabs>
        <w:spacing w:after="60"/>
        <w:ind w:left="425" w:hanging="425"/>
      </w:pPr>
      <w:r>
        <w:rPr>
          <w:b/>
        </w:rPr>
        <w:t>9.</w:t>
        <w:tab/>
      </w:r>
      <w:r>
        <w:rPr>
          <w:b/>
        </w:rPr>
        <w:t>Importieren</w:t>
      </w:r>
      <w:r>
        <w:t>. Es kommt keine Erfolgsmeldung – Ergebnis in DI002 prüfen (Kapitel 7).</w:t>
      </w:r>
    </w:p>
    <w:tbl>
      <w:tblPr>
        <w:tblStyle w:val="TableGrid"/>
        <w:jc w:val="left"/>
        <w:tblLook w:firstColumn="1" w:firstRow="1" w:lastColumn="0" w:lastRow="0" w:noHBand="0" w:noVBand="1" w:val="04A0"/>
        <w:tblW w:w="10092"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35"/>
        <w:gridCol w:w="3402"/>
        <w:gridCol w:w="3855"/>
      </w:tblGrid>
      <w:tr>
        <w:trPr>
          <w:tblHeader w:val="true"/>
          <w:cantSplit w:val="true"/>
        </w:trPr>
        <w:tc>
          <w:tcPr>
            <w:tcW w:type="dxa" w:w="2835"/>
            <w:shd w:val="clear" w:color="auto" w:fill="FEEE19"/>
          </w:tcPr>
          <w:p>
            <w:pPr>
              <w:spacing w:after="0"/>
            </w:pPr>
            <w:r>
              <w:rPr>
                <w:b/>
                <w:sz w:val="17"/>
              </w:rPr>
              <w:t>Feld in LM163</w:t>
            </w:r>
          </w:p>
        </w:tc>
        <w:tc>
          <w:tcPr>
            <w:tcW w:type="dxa" w:w="3402"/>
            <w:shd w:val="clear" w:color="auto" w:fill="FEEE19"/>
          </w:tcPr>
          <w:p>
            <w:pPr>
              <w:spacing w:after="0"/>
            </w:pPr>
            <w:r>
              <w:rPr>
                <w:b/>
                <w:sz w:val="17"/>
              </w:rPr>
              <w:t>Wert</w:t>
            </w:r>
          </w:p>
        </w:tc>
        <w:tc>
          <w:tcPr>
            <w:tcW w:type="dxa" w:w="3855"/>
            <w:shd w:val="clear" w:color="auto" w:fill="FEEE19"/>
          </w:tcPr>
          <w:p>
            <w:pPr>
              <w:spacing w:after="0"/>
            </w:pPr>
            <w:r>
              <w:rPr>
                <w:b/>
                <w:sz w:val="17"/>
              </w:rPr>
              <w:t>Nicht verwenden</w:t>
            </w:r>
          </w:p>
        </w:tc>
      </w:tr>
      <w:tr>
        <w:trPr>
          <w:cantSplit w:val="true"/>
        </w:trPr>
        <w:tc>
          <w:tcPr>
            <w:tcW w:type="dxa" w:w="2835"/>
          </w:tcPr>
          <w:p>
            <w:pPr>
              <w:spacing w:after="0" w:line="252" w:lineRule="auto"/>
            </w:pPr>
            <w:r>
              <w:rPr>
                <w:b/>
                <w:sz w:val="17"/>
              </w:rPr>
              <w:t>Datei</w:t>
            </w:r>
          </w:p>
        </w:tc>
        <w:tc>
          <w:tcPr>
            <w:tcW w:type="dxa" w:w="3402"/>
          </w:tcPr>
          <w:p>
            <w:pPr>
              <w:spacing w:after="0" w:line="252" w:lineRule="auto"/>
            </w:pPr>
            <w:r>
              <w:rPr>
                <w:sz w:val="17"/>
              </w:rPr>
              <w:t xml:space="preserve">Excel </w:t>
            </w:r>
            <w:r>
              <w:rPr>
                <w:rFonts w:ascii="Consolas" w:hAnsi="Consolas" w:cs="Consolas" w:eastAsia="Consolas"/>
                <w:sz w:val="15"/>
              </w:rPr>
              <w:t>.xlsx</w:t>
            </w:r>
            <w:r>
              <w:rPr>
                <w:sz w:val="17"/>
              </w:rPr>
              <w:t xml:space="preserve"> (nach Vorlage)</w:t>
            </w:r>
          </w:p>
        </w:tc>
        <w:tc>
          <w:tcPr>
            <w:tcW w:type="dxa" w:w="3855"/>
          </w:tcPr>
          <w:p>
            <w:pPr>
              <w:spacing w:after="0" w:line="252" w:lineRule="auto"/>
            </w:pPr>
            <w:r>
              <w:rPr>
                <w:rFonts w:ascii="Consolas" w:hAnsi="Consolas" w:cs="Consolas" w:eastAsia="Consolas"/>
                <w:sz w:val="15"/>
              </w:rPr>
              <w:t>.xml</w:t>
            </w:r>
            <w:r>
              <w:rPr>
                <w:sz w:val="17"/>
              </w:rPr>
              <w:t>-Profil, eingetippter Pfad</w:t>
            </w:r>
          </w:p>
        </w:tc>
      </w:tr>
      <w:tr>
        <w:trPr>
          <w:cantSplit w:val="true"/>
        </w:trPr>
        <w:tc>
          <w:tcPr>
            <w:tcW w:type="dxa" w:w="2835"/>
          </w:tcPr>
          <w:p>
            <w:pPr>
              <w:spacing w:after="0" w:line="252" w:lineRule="auto"/>
            </w:pPr>
            <w:r>
              <w:rPr>
                <w:b/>
                <w:sz w:val="17"/>
              </w:rPr>
              <w:t>Schnittstellenzuordnungsprofil</w:t>
            </w:r>
          </w:p>
        </w:tc>
        <w:tc>
          <w:tcPr>
            <w:tcW w:type="dxa" w:w="3402"/>
          </w:tcPr>
          <w:p>
            <w:pPr>
              <w:spacing w:after="0" w:line="252" w:lineRule="auto"/>
            </w:pPr>
            <w:r>
              <w:rPr>
                <w:rFonts w:ascii="Consolas" w:hAnsi="Consolas" w:cs="Consolas" w:eastAsia="Consolas"/>
                <w:sz w:val="15"/>
              </w:rPr>
              <w:t>EXCEL_ITEM_V5</w:t>
            </w:r>
            <w:r>
              <w:rPr>
                <w:sz w:val="17"/>
              </w:rPr>
              <w:t xml:space="preserve"> oder </w:t>
            </w:r>
            <w:r>
              <w:rPr>
                <w:rFonts w:ascii="Consolas" w:hAnsi="Consolas" w:cs="Consolas" w:eastAsia="Consolas"/>
                <w:sz w:val="15"/>
              </w:rPr>
              <w:t>EXCEL_ITEM_EXT</w:t>
            </w:r>
          </w:p>
        </w:tc>
        <w:tc>
          <w:tcPr>
            <w:tcW w:type="dxa" w:w="3855"/>
          </w:tcPr>
          <w:p>
            <w:pPr>
              <w:spacing w:after="0" w:line="252" w:lineRule="auto"/>
            </w:pPr>
            <w:r>
              <w:rPr>
                <w:sz w:val="17"/>
              </w:rPr>
              <w:t>Profil, das nicht zur Vorlage passt</w:t>
            </w:r>
          </w:p>
        </w:tc>
      </w:tr>
      <w:tr>
        <w:trPr>
          <w:cantSplit w:val="true"/>
        </w:trPr>
        <w:tc>
          <w:tcPr>
            <w:tcW w:type="dxa" w:w="2835"/>
          </w:tcPr>
          <w:p>
            <w:pPr>
              <w:spacing w:after="0" w:line="252" w:lineRule="auto"/>
            </w:pPr>
            <w:r>
              <w:rPr>
                <w:b/>
                <w:sz w:val="17"/>
              </w:rPr>
              <w:t>Zeichencodierung</w:t>
            </w:r>
          </w:p>
        </w:tc>
        <w:tc>
          <w:tcPr>
            <w:tcW w:type="dxa" w:w="3402"/>
          </w:tcPr>
          <w:p>
            <w:pPr>
              <w:spacing w:after="0" w:line="252" w:lineRule="auto"/>
            </w:pPr>
            <w:r>
              <w:rPr>
                <w:rFonts w:ascii="Consolas" w:hAnsi="Consolas" w:cs="Consolas" w:eastAsia="Consolas"/>
                <w:sz w:val="15"/>
              </w:rPr>
              <w:t>UTF-8</w:t>
            </w:r>
          </w:p>
        </w:tc>
        <w:tc>
          <w:tcPr>
            <w:tcW w:type="dxa" w:w="3855"/>
          </w:tcPr>
          <w:p>
            <w:pPr>
              <w:spacing w:after="0" w:line="252" w:lineRule="auto"/>
            </w:pPr>
            <w:r>
              <w:rPr>
                <w:sz w:val="17"/>
              </w:rPr>
              <w:t>–</w:t>
            </w:r>
          </w:p>
        </w:tc>
      </w:tr>
      <w:tr>
        <w:trPr>
          <w:cantSplit w:val="true"/>
        </w:trPr>
        <w:tc>
          <w:tcPr>
            <w:tcW w:type="dxa" w:w="2835"/>
          </w:tcPr>
          <w:p>
            <w:pPr>
              <w:spacing w:after="0" w:line="252" w:lineRule="auto"/>
            </w:pPr>
            <w:r>
              <w:rPr>
                <w:b/>
                <w:sz w:val="17"/>
              </w:rPr>
              <w:t>Konverter</w:t>
            </w:r>
          </w:p>
        </w:tc>
        <w:tc>
          <w:tcPr>
            <w:tcW w:type="dxa" w:w="3402"/>
          </w:tcPr>
          <w:p>
            <w:pPr>
              <w:spacing w:after="0" w:line="252" w:lineRule="auto"/>
            </w:pPr>
            <w:r>
              <w:rPr>
                <w:b/>
                <w:sz w:val="17"/>
              </w:rPr>
              <w:t>JsonConverter</w:t>
            </w:r>
          </w:p>
        </w:tc>
        <w:tc>
          <w:tcPr>
            <w:tcW w:type="dxa" w:w="3855"/>
          </w:tcPr>
          <w:p>
            <w:pPr>
              <w:spacing w:after="0" w:line="252" w:lineRule="auto"/>
            </w:pPr>
            <w:r>
              <w:rPr>
                <w:sz w:val="17"/>
              </w:rPr>
              <w:t>CSV-, Xml-Konverter</w:t>
            </w:r>
          </w:p>
        </w:tc>
      </w:tr>
      <w:tr>
        <w:trPr>
          <w:cantSplit w:val="true"/>
        </w:trPr>
        <w:tc>
          <w:tcPr>
            <w:tcW w:type="dxa" w:w="2835"/>
          </w:tcPr>
          <w:p>
            <w:pPr>
              <w:spacing w:after="0" w:line="252" w:lineRule="auto"/>
            </w:pPr>
            <w:r>
              <w:rPr>
                <w:b/>
                <w:sz w:val="17"/>
              </w:rPr>
              <w:t>Systempartner</w:t>
            </w:r>
          </w:p>
        </w:tc>
        <w:tc>
          <w:tcPr>
            <w:tcW w:type="dxa" w:w="3402"/>
          </w:tcPr>
          <w:p>
            <w:pPr>
              <w:spacing w:after="0" w:line="252" w:lineRule="auto"/>
            </w:pPr>
            <w:r>
              <w:rPr>
                <w:b/>
                <w:sz w:val="17"/>
              </w:rPr>
              <w:t>HOST</w:t>
            </w:r>
          </w:p>
        </w:tc>
        <w:tc>
          <w:tcPr>
            <w:tcW w:type="dxa" w:w="3855"/>
          </w:tcPr>
          <w:p>
            <w:pPr>
              <w:spacing w:after="0" w:line="252" w:lineRule="auto"/>
            </w:pPr>
            <w:r>
              <w:rPr>
                <w:sz w:val="17"/>
              </w:rPr>
              <w:t>–</w:t>
            </w:r>
          </w:p>
        </w:tc>
      </w:tr>
      <w:tr>
        <w:trPr>
          <w:cantSplit w:val="true"/>
        </w:trPr>
        <w:tc>
          <w:tcPr>
            <w:tcW w:type="dxa" w:w="2835"/>
          </w:tcPr>
          <w:p>
            <w:pPr>
              <w:spacing w:after="0" w:line="252" w:lineRule="auto"/>
            </w:pPr>
            <w:r>
              <w:rPr>
                <w:b/>
                <w:sz w:val="17"/>
              </w:rPr>
              <w:t>Verarbeitungspfad</w:t>
            </w:r>
          </w:p>
        </w:tc>
        <w:tc>
          <w:tcPr>
            <w:tcW w:type="dxa" w:w="3402"/>
          </w:tcPr>
          <w:p>
            <w:pPr>
              <w:spacing w:after="0" w:line="252" w:lineRule="auto"/>
            </w:pPr>
            <w:r>
              <w:rPr>
                <w:sz w:val="17"/>
              </w:rPr>
              <w:t>leer</w:t>
            </w:r>
          </w:p>
        </w:tc>
        <w:tc>
          <w:tcPr>
            <w:tcW w:type="dxa" w:w="3855"/>
          </w:tcPr>
          <w:p>
            <w:pPr>
              <w:spacing w:after="0" w:line="252" w:lineRule="auto"/>
            </w:pPr>
            <w:r>
              <w:rPr>
                <w:sz w:val="17"/>
              </w:rPr>
              <w:t>–</w:t>
            </w:r>
          </w:p>
        </w:tc>
      </w:tr>
    </w:tbl>
    <w:p>
      <w:pPr>
        <w:pStyle w:val="BeschriftungSSI"/>
      </w:pPr>
      <w:r>
        <w:t>Tab. 6: Einstellungen in LM163 (live bestätigt 26.10.2026)</w:t>
      </w:r>
    </w:p>
    <w:p>
      <w:pPr>
        <w:keepNext/>
      </w:pPr>
      <w:r>
        <w:drawing>
          <wp:inline xmlns:a="http://schemas.openxmlformats.org/drawingml/2006/main" xmlns:pic="http://schemas.openxmlformats.org/drawingml/2006/picture">
            <wp:extent cx="3240000" cy="1296000"/>
            <wp:docPr id="106" name="Picture 106"/>
            <wp:cNvGraphicFramePr>
              <a:graphicFrameLocks noChangeAspect="1"/>
            </wp:cNvGraphicFramePr>
            <a:graphic>
              <a:graphicData uri="http://schemas.openxmlformats.org/drawingml/2006/picture">
                <pic:pic>
                  <pic:nvPicPr>
                    <pic:cNvPr id="0" name="ph_md001_artikel_importieren.png"/>
                    <pic:cNvPicPr/>
                  </pic:nvPicPr>
                  <pic:blipFill>
                    <a:blip r:embed="rId16"/>
                    <a:stretch>
                      <a:fillRect/>
                    </a:stretch>
                  </pic:blipFill>
                  <pic:spPr>
                    <a:xfrm>
                      <a:off x="0" y="0"/>
                      <a:ext cx="3240000" cy="1296000"/>
                    </a:xfrm>
                    <a:prstGeom prst="rect"/>
                  </pic:spPr>
                </pic:pic>
              </a:graphicData>
            </a:graphic>
          </wp:inline>
        </w:drawing>
      </w:r>
    </w:p>
    <w:p>
      <w:pPr>
        <w:pStyle w:val="BeschriftungSSI"/>
      </w:pPr>
      <w:r>
        <w:t>Abb. 3: Übersicht Artikel (MD001) – Suchergebnis, Rechtsklick „Artikel importieren“ – Screenshot folgt (vor Ort aufnehmen)</w:t>
      </w:r>
    </w:p>
    <w:p>
      <w:pPr>
        <w:keepNext/>
      </w:pPr>
      <w:r>
        <w:drawing>
          <wp:inline xmlns:a="http://schemas.openxmlformats.org/drawingml/2006/main" xmlns:pic="http://schemas.openxmlformats.org/drawingml/2006/picture">
            <wp:extent cx="3240000" cy="1296000"/>
            <wp:docPr id="107" name="Picture 107"/>
            <wp:cNvGraphicFramePr>
              <a:graphicFrameLocks noChangeAspect="1"/>
            </wp:cNvGraphicFramePr>
            <a:graphic>
              <a:graphicData uri="http://schemas.openxmlformats.org/drawingml/2006/picture">
                <pic:pic>
                  <pic:nvPicPr>
                    <pic:cNvPr id="0" name="ph_lm163_import.png"/>
                    <pic:cNvPicPr/>
                  </pic:nvPicPr>
                  <pic:blipFill>
                    <a:blip r:embed="rId17"/>
                    <a:stretch>
                      <a:fillRect/>
                    </a:stretch>
                  </pic:blipFill>
                  <pic:spPr>
                    <a:xfrm>
                      <a:off x="0" y="0"/>
                      <a:ext cx="3240000" cy="1296000"/>
                    </a:xfrm>
                    <a:prstGeom prst="rect"/>
                  </pic:spPr>
                </pic:pic>
              </a:graphicData>
            </a:graphic>
          </wp:inline>
        </w:drawing>
      </w:r>
    </w:p>
    <w:p>
      <w:pPr>
        <w:pStyle w:val="BeschriftungSSI"/>
      </w:pPr>
      <w:r>
        <w:t>Abb. 4: Datei importieren (LM163) mit Excel-Datei, Profil, JsonConverter und HOST – Screenshot folgt (vor Ort aufnehmen)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Was bedeutet „Import abbrechen“?</w:t>
            </w:r>
          </w:p>
          <w:p>
            <w:pPr>
              <w:spacing w:after="40"/>
            </w:pPr>
            <w:r>
              <w:rPr>
                <w:sz w:val="19"/>
              </w:rPr>
              <w:t xml:space="preserve">Ist das Profil auf </w:t>
            </w:r>
            <w:r>
              <w:rPr>
                <w:b/>
                <w:sz w:val="19"/>
              </w:rPr>
              <w:t>Import abbrechen</w:t>
            </w:r>
            <w:r>
              <w:rPr>
                <w:sz w:val="19"/>
              </w:rPr>
              <w:t xml:space="preserve"> (ABORT_IMPORT) gestellt, ändert WAMAS bei einem Fehler </w:t>
            </w:r>
            <w:r>
              <w:rPr>
                <w:b/>
                <w:sz w:val="19"/>
              </w:rPr>
              <w:t>nichts</w:t>
            </w:r>
            <w:r>
              <w:rPr>
                <w:sz w:val="19"/>
              </w:rPr>
              <w:t>. Sie können die Datei korrigieren und erneut importieren.</w:t>
            </w:r>
          </w:p>
        </w:tc>
      </w:tr>
    </w:tbl>
    <w:p>
      <w:pPr>
        <w:spacing w:after="40"/>
      </w:pPr>
    </w:p>
    <w:p>
      <w:pPr>
        <w:pStyle w:val="Quelle"/>
      </w:pPr>
      <w:r>
        <w:rPr>
          <w:b/>
        </w:rPr>
        <w:t xml:space="preserve">Quelle: </w:t>
      </w:r>
      <w:r>
        <w:rPr>
          <w:sz w:val="17"/>
        </w:rPr>
        <w:t>Live-Import vor Ort Stumatec (26.10.2026); KH-A Kap. 6.2, 6.3 (Upload-Knopf live 17.10.); AH28 3.5.6 S. 90–92</w:t>
      </w:r>
    </w:p>
    <w:p>
      <w:pPr>
        <w:pStyle w:val="Heading1"/>
      </w:pPr>
      <w:r>
        <w:t>7 Ergebnis kontrollieren (DI002 / MD001)</w:t>
      </w:r>
    </w:p>
    <w:p>
      <w:pPr>
        <w:tabs>
          <w:tab w:pos="425" w:val="left"/>
        </w:tabs>
        <w:spacing w:after="60"/>
        <w:ind w:left="425" w:hanging="425"/>
      </w:pPr>
      <w:r>
        <w:rPr>
          <w:b/>
        </w:rPr>
        <w:t>1.</w:t>
        <w:tab/>
      </w:r>
      <w:r>
        <w:rPr>
          <w:b/>
        </w:rPr>
        <w:t>Übersicht eingehende Systempartnernachrichten</w:t>
      </w:r>
      <w:r>
        <w:t xml:space="preserve"> (DI002) öffnen → </w:t>
      </w:r>
      <w:r>
        <w:rPr>
          <w:b/>
        </w:rPr>
        <w:t>Suche</w:t>
      </w:r>
      <w:r>
        <w:t>.</w:t>
      </w:r>
    </w:p>
    <w:p>
      <w:pPr>
        <w:tabs>
          <w:tab w:pos="425" w:val="left"/>
        </w:tabs>
        <w:spacing w:after="60"/>
        <w:ind w:left="425" w:hanging="425"/>
      </w:pPr>
      <w:r>
        <w:rPr>
          <w:b/>
        </w:rPr>
        <w:t>2.</w:t>
        <w:tab/>
      </w:r>
      <w:r>
        <w:t xml:space="preserve">Neueste Nachricht prüfen: Status </w:t>
      </w:r>
      <w:r>
        <w:rPr>
          <w:b/>
        </w:rPr>
        <w:t>Fertiggestellt</w:t>
      </w:r>
      <w:r>
        <w:t>, Anzahl Telegramme, Hauptdatensatztyp.</w:t>
      </w:r>
    </w:p>
    <w:p>
      <w:pPr>
        <w:tabs>
          <w:tab w:pos="425" w:val="left"/>
        </w:tabs>
        <w:spacing w:after="60"/>
        <w:ind w:left="425" w:hanging="425"/>
      </w:pPr>
      <w:r>
        <w:rPr>
          <w:b/>
        </w:rPr>
        <w:t>3.</w:t>
        <w:tab/>
      </w:r>
      <w:r>
        <w:t xml:space="preserve">In </w:t>
      </w:r>
      <w:r>
        <w:rPr>
          <w:b/>
        </w:rPr>
        <w:t>Übersicht Artikel</w:t>
      </w:r>
      <w:r>
        <w:t xml:space="preserve"> (MD001) Stichproben suchen, z. B. die erste und letzte Artikelnummer der Datei. Variante (</w:t>
      </w:r>
      <w:r>
        <w:rPr>
          <w:rFonts w:ascii="Consolas" w:hAnsi="Consolas" w:cs="Consolas" w:eastAsia="Consolas"/>
          <w:sz w:val="18"/>
        </w:rPr>
        <w:t>STM</w:t>
      </w:r>
      <w:r>
        <w:t>/</w:t>
      </w:r>
      <w:r>
        <w:rPr>
          <w:rFonts w:ascii="Consolas" w:hAnsi="Consolas" w:cs="Consolas" w:eastAsia="Consolas"/>
          <w:sz w:val="18"/>
        </w:rPr>
        <w:t>STS</w:t>
      </w:r>
      <w:r>
        <w:t>) und Klient kontrollieren.</w:t>
      </w:r>
    </w:p>
    <w:p>
      <w:pPr>
        <w:tabs>
          <w:tab w:pos="425" w:val="left"/>
        </w:tabs>
        <w:spacing w:after="60"/>
        <w:ind w:left="425" w:hanging="425"/>
      </w:pPr>
      <w:r>
        <w:rPr>
          <w:b/>
        </w:rPr>
        <w:t>4.</w:t>
        <w:tab/>
      </w:r>
      <w:r>
        <w:t xml:space="preserve">Anzahl prüfen: Suche in MD001 und Export des Ergebnisses (Excel) mit der Zeilenzahl der Datei vergleichen </w:t>
      </w:r>
      <w:r>
        <w:rPr>
          <w:b/>
        </w:rPr>
        <w:t>[vor Ort prüfen]</w:t>
      </w:r>
      <w:r>
        <w:t>.</w:t>
      </w:r>
    </w:p>
    <w:p>
      <w:pPr>
        <w:tabs>
          <w:tab w:pos="425" w:val="left"/>
        </w:tabs>
        <w:spacing w:after="60"/>
        <w:ind w:left="425" w:hanging="425"/>
      </w:pPr>
      <w:r>
        <w:rPr>
          <w:b/>
        </w:rPr>
        <w:t>5.</w:t>
        <w:tab/>
      </w:r>
      <w:r>
        <w:t xml:space="preserve">Bei Profil </w:t>
      </w:r>
      <w:r>
        <w:rPr>
          <w:b/>
        </w:rPr>
        <w:t>EXCEL_ITEM_EXT</w:t>
      </w:r>
      <w:r>
        <w:t xml:space="preserve">: zusätzlich in MD001 prüfen, ob </w:t>
      </w:r>
      <w:r>
        <w:rPr>
          <w:rFonts w:ascii="Consolas" w:hAnsi="Consolas" w:cs="Consolas" w:eastAsia="Consolas"/>
          <w:sz w:val="18"/>
        </w:rPr>
        <w:t>externalItem</w:t>
      </w:r>
      <w:r>
        <w:t xml:space="preserve"> (Extern-Kennzeichen) wie in der Datei gesetzt ist </w:t>
      </w:r>
      <w:r>
        <w:rPr>
          <w:b/>
        </w:rPr>
        <w:t>[vor Ort prüfen]</w:t>
      </w:r>
      <w:r>
        <w:t>.</w:t>
      </w:r>
    </w:p>
    <w:p>
      <w:pPr>
        <w:keepNext/>
      </w:pPr>
      <w:r>
        <w:drawing>
          <wp:inline xmlns:a="http://schemas.openxmlformats.org/drawingml/2006/main" xmlns:pic="http://schemas.openxmlformats.org/drawingml/2006/picture">
            <wp:extent cx="5760000" cy="3361500"/>
            <wp:docPr id="108" name="Picture 108"/>
            <wp:cNvGraphicFramePr>
              <a:graphicFrameLocks noChangeAspect="1"/>
            </wp:cNvGraphicFramePr>
            <a:graphic>
              <a:graphicData uri="http://schemas.openxmlformats.org/drawingml/2006/picture">
                <pic:pic>
                  <pic:nvPicPr>
                    <pic:cNvPr id="0" name="a04_di002_ergebnis_1811.png"/>
                    <pic:cNvPicPr/>
                  </pic:nvPicPr>
                  <pic:blipFill>
                    <a:blip r:embed="rId18"/>
                    <a:stretch>
                      <a:fillRect/>
                    </a:stretch>
                  </pic:blipFill>
                  <pic:spPr>
                    <a:xfrm>
                      <a:off x="0" y="0"/>
                      <a:ext cx="5760000" cy="3361500"/>
                    </a:xfrm>
                    <a:prstGeom prst="rect"/>
                  </pic:spPr>
                </pic:pic>
              </a:graphicData>
            </a:graphic>
          </wp:inline>
        </w:drawing>
      </w:r>
    </w:p>
    <w:p>
      <w:pPr>
        <w:pStyle w:val="BeschriftungSSI"/>
      </w:pPr>
      <w:r>
        <w:t>Abb. 5: DI002 – Ergebnis der Importe (SSI-Testsystem) (SSI-Testsystem srv01, WAMAS LS 2.8 (Testdaten))</w:t>
      </w:r>
    </w:p>
    <w:p>
      <w:pPr>
        <w:keepNext/>
      </w:pPr>
      <w:r>
        <w:drawing>
          <wp:inline xmlns:a="http://schemas.openxmlformats.org/drawingml/2006/main" xmlns:pic="http://schemas.openxmlformats.org/drawingml/2006/picture">
            <wp:extent cx="5760000" cy="3361500"/>
            <wp:docPr id="109" name="Picture 109"/>
            <wp:cNvGraphicFramePr>
              <a:graphicFrameLocks noChangeAspect="1"/>
            </wp:cNvGraphicFramePr>
            <a:graphic>
              <a:graphicData uri="http://schemas.openxmlformats.org/drawingml/2006/picture">
                <pic:pic>
                  <pic:nvPicPr>
                    <pic:cNvPr id="0" name="a01_md001_uebersicht_artikel.png"/>
                    <pic:cNvPicPr/>
                  </pic:nvPicPr>
                  <pic:blipFill>
                    <a:blip r:embed="rId19"/>
                    <a:stretch>
                      <a:fillRect/>
                    </a:stretch>
                  </pic:blipFill>
                  <pic:spPr>
                    <a:xfrm>
                      <a:off x="0" y="0"/>
                      <a:ext cx="5760000" cy="3361500"/>
                    </a:xfrm>
                    <a:prstGeom prst="rect"/>
                  </pic:spPr>
                </pic:pic>
              </a:graphicData>
            </a:graphic>
          </wp:inline>
        </w:drawing>
      </w:r>
    </w:p>
    <w:p>
      <w:pPr>
        <w:pStyle w:val="BeschriftungSSI"/>
      </w:pPr>
      <w:r>
        <w:t>Abb. 6: Übersicht Artikel (MD001) nach dem Import (SSI-Testsystem) (SSI-Testsystem srv01, WAMAS LS 2.8 (Testdaten))</w:t>
      </w:r>
    </w:p>
    <w:p>
      <w:pPr>
        <w:pStyle w:val="Quelle"/>
      </w:pPr>
      <w:r>
        <w:rPr>
          <w:b/>
        </w:rPr>
        <w:t xml:space="preserve">Quelle: </w:t>
      </w:r>
      <w:r>
        <w:rPr>
          <w:sz w:val="17"/>
        </w:rPr>
        <w:t>KH-A Kap. 6.4; Live-Import vor Ort Stumatec (26.10.2026)</w:t>
      </w:r>
    </w:p>
    <w:p>
      <w:pPr>
        <w:pStyle w:val="Heading1"/>
      </w:pPr>
      <w:r>
        <w:t>8 Fehler beheben</w:t>
      </w:r>
    </w:p>
    <w:p>
      <w:pPr>
        <w:pStyle w:val="Heading2"/>
      </w:pPr>
      <w:r>
        <w:t>8.1 Fehlerprotokoll</w:t>
      </w:r>
    </w:p>
    <w:p>
      <w:pPr>
        <w:tabs>
          <w:tab w:pos="425" w:val="left"/>
        </w:tabs>
        <w:spacing w:after="60"/>
        <w:ind w:left="425" w:hanging="425"/>
      </w:pPr>
      <w:r>
        <w:rPr>
          <w:b/>
        </w:rPr>
        <w:t>1.</w:t>
        <w:tab/>
      </w:r>
      <w:r>
        <w:t xml:space="preserve">In DI002 die Nachricht mit Status </w:t>
      </w:r>
      <w:r>
        <w:rPr>
          <w:b/>
        </w:rPr>
        <w:t>Fehler</w:t>
      </w:r>
      <w:r>
        <w:t xml:space="preserve"> wählen → Registerkarte </w:t>
      </w:r>
      <w:r>
        <w:rPr>
          <w:b/>
        </w:rPr>
        <w:t>Fehlerhafte eingehende Systempartnernachricht</w:t>
      </w:r>
      <w:r>
        <w:t>.</w:t>
      </w:r>
    </w:p>
    <w:p>
      <w:pPr>
        <w:tabs>
          <w:tab w:pos="425" w:val="left"/>
        </w:tabs>
        <w:spacing w:after="60"/>
        <w:ind w:left="425" w:hanging="425"/>
      </w:pPr>
      <w:r>
        <w:rPr>
          <w:b/>
        </w:rPr>
        <w:t>2.</w:t>
        <w:tab/>
      </w:r>
      <w:r>
        <w:rPr>
          <w:b/>
        </w:rPr>
        <w:t>Fehlerprotokoll</w:t>
      </w:r>
      <w:r>
        <w:t xml:space="preserve"> (DI003) lesen.</w:t>
      </w:r>
    </w:p>
    <w:p>
      <w:pPr>
        <w:tabs>
          <w:tab w:pos="425" w:val="left"/>
        </w:tabs>
        <w:spacing w:after="60"/>
        <w:ind w:left="425" w:hanging="425"/>
      </w:pPr>
      <w:r>
        <w:rPr>
          <w:b/>
        </w:rPr>
        <w:t>3.</w:t>
        <w:tab/>
      </w:r>
      <w:r>
        <w:t xml:space="preserve">Ursache in der Excel-Datei beheben und die Datei erneut importieren. (Alternativ </w:t>
      </w:r>
      <w:r>
        <w:rPr>
          <w:b/>
        </w:rPr>
        <w:t>Bearbeiten</w:t>
      </w:r>
      <w:r>
        <w:t xml:space="preserve"> → SPM-Dateneditor DI005 und </w:t>
      </w:r>
      <w:r>
        <w:rPr>
          <w:b/>
        </w:rPr>
        <w:t>Wiederholen</w:t>
      </w:r>
      <w:r>
        <w:t xml:space="preserve"> – nur für kleine Korrekturen und nur Fehler-Nachrichten im Status NEW.)</w:t>
      </w:r>
    </w:p>
    <w:p>
      <w:pPr>
        <w:keepNext/>
      </w:pPr>
      <w:r>
        <w:drawing>
          <wp:inline xmlns:a="http://schemas.openxmlformats.org/drawingml/2006/main" xmlns:pic="http://schemas.openxmlformats.org/drawingml/2006/picture">
            <wp:extent cx="5760000" cy="3361500"/>
            <wp:docPr id="110" name="Picture 110"/>
            <wp:cNvGraphicFramePr>
              <a:graphicFrameLocks noChangeAspect="1"/>
            </wp:cNvGraphicFramePr>
            <a:graphic>
              <a:graphicData uri="http://schemas.openxmlformats.org/drawingml/2006/picture">
                <pic:pic>
                  <pic:nvPicPr>
                    <pic:cNvPr id="0" name="a11_di002_fehler_1801_1808_1810.png"/>
                    <pic:cNvPicPr/>
                  </pic:nvPicPr>
                  <pic:blipFill>
                    <a:blip r:embed="rId20"/>
                    <a:stretch>
                      <a:fillRect/>
                    </a:stretch>
                  </pic:blipFill>
                  <pic:spPr>
                    <a:xfrm>
                      <a:off x="0" y="0"/>
                      <a:ext cx="5760000" cy="3361500"/>
                    </a:xfrm>
                    <a:prstGeom prst="rect"/>
                  </pic:spPr>
                </pic:pic>
              </a:graphicData>
            </a:graphic>
          </wp:inline>
        </w:drawing>
      </w:r>
    </w:p>
    <w:p>
      <w:pPr>
        <w:pStyle w:val="BeschriftungSSI"/>
      </w:pPr>
      <w:r>
        <w:t>Abb. 7: DI002 mit Fehler (SSI-Testsystem) (SSI-Testsystem srv01, WAMAS LS 2.8 (Testdaten))</w:t>
      </w:r>
    </w:p>
    <w:p>
      <w:pPr>
        <w:pStyle w:val="Heading2"/>
      </w:pPr>
      <w:r>
        <w:t>8.2 Bekannte Meldungen</w:t>
      </w:r>
    </w:p>
    <w:tbl>
      <w:tblPr>
        <w:tblStyle w:val="TableGrid"/>
        <w:jc w:val="left"/>
        <w:tblLook w:firstColumn="1" w:firstRow="1" w:lastColumn="0" w:lastRow="0" w:noHBand="0" w:noVBand="1" w:val="04A0"/>
        <w:tblW w:w="10092"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515"/>
        <w:gridCol w:w="3175"/>
        <w:gridCol w:w="3402"/>
      </w:tblGrid>
      <w:tr>
        <w:trPr>
          <w:tblHeader w:val="true"/>
          <w:cantSplit w:val="true"/>
        </w:trPr>
        <w:tc>
          <w:tcPr>
            <w:tcW w:type="dxa" w:w="3515"/>
            <w:shd w:val="clear" w:color="auto" w:fill="FEEE19"/>
          </w:tcPr>
          <w:p>
            <w:pPr>
              <w:spacing w:after="0"/>
            </w:pPr>
            <w:r>
              <w:rPr>
                <w:b/>
                <w:sz w:val="17"/>
              </w:rPr>
              <w:t>Meldung</w:t>
            </w:r>
          </w:p>
        </w:tc>
        <w:tc>
          <w:tcPr>
            <w:tcW w:type="dxa" w:w="3175"/>
            <w:shd w:val="clear" w:color="auto" w:fill="FEEE19"/>
          </w:tcPr>
          <w:p>
            <w:pPr>
              <w:spacing w:after="0"/>
            </w:pPr>
            <w:r>
              <w:rPr>
                <w:b/>
                <w:sz w:val="17"/>
              </w:rPr>
              <w:t>Ursache</w:t>
            </w:r>
          </w:p>
        </w:tc>
        <w:tc>
          <w:tcPr>
            <w:tcW w:type="dxa" w:w="3402"/>
            <w:shd w:val="clear" w:color="auto" w:fill="FEEE19"/>
          </w:tcPr>
          <w:p>
            <w:pPr>
              <w:spacing w:after="0"/>
            </w:pPr>
            <w:r>
              <w:rPr>
                <w:b/>
                <w:sz w:val="17"/>
              </w:rPr>
              <w:t>Abhilfe</w:t>
            </w:r>
          </w:p>
        </w:tc>
      </w:tr>
      <w:tr>
        <w:trPr>
          <w:cantSplit w:val="true"/>
        </w:trPr>
        <w:tc>
          <w:tcPr>
            <w:tcW w:type="dxa" w:w="3515"/>
          </w:tcPr>
          <w:p>
            <w:pPr>
              <w:spacing w:after="0" w:line="252" w:lineRule="auto"/>
            </w:pPr>
            <w:r>
              <w:rPr>
                <w:sz w:val="17"/>
              </w:rPr>
              <w:t>„workbook is null“ / „getNumberOfSheets“</w:t>
            </w:r>
          </w:p>
        </w:tc>
        <w:tc>
          <w:tcPr>
            <w:tcW w:type="dxa" w:w="3175"/>
          </w:tcPr>
          <w:p>
            <w:pPr>
              <w:spacing w:after="0" w:line="252" w:lineRule="auto"/>
            </w:pPr>
            <w:r>
              <w:rPr>
                <w:sz w:val="17"/>
              </w:rPr>
              <w:t>in LM163 die Profil-XML statt der Excel-Datei gewählt</w:t>
            </w:r>
          </w:p>
        </w:tc>
        <w:tc>
          <w:tcPr>
            <w:tcW w:type="dxa" w:w="3402"/>
          </w:tcPr>
          <w:p>
            <w:pPr>
              <w:spacing w:after="0" w:line="252" w:lineRule="auto"/>
            </w:pPr>
            <w:r>
              <w:rPr>
                <w:sz w:val="17"/>
              </w:rPr>
              <w:t xml:space="preserve">in LM163 die </w:t>
            </w:r>
            <w:r>
              <w:rPr>
                <w:rFonts w:ascii="Consolas" w:hAnsi="Consolas" w:cs="Consolas" w:eastAsia="Consolas"/>
                <w:sz w:val="15"/>
              </w:rPr>
              <w:t>.xlsx</w:t>
            </w:r>
            <w:r>
              <w:rPr>
                <w:sz w:val="17"/>
              </w:rPr>
              <w:t xml:space="preserve"> wählen; XML nur in LM160</w:t>
            </w:r>
          </w:p>
        </w:tc>
      </w:tr>
      <w:tr>
        <w:trPr>
          <w:cantSplit w:val="true"/>
        </w:trPr>
        <w:tc>
          <w:tcPr>
            <w:tcW w:type="dxa" w:w="3515"/>
          </w:tcPr>
          <w:p>
            <w:pPr>
              <w:spacing w:after="0" w:line="252" w:lineRule="auto"/>
            </w:pPr>
            <w:r>
              <w:rPr>
                <w:sz w:val="17"/>
              </w:rPr>
              <w:t>„Cannot invoke java.lang.reflect.Field.get(Object) because field is null“</w:t>
            </w:r>
          </w:p>
        </w:tc>
        <w:tc>
          <w:tcPr>
            <w:tcW w:type="dxa" w:w="3175"/>
          </w:tcPr>
          <w:p>
            <w:pPr>
              <w:spacing w:after="0" w:line="252" w:lineRule="auto"/>
            </w:pPr>
            <w:r>
              <w:rPr>
                <w:sz w:val="17"/>
              </w:rPr>
              <w:t xml:space="preserve">Profil </w:t>
            </w:r>
            <w:r>
              <w:rPr>
                <w:rFonts w:ascii="Consolas" w:hAnsi="Consolas" w:cs="Consolas" w:eastAsia="Consolas"/>
                <w:sz w:val="15"/>
              </w:rPr>
              <w:t>EXCEL_ITEM_EXT</w:t>
            </w:r>
            <w:r>
              <w:rPr>
                <w:sz w:val="17"/>
              </w:rPr>
              <w:t xml:space="preserve"> / Spalte </w:t>
            </w:r>
            <w:r>
              <w:rPr>
                <w:rFonts w:ascii="Consolas" w:hAnsi="Consolas" w:cs="Consolas" w:eastAsia="Consolas"/>
                <w:sz w:val="15"/>
              </w:rPr>
              <w:t>externalItem</w:t>
            </w:r>
            <w:r>
              <w:rPr>
                <w:sz w:val="17"/>
              </w:rPr>
              <w:t xml:space="preserve"> (altes Verhalten)</w:t>
            </w:r>
          </w:p>
        </w:tc>
        <w:tc>
          <w:tcPr>
            <w:tcW w:type="dxa" w:w="3402"/>
          </w:tcPr>
          <w:p>
            <w:pPr>
              <w:spacing w:after="0" w:line="252" w:lineRule="auto"/>
            </w:pPr>
            <w:r>
              <w:rPr>
                <w:sz w:val="17"/>
              </w:rPr>
              <w:t xml:space="preserve">Profil </w:t>
            </w:r>
            <w:r>
              <w:rPr>
                <w:b/>
                <w:sz w:val="17"/>
              </w:rPr>
              <w:t>EXCEL_ITEM_V5</w:t>
            </w:r>
            <w:r>
              <w:rPr>
                <w:sz w:val="17"/>
              </w:rPr>
              <w:t xml:space="preserve"> mit V5-Vorlage verwenden; bei EXT Ergebnis in DI002 prüfen</w:t>
            </w:r>
          </w:p>
        </w:tc>
      </w:tr>
      <w:tr>
        <w:trPr>
          <w:cantSplit w:val="true"/>
        </w:trPr>
        <w:tc>
          <w:tcPr>
            <w:tcW w:type="dxa" w:w="3515"/>
          </w:tcPr>
          <w:p>
            <w:pPr>
              <w:spacing w:after="0" w:line="252" w:lineRule="auto"/>
            </w:pPr>
            <w:r>
              <w:rPr>
                <w:sz w:val="17"/>
              </w:rPr>
              <w:t>„Dateien konnten nicht importiert werden.“</w:t>
            </w:r>
          </w:p>
        </w:tc>
        <w:tc>
          <w:tcPr>
            <w:tcW w:type="dxa" w:w="3175"/>
          </w:tcPr>
          <w:p>
            <w:pPr>
              <w:spacing w:after="0" w:line="252" w:lineRule="auto"/>
            </w:pPr>
            <w:r>
              <w:rPr>
                <w:sz w:val="17"/>
              </w:rPr>
              <w:t>Pfad eingetippt</w:t>
            </w:r>
          </w:p>
        </w:tc>
        <w:tc>
          <w:tcPr>
            <w:tcW w:type="dxa" w:w="3402"/>
          </w:tcPr>
          <w:p>
            <w:pPr>
              <w:spacing w:after="0" w:line="252" w:lineRule="auto"/>
            </w:pPr>
            <w:r>
              <w:rPr>
                <w:sz w:val="17"/>
              </w:rPr>
              <w:t>Datei über Upload-Knopf wählen</w:t>
            </w:r>
          </w:p>
        </w:tc>
      </w:tr>
      <w:tr>
        <w:trPr>
          <w:cantSplit w:val="true"/>
        </w:trPr>
        <w:tc>
          <w:tcPr>
            <w:tcW w:type="dxa" w:w="3515"/>
          </w:tcPr>
          <w:p>
            <w:pPr>
              <w:spacing w:after="0" w:line="252" w:lineRule="auto"/>
            </w:pPr>
            <w:r>
              <w:rPr>
                <w:sz w:val="17"/>
              </w:rPr>
              <w:t>„Hauptdatensatztyp konnte nicht bestimmt werden.“</w:t>
            </w:r>
          </w:p>
        </w:tc>
        <w:tc>
          <w:tcPr>
            <w:tcW w:type="dxa" w:w="3175"/>
          </w:tcPr>
          <w:p>
            <w:pPr>
              <w:spacing w:after="0" w:line="252" w:lineRule="auto"/>
            </w:pPr>
            <w:r>
              <w:rPr>
                <w:sz w:val="17"/>
              </w:rPr>
              <w:t xml:space="preserve">Excel oder Profil-XML über </w:t>
            </w:r>
            <w:r>
              <w:rPr>
                <w:b/>
                <w:sz w:val="17"/>
              </w:rPr>
              <w:t>Dateien importieren</w:t>
            </w:r>
            <w:r>
              <w:rPr>
                <w:sz w:val="17"/>
              </w:rPr>
              <w:t xml:space="preserve"> (DI014) statt LM163 bzw. LM160</w:t>
            </w:r>
          </w:p>
        </w:tc>
        <w:tc>
          <w:tcPr>
            <w:tcW w:type="dxa" w:w="3402"/>
          </w:tcPr>
          <w:p>
            <w:pPr>
              <w:spacing w:after="0" w:line="252" w:lineRule="auto"/>
            </w:pPr>
            <w:r>
              <w:rPr>
                <w:sz w:val="17"/>
              </w:rPr>
              <w:t>Excel nur über MD001 → Artikel importieren; Profil nur über LM160/LM161</w:t>
            </w:r>
          </w:p>
        </w:tc>
      </w:tr>
      <w:tr>
        <w:trPr>
          <w:cantSplit w:val="true"/>
        </w:trPr>
        <w:tc>
          <w:tcPr>
            <w:tcW w:type="dxa" w:w="3515"/>
          </w:tcPr>
          <w:p>
            <w:pPr>
              <w:spacing w:after="0" w:line="252" w:lineRule="auto"/>
            </w:pPr>
            <w:r>
              <w:rPr>
                <w:sz w:val="17"/>
              </w:rPr>
              <w:t>Profil fehlt in der Auswahl von LM163</w:t>
            </w:r>
          </w:p>
        </w:tc>
        <w:tc>
          <w:tcPr>
            <w:tcW w:type="dxa" w:w="3175"/>
          </w:tcPr>
          <w:p>
            <w:pPr>
              <w:spacing w:after="0" w:line="252" w:lineRule="auto"/>
            </w:pPr>
            <w:r>
              <w:rPr>
                <w:sz w:val="17"/>
              </w:rPr>
              <w:t>Profil noch nicht angelegt</w:t>
            </w:r>
          </w:p>
        </w:tc>
        <w:tc>
          <w:tcPr>
            <w:tcW w:type="dxa" w:w="3402"/>
          </w:tcPr>
          <w:p>
            <w:pPr>
              <w:spacing w:after="0" w:line="252" w:lineRule="auto"/>
            </w:pPr>
            <w:r>
              <w:rPr>
                <w:sz w:val="17"/>
              </w:rPr>
              <w:t>Profil in LM160 aus XML importieren (Kapitel 4)</w:t>
            </w:r>
          </w:p>
        </w:tc>
      </w:tr>
      <w:tr>
        <w:trPr>
          <w:cantSplit w:val="true"/>
        </w:trPr>
        <w:tc>
          <w:tcPr>
            <w:tcW w:type="dxa" w:w="3515"/>
          </w:tcPr>
          <w:p>
            <w:pPr>
              <w:spacing w:after="0" w:line="252" w:lineRule="auto"/>
            </w:pPr>
            <w:r>
              <w:rPr>
                <w:sz w:val="17"/>
              </w:rPr>
              <w:t>„Keine Daten gefunden“ (Datenfeld in LM161)</w:t>
            </w:r>
          </w:p>
        </w:tc>
        <w:tc>
          <w:tcPr>
            <w:tcW w:type="dxa" w:w="3175"/>
          </w:tcPr>
          <w:p>
            <w:pPr>
              <w:spacing w:after="0" w:line="252" w:lineRule="auto"/>
            </w:pPr>
            <w:r>
              <w:rPr>
                <w:sz w:val="17"/>
              </w:rPr>
              <w:t>Satzart nicht übernommen</w:t>
            </w:r>
          </w:p>
        </w:tc>
        <w:tc>
          <w:tcPr>
            <w:tcW w:type="dxa" w:w="3402"/>
          </w:tcPr>
          <w:p>
            <w:pPr>
              <w:spacing w:after="0" w:line="252" w:lineRule="auto"/>
            </w:pPr>
            <w:r>
              <w:rPr>
                <w:sz w:val="17"/>
              </w:rPr>
              <w:t>Satzart wählen, Feld verlassen, Profilkopf speichern, dann Datenfeld</w:t>
            </w:r>
          </w:p>
        </w:tc>
      </w:tr>
      <w:tr>
        <w:trPr>
          <w:cantSplit w:val="true"/>
        </w:trPr>
        <w:tc>
          <w:tcPr>
            <w:tcW w:type="dxa" w:w="3515"/>
          </w:tcPr>
          <w:p>
            <w:pPr>
              <w:spacing w:after="0" w:line="252" w:lineRule="auto"/>
            </w:pPr>
            <w:r>
              <w:rPr>
                <w:sz w:val="17"/>
              </w:rPr>
              <w:t xml:space="preserve">Fehler zur Variante </w:t>
            </w:r>
            <w:r>
              <w:rPr>
                <w:b/>
                <w:sz w:val="17"/>
              </w:rPr>
              <w:t>[vor Ort prüfen]</w:t>
            </w:r>
          </w:p>
        </w:tc>
        <w:tc>
          <w:tcPr>
            <w:tcW w:type="dxa" w:w="3175"/>
          </w:tcPr>
          <w:p>
            <w:pPr>
              <w:spacing w:after="0" w:line="252" w:lineRule="auto"/>
            </w:pPr>
            <w:r>
              <w:rPr>
                <w:sz w:val="17"/>
              </w:rPr>
              <w:t xml:space="preserve">Wert ausser </w:t>
            </w:r>
            <w:r>
              <w:rPr>
                <w:rFonts w:ascii="Consolas" w:hAnsi="Consolas" w:cs="Consolas" w:eastAsia="Consolas"/>
                <w:sz w:val="15"/>
              </w:rPr>
              <w:t>STM</w:t>
            </w:r>
            <w:r>
              <w:rPr>
                <w:sz w:val="17"/>
              </w:rPr>
              <w:t>/</w:t>
            </w:r>
            <w:r>
              <w:rPr>
                <w:rFonts w:ascii="Consolas" w:hAnsi="Consolas" w:cs="Consolas" w:eastAsia="Consolas"/>
                <w:sz w:val="15"/>
              </w:rPr>
              <w:t>STS</w:t>
            </w:r>
            <w:r>
              <w:rPr>
                <w:sz w:val="17"/>
              </w:rPr>
              <w:t xml:space="preserve"> eingetragen</w:t>
            </w:r>
          </w:p>
        </w:tc>
        <w:tc>
          <w:tcPr>
            <w:tcW w:type="dxa" w:w="3402"/>
          </w:tcPr>
          <w:p>
            <w:pPr>
              <w:spacing w:after="0" w:line="252" w:lineRule="auto"/>
            </w:pPr>
            <w:r>
              <w:rPr>
                <w:sz w:val="17"/>
              </w:rPr>
              <w:t xml:space="preserve">Variante über Dropdown auf </w:t>
            </w:r>
            <w:r>
              <w:rPr>
                <w:rFonts w:ascii="Consolas" w:hAnsi="Consolas" w:cs="Consolas" w:eastAsia="Consolas"/>
                <w:sz w:val="15"/>
              </w:rPr>
              <w:t>STM</w:t>
            </w:r>
            <w:r>
              <w:rPr>
                <w:sz w:val="17"/>
              </w:rPr>
              <w:t xml:space="preserve"> oder </w:t>
            </w:r>
            <w:r>
              <w:rPr>
                <w:rFonts w:ascii="Consolas" w:hAnsi="Consolas" w:cs="Consolas" w:eastAsia="Consolas"/>
                <w:sz w:val="15"/>
              </w:rPr>
              <w:t>STS</w:t>
            </w:r>
            <w:r>
              <w:rPr>
                <w:sz w:val="17"/>
              </w:rPr>
              <w:t xml:space="preserve"> setzen</w:t>
            </w:r>
          </w:p>
        </w:tc>
      </w:tr>
      <w:tr>
        <w:trPr>
          <w:cantSplit w:val="true"/>
        </w:trPr>
        <w:tc>
          <w:tcPr>
            <w:tcW w:type="dxa" w:w="3515"/>
          </w:tcPr>
          <w:p>
            <w:pPr>
              <w:spacing w:after="0" w:line="252" w:lineRule="auto"/>
            </w:pPr>
            <w:r>
              <w:rPr>
                <w:sz w:val="17"/>
              </w:rPr>
              <w:t xml:space="preserve">Fehler zur Mengeneinheit </w:t>
            </w:r>
            <w:r>
              <w:rPr>
                <w:b/>
                <w:sz w:val="17"/>
              </w:rPr>
              <w:t>[vor Ort prüfen]</w:t>
            </w:r>
          </w:p>
        </w:tc>
        <w:tc>
          <w:tcPr>
            <w:tcW w:type="dxa" w:w="3175"/>
          </w:tcPr>
          <w:p>
            <w:pPr>
              <w:spacing w:after="0" w:line="252" w:lineRule="auto"/>
            </w:pPr>
            <w:r>
              <w:rPr>
                <w:sz w:val="17"/>
              </w:rPr>
              <w:t>Einheit fehlt in MD017 (beim Klienten der Datei)</w:t>
            </w:r>
          </w:p>
        </w:tc>
        <w:tc>
          <w:tcPr>
            <w:tcW w:type="dxa" w:w="3402"/>
          </w:tcPr>
          <w:p>
            <w:pPr>
              <w:spacing w:after="0" w:line="252" w:lineRule="auto"/>
            </w:pPr>
            <w:r>
              <w:rPr>
                <w:sz w:val="17"/>
              </w:rPr>
              <w:t>Einheit anlegen (Freigabe) oder Zeilen entfernen</w:t>
            </w:r>
          </w:p>
        </w:tc>
      </w:tr>
      <w:tr>
        <w:trPr>
          <w:cantSplit w:val="true"/>
        </w:trPr>
        <w:tc>
          <w:tcPr>
            <w:tcW w:type="dxa" w:w="3515"/>
          </w:tcPr>
          <w:p>
            <w:pPr>
              <w:spacing w:after="0" w:line="252" w:lineRule="auto"/>
            </w:pPr>
            <w:r>
              <w:rPr>
                <w:sz w:val="17"/>
              </w:rPr>
              <w:t xml:space="preserve">Fehler zur Warengruppe </w:t>
            </w:r>
            <w:r>
              <w:rPr>
                <w:b/>
                <w:sz w:val="17"/>
              </w:rPr>
              <w:t>[vor Ort prüfen]</w:t>
            </w:r>
          </w:p>
        </w:tc>
        <w:tc>
          <w:tcPr>
            <w:tcW w:type="dxa" w:w="3175"/>
          </w:tcPr>
          <w:p>
            <w:pPr>
              <w:spacing w:after="0" w:line="252" w:lineRule="auto"/>
            </w:pPr>
            <w:r>
              <w:rPr>
                <w:sz w:val="17"/>
              </w:rPr>
              <w:t>Warengruppe verlangt, aber nicht vorhanden</w:t>
            </w:r>
          </w:p>
        </w:tc>
        <w:tc>
          <w:tcPr>
            <w:tcW w:type="dxa" w:w="3402"/>
          </w:tcPr>
          <w:p>
            <w:pPr>
              <w:spacing w:after="0" w:line="252" w:lineRule="auto"/>
            </w:pPr>
            <w:r>
              <w:rPr>
                <w:sz w:val="17"/>
              </w:rPr>
              <w:t>Warengruppe in MD017 anlegen</w:t>
            </w:r>
          </w:p>
        </w:tc>
      </w:tr>
      <w:tr>
        <w:trPr>
          <w:cantSplit w:val="true"/>
        </w:trPr>
        <w:tc>
          <w:tcPr>
            <w:tcW w:type="dxa" w:w="3515"/>
          </w:tcPr>
          <w:p>
            <w:pPr>
              <w:spacing w:after="0" w:line="252" w:lineRule="auto"/>
            </w:pPr>
            <w:r>
              <w:rPr>
                <w:sz w:val="17"/>
              </w:rPr>
              <w:t>„Name des Datensatztyp-Tags WLSITEMIMAGE001 enthält ungültige Daten.“</w:t>
            </w:r>
          </w:p>
        </w:tc>
        <w:tc>
          <w:tcPr>
            <w:tcW w:type="dxa" w:w="3175"/>
          </w:tcPr>
          <w:p>
            <w:pPr>
              <w:spacing w:after="0" w:line="252" w:lineRule="auto"/>
            </w:pPr>
            <w:r>
              <w:rPr>
                <w:sz w:val="17"/>
              </w:rPr>
              <w:t>Satzart aus 2.8, Schnittstelle auf 2.7</w:t>
            </w:r>
          </w:p>
        </w:tc>
        <w:tc>
          <w:tcPr>
            <w:tcW w:type="dxa" w:w="3402"/>
          </w:tcPr>
          <w:p>
            <w:pPr>
              <w:spacing w:after="0" w:line="252" w:lineRule="auto"/>
            </w:pPr>
            <w:r>
              <w:rPr>
                <w:sz w:val="17"/>
              </w:rPr>
              <w:t>Satzart nicht verwenden</w:t>
            </w:r>
          </w:p>
        </w:tc>
      </w:tr>
    </w:tbl>
    <w:p>
      <w:pPr>
        <w:pStyle w:val="BeschriftungSSI"/>
      </w:pPr>
      <w:r>
        <w:t>Tab. 7: Bekannte Meldungen</w:t>
      </w:r>
    </w:p>
    <w:p>
      <w:pPr>
        <w:pStyle w:val="Quelle"/>
      </w:pPr>
      <w:r>
        <w:rPr>
          <w:b/>
        </w:rPr>
        <w:t xml:space="preserve">Quelle: </w:t>
      </w:r>
      <w:r>
        <w:rPr>
          <w:sz w:val="17"/>
        </w:rPr>
        <w:t>Live-Import vor Ort Stumatec (26.10.2026); KH-A Kap. 6.4, 6.5; TL Z. 14, 55, 251; WDW-AI Kap. 2.1, 3.4</w:t>
      </w:r>
    </w:p>
    <w:p>
      <w:pPr>
        <w:pStyle w:val="Heading1"/>
      </w:pPr>
      <w:r>
        <w:t>9 Optional: Einlagerauftrag mit Wareneigentümer</w:t>
      </w:r>
    </w:p>
    <w:p>
      <w:r>
        <w:t xml:space="preserve">Ein Wareneigentümer lässt sich bei der manuellen Einlagerung am Touch-Client </w:t>
      </w:r>
      <w:r>
        <w:rPr>
          <w:b/>
        </w:rPr>
        <w:t>nicht</w:t>
      </w:r>
      <w:r>
        <w:t xml:space="preserve"> wählen (Befund SSI-Testsystem, 22.10.2026). Er kommt über einen </w:t>
      </w:r>
      <w:r>
        <w:rPr>
          <w:b/>
        </w:rPr>
        <w:t>Einlagerauftrag</w:t>
      </w:r>
      <w:r>
        <w:t xml:space="preserve"> an den Bestand: im Betrieb vom ERP, ohne ERP per Telegramm-Datei (Satzart </w:t>
      </w:r>
      <w:r>
        <w:rPr>
          <w:rFonts w:ascii="Consolas" w:hAnsi="Consolas" w:cs="Consolas" w:eastAsia="Consolas"/>
          <w:sz w:val="18"/>
        </w:rPr>
        <w:t>WLSSD002</w:t>
      </w:r>
      <w:r>
        <w:t>).</w:t>
      </w:r>
    </w:p>
    <w:p>
      <w:pPr>
        <w:pStyle w:val="Heading2"/>
      </w:pPr>
      <w:r>
        <w:t>9.1 Voraussetzungen und Felder</w:t>
      </w:r>
    </w:p>
    <w:p>
      <w:pPr>
        <w:pStyle w:val="ListBullet"/>
      </w:pPr>
      <w:r>
        <w:t xml:space="preserve">Wareneigentümer als </w:t>
      </w:r>
      <w:r>
        <w:rPr>
          <w:b/>
        </w:rPr>
        <w:t>Partner</w:t>
      </w:r>
      <w:r>
        <w:t xml:space="preserve"> angelegt (MD018) und in </w:t>
      </w:r>
      <w:r>
        <w:rPr>
          <w:b/>
        </w:rPr>
        <w:t>Klient pflegen</w:t>
      </w:r>
      <w:r>
        <w:t xml:space="preserve"> (MD017), Registerkarte </w:t>
      </w:r>
      <w:r>
        <w:rPr>
          <w:b/>
        </w:rPr>
        <w:t>Wareneigentümer</w:t>
      </w:r>
      <w:r>
        <w:t>, eingetragen.</w:t>
      </w:r>
    </w:p>
    <w:p>
      <w:pPr>
        <w:pStyle w:val="ListBullet"/>
      </w:pPr>
      <w:r>
        <w:t xml:space="preserve">Artikel, Einheit, Einlagerbedarfstyp (z. B. </w:t>
      </w:r>
      <w:r>
        <w:rPr>
          <w:rFonts w:ascii="Consolas" w:hAnsi="Consolas" w:cs="Consolas" w:eastAsia="Consolas"/>
          <w:sz w:val="18"/>
        </w:rPr>
        <w:t>RECV</w:t>
      </w:r>
      <w:r>
        <w:t>) und Zone existieren beim Klienten.</w:t>
      </w:r>
    </w:p>
    <w:p>
      <w:pPr>
        <w:pStyle w:val="ListBullet"/>
      </w:pPr>
      <w:r>
        <w:t xml:space="preserve">Datei UTF-8, </w:t>
      </w:r>
      <w:r>
        <w:rPr>
          <w:rFonts w:ascii="Consolas" w:hAnsi="Consolas" w:cs="Consolas" w:eastAsia="Consolas"/>
          <w:sz w:val="18"/>
        </w:rPr>
        <w:t>HEADER_SOURCE</w:t>
      </w:r>
      <w:r>
        <w:t xml:space="preserve"> = </w:t>
      </w:r>
      <w:r>
        <w:rPr>
          <w:rFonts w:ascii="Consolas" w:hAnsi="Consolas" w:cs="Consolas" w:eastAsia="Consolas"/>
          <w:sz w:val="18"/>
        </w:rPr>
        <w:t>HOST</w:t>
      </w:r>
      <w:r>
        <w:t xml:space="preserve">, </w:t>
      </w:r>
      <w:r>
        <w:rPr>
          <w:rFonts w:ascii="Consolas" w:hAnsi="Consolas" w:cs="Consolas" w:eastAsia="Consolas"/>
          <w:sz w:val="18"/>
        </w:rPr>
        <w:t>demandNo</w:t>
      </w:r>
      <w:r>
        <w:t xml:space="preserve"> neu und ≤ </w:t>
      </w:r>
      <w:r>
        <w:rPr>
          <w:b/>
        </w:rPr>
        <w:t>20</w:t>
      </w:r>
      <w:r>
        <w:t xml:space="preserve"> Zeichen, </w:t>
      </w:r>
      <w:r>
        <w:rPr>
          <w:rFonts w:ascii="Consolas" w:hAnsi="Consolas" w:cs="Consolas" w:eastAsia="Consolas"/>
          <w:sz w:val="18"/>
        </w:rPr>
        <w:t>noteNo</w:t>
      </w:r>
      <w:r>
        <w:t xml:space="preserve"> ≤ </w:t>
      </w:r>
      <w:r>
        <w:rPr>
          <w:b/>
        </w:rPr>
        <w:t>18</w:t>
      </w:r>
      <w:r>
        <w:t xml:space="preserve"> Zeichen.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77"/>
        <w:gridCol w:w="1634"/>
        <w:gridCol w:w="3291"/>
        <w:gridCol w:w="3221"/>
      </w:tblGrid>
      <w:tr>
        <w:trPr>
          <w:tblHeader w:val="true"/>
          <w:cantSplit w:val="true"/>
        </w:trPr>
        <w:tc>
          <w:tcPr>
            <w:tcW w:type="dxa" w:w="1377"/>
            <w:shd w:val="clear" w:color="auto" w:fill="FEEE19"/>
          </w:tcPr>
          <w:p>
            <w:pPr>
              <w:spacing w:after="0"/>
            </w:pPr>
            <w:r>
              <w:rPr>
                <w:b/>
                <w:sz w:val="17"/>
              </w:rPr>
              <w:t>Feld</w:t>
            </w:r>
          </w:p>
        </w:tc>
        <w:tc>
          <w:tcPr>
            <w:tcW w:type="dxa" w:w="1634"/>
            <w:shd w:val="clear" w:color="auto" w:fill="FEEE19"/>
          </w:tcPr>
          <w:p>
            <w:pPr>
              <w:spacing w:after="0"/>
            </w:pPr>
            <w:r>
              <w:rPr>
                <w:b/>
                <w:sz w:val="17"/>
              </w:rPr>
              <w:t>Ebene</w:t>
            </w:r>
          </w:p>
        </w:tc>
        <w:tc>
          <w:tcPr>
            <w:tcW w:type="dxa" w:w="3292"/>
            <w:shd w:val="clear" w:color="auto" w:fill="FEEE19"/>
          </w:tcPr>
          <w:p>
            <w:pPr>
              <w:spacing w:after="0"/>
            </w:pPr>
            <w:r>
              <w:rPr>
                <w:b/>
                <w:sz w:val="17"/>
              </w:rPr>
              <w:t>Beispiel (SSI-Testsystem)</w:t>
            </w:r>
          </w:p>
        </w:tc>
        <w:tc>
          <w:tcPr>
            <w:tcW w:type="dxa" w:w="3221"/>
            <w:shd w:val="clear" w:color="auto" w:fill="FEEE19"/>
          </w:tcPr>
          <w:p>
            <w:pPr>
              <w:spacing w:after="0"/>
            </w:pPr>
            <w:r>
              <w:rPr>
                <w:b/>
                <w:sz w:val="17"/>
              </w:rPr>
              <w:t>Bedeutung</w:t>
            </w:r>
          </w:p>
        </w:tc>
      </w:tr>
      <w:tr>
        <w:trPr>
          <w:cantSplit w:val="true"/>
        </w:trPr>
        <w:tc>
          <w:tcPr>
            <w:tcW w:type="dxa" w:w="1377"/>
          </w:tcPr>
          <w:p>
            <w:pPr>
              <w:spacing w:after="0" w:line="252" w:lineRule="auto"/>
            </w:pPr>
            <w:r>
              <w:rPr>
                <w:rFonts w:ascii="Consolas" w:hAnsi="Consolas" w:cs="Consolas" w:eastAsia="Consolas"/>
                <w:sz w:val="15"/>
              </w:rPr>
              <w:t>clientId</w:t>
            </w:r>
          </w:p>
        </w:tc>
        <w:tc>
          <w:tcPr>
            <w:tcW w:type="dxa" w:w="1634"/>
          </w:tcPr>
          <w:p>
            <w:pPr>
              <w:spacing w:after="0" w:line="252" w:lineRule="auto"/>
            </w:pPr>
            <w:r>
              <w:rPr>
                <w:sz w:val="17"/>
              </w:rPr>
              <w:t xml:space="preserve">Kopf </w:t>
            </w:r>
            <w:r>
              <w:rPr>
                <w:rFonts w:ascii="Consolas" w:hAnsi="Consolas" w:cs="Consolas" w:eastAsia="Consolas"/>
                <w:sz w:val="15"/>
              </w:rPr>
              <w:t>WLSSD002</w:t>
            </w:r>
          </w:p>
        </w:tc>
        <w:tc>
          <w:tcPr>
            <w:tcW w:type="dxa" w:w="3292"/>
          </w:tcPr>
          <w:p>
            <w:pPr>
              <w:spacing w:after="0" w:line="252" w:lineRule="auto"/>
            </w:pPr>
            <w:r>
              <w:rPr>
                <w:rFonts w:ascii="Consolas" w:hAnsi="Consolas" w:cs="Consolas" w:eastAsia="Consolas"/>
                <w:sz w:val="15"/>
              </w:rPr>
              <w:t>DEFAULT</w:t>
            </w:r>
          </w:p>
        </w:tc>
        <w:tc>
          <w:tcPr>
            <w:tcW w:type="dxa" w:w="3221"/>
          </w:tcPr>
          <w:p>
            <w:pPr>
              <w:spacing w:after="0" w:line="252" w:lineRule="auto"/>
            </w:pPr>
            <w:r>
              <w:rPr>
                <w:sz w:val="17"/>
              </w:rPr>
              <w:t>Klient</w:t>
            </w:r>
          </w:p>
        </w:tc>
      </w:tr>
      <w:tr>
        <w:trPr>
          <w:cantSplit w:val="true"/>
        </w:trPr>
        <w:tc>
          <w:tcPr>
            <w:tcW w:type="dxa" w:w="1377"/>
          </w:tcPr>
          <w:p>
            <w:pPr>
              <w:spacing w:after="0" w:line="252" w:lineRule="auto"/>
            </w:pPr>
            <w:r>
              <w:rPr>
                <w:rFonts w:ascii="Consolas" w:hAnsi="Consolas" w:cs="Consolas" w:eastAsia="Consolas"/>
                <w:sz w:val="15"/>
              </w:rPr>
              <w:t>demandNo</w:t>
            </w:r>
          </w:p>
        </w:tc>
        <w:tc>
          <w:tcPr>
            <w:tcW w:type="dxa" w:w="1634"/>
          </w:tcPr>
          <w:p>
            <w:pPr>
              <w:spacing w:after="0" w:line="252" w:lineRule="auto"/>
            </w:pPr>
            <w:r>
              <w:rPr>
                <w:sz w:val="17"/>
              </w:rPr>
              <w:t>Kopf und Zeile</w:t>
            </w:r>
          </w:p>
        </w:tc>
        <w:tc>
          <w:tcPr>
            <w:tcW w:type="dxa" w:w="3292"/>
          </w:tcPr>
          <w:p>
            <w:pPr>
              <w:spacing w:after="0" w:line="252" w:lineRule="auto"/>
            </w:pPr>
            <w:r>
              <w:rPr>
                <w:rFonts w:ascii="Consolas" w:hAnsi="Consolas" w:cs="Consolas" w:eastAsia="Consolas"/>
                <w:sz w:val="15"/>
              </w:rPr>
              <w:t>SD-OWN-STM-20261023</w:t>
            </w:r>
          </w:p>
        </w:tc>
        <w:tc>
          <w:tcPr>
            <w:tcW w:type="dxa" w:w="3221"/>
          </w:tcPr>
          <w:p>
            <w:pPr>
              <w:spacing w:after="0" w:line="252" w:lineRule="auto"/>
            </w:pPr>
            <w:r>
              <w:rPr>
                <w:sz w:val="17"/>
              </w:rPr>
              <w:t>Auftragsnummer, ≤ 20 Zeichen</w:t>
            </w:r>
          </w:p>
        </w:tc>
      </w:tr>
      <w:tr>
        <w:trPr>
          <w:cantSplit w:val="true"/>
        </w:trPr>
        <w:tc>
          <w:tcPr>
            <w:tcW w:type="dxa" w:w="1377"/>
          </w:tcPr>
          <w:p>
            <w:pPr>
              <w:spacing w:after="0" w:line="252" w:lineRule="auto"/>
            </w:pPr>
            <w:r>
              <w:rPr>
                <w:rFonts w:ascii="Consolas" w:hAnsi="Consolas" w:cs="Consolas" w:eastAsia="Consolas"/>
                <w:sz w:val="15"/>
              </w:rPr>
              <w:t>noteNo</w:t>
            </w:r>
          </w:p>
        </w:tc>
        <w:tc>
          <w:tcPr>
            <w:tcW w:type="dxa" w:w="1634"/>
          </w:tcPr>
          <w:p>
            <w:pPr>
              <w:spacing w:after="0" w:line="252" w:lineRule="auto"/>
            </w:pPr>
            <w:r>
              <w:rPr>
                <w:sz w:val="17"/>
              </w:rPr>
              <w:t>Kopf</w:t>
            </w:r>
          </w:p>
        </w:tc>
        <w:tc>
          <w:tcPr>
            <w:tcW w:type="dxa" w:w="3292"/>
          </w:tcPr>
          <w:p>
            <w:pPr>
              <w:spacing w:after="0" w:line="252" w:lineRule="auto"/>
            </w:pPr>
            <w:r>
              <w:rPr>
                <w:rFonts w:ascii="Consolas" w:hAnsi="Consolas" w:cs="Consolas" w:eastAsia="Consolas"/>
                <w:sz w:val="15"/>
              </w:rPr>
              <w:t>LS-OWN-STM-261023</w:t>
            </w:r>
          </w:p>
        </w:tc>
        <w:tc>
          <w:tcPr>
            <w:tcW w:type="dxa" w:w="3221"/>
          </w:tcPr>
          <w:p>
            <w:pPr>
              <w:spacing w:after="0" w:line="252" w:lineRule="auto"/>
            </w:pPr>
            <w:r>
              <w:rPr>
                <w:sz w:val="17"/>
              </w:rPr>
              <w:t>Lieferscheinnummer, ≤ 18 Zeichen</w:t>
            </w:r>
          </w:p>
        </w:tc>
      </w:tr>
      <w:tr>
        <w:trPr>
          <w:cantSplit w:val="true"/>
        </w:trPr>
        <w:tc>
          <w:tcPr>
            <w:tcW w:type="dxa" w:w="1377"/>
          </w:tcPr>
          <w:p>
            <w:pPr>
              <w:spacing w:after="0" w:line="252" w:lineRule="auto"/>
            </w:pPr>
            <w:r>
              <w:rPr>
                <w:rFonts w:ascii="Consolas" w:hAnsi="Consolas" w:cs="Consolas" w:eastAsia="Consolas"/>
                <w:sz w:val="15"/>
              </w:rPr>
              <w:t>typeId</w:t>
            </w:r>
          </w:p>
        </w:tc>
        <w:tc>
          <w:tcPr>
            <w:tcW w:type="dxa" w:w="1634"/>
          </w:tcPr>
          <w:p>
            <w:pPr>
              <w:spacing w:after="0" w:line="252" w:lineRule="auto"/>
            </w:pPr>
            <w:r>
              <w:rPr>
                <w:sz w:val="17"/>
              </w:rPr>
              <w:t>Kopf</w:t>
            </w:r>
          </w:p>
        </w:tc>
        <w:tc>
          <w:tcPr>
            <w:tcW w:type="dxa" w:w="3292"/>
          </w:tcPr>
          <w:p>
            <w:pPr>
              <w:spacing w:after="0" w:line="252" w:lineRule="auto"/>
            </w:pPr>
            <w:r>
              <w:rPr>
                <w:rFonts w:ascii="Consolas" w:hAnsi="Consolas" w:cs="Consolas" w:eastAsia="Consolas"/>
                <w:sz w:val="15"/>
              </w:rPr>
              <w:t>RECV</w:t>
            </w:r>
          </w:p>
        </w:tc>
        <w:tc>
          <w:tcPr>
            <w:tcW w:type="dxa" w:w="3221"/>
          </w:tcPr>
          <w:p>
            <w:pPr>
              <w:spacing w:after="0" w:line="252" w:lineRule="auto"/>
            </w:pPr>
            <w:r>
              <w:rPr>
                <w:sz w:val="17"/>
              </w:rPr>
              <w:t>Einlagerbedarfstyp</w:t>
            </w:r>
          </w:p>
        </w:tc>
      </w:tr>
      <w:tr>
        <w:trPr>
          <w:cantSplit w:val="true"/>
        </w:trPr>
        <w:tc>
          <w:tcPr>
            <w:tcW w:type="dxa" w:w="1377"/>
          </w:tcPr>
          <w:p>
            <w:pPr>
              <w:spacing w:after="0" w:line="252" w:lineRule="auto"/>
            </w:pPr>
            <w:r>
              <w:rPr>
                <w:rFonts w:ascii="Consolas" w:hAnsi="Consolas" w:cs="Consolas" w:eastAsia="Consolas"/>
                <w:sz w:val="15"/>
              </w:rPr>
              <w:t>itemNo</w:t>
            </w:r>
            <w:r>
              <w:rPr>
                <w:sz w:val="17"/>
              </w:rPr>
              <w:t xml:space="preserve">, </w:t>
            </w:r>
            <w:r>
              <w:rPr>
                <w:rFonts w:ascii="Consolas" w:hAnsi="Consolas" w:cs="Consolas" w:eastAsia="Consolas"/>
                <w:sz w:val="15"/>
              </w:rPr>
              <w:t>variant</w:t>
            </w:r>
            <w:r>
              <w:rPr>
                <w:sz w:val="17"/>
              </w:rPr>
              <w:t xml:space="preserve">, </w:t>
            </w:r>
            <w:r>
              <w:rPr>
                <w:rFonts w:ascii="Consolas" w:hAnsi="Consolas" w:cs="Consolas" w:eastAsia="Consolas"/>
                <w:sz w:val="15"/>
              </w:rPr>
              <w:t>baseQty</w:t>
            </w:r>
          </w:p>
        </w:tc>
        <w:tc>
          <w:tcPr>
            <w:tcW w:type="dxa" w:w="1634"/>
          </w:tcPr>
          <w:p>
            <w:pPr>
              <w:spacing w:after="0" w:line="252" w:lineRule="auto"/>
            </w:pPr>
            <w:r>
              <w:rPr>
                <w:sz w:val="17"/>
              </w:rPr>
              <w:t xml:space="preserve">Zeile </w:t>
            </w:r>
            <w:r>
              <w:rPr>
                <w:rFonts w:ascii="Consolas" w:hAnsi="Consolas" w:cs="Consolas" w:eastAsia="Consolas"/>
                <w:sz w:val="15"/>
              </w:rPr>
              <w:t>WLSSDL002</w:t>
            </w:r>
          </w:p>
        </w:tc>
        <w:tc>
          <w:tcPr>
            <w:tcW w:type="dxa" w:w="3292"/>
          </w:tcPr>
          <w:p>
            <w:pPr>
              <w:spacing w:after="0" w:line="252" w:lineRule="auto"/>
            </w:pPr>
            <w:r>
              <w:rPr>
                <w:rFonts w:ascii="Consolas" w:hAnsi="Consolas" w:cs="Consolas" w:eastAsia="Consolas"/>
                <w:sz w:val="15"/>
              </w:rPr>
              <w:t>TEST_WD_ART_09</w:t>
            </w:r>
            <w:r>
              <w:rPr>
                <w:sz w:val="17"/>
              </w:rPr>
              <w:t xml:space="preserve">, Variante des Artikels (Stumatec: </w:t>
            </w:r>
            <w:r>
              <w:rPr>
                <w:rFonts w:ascii="Consolas" w:hAnsi="Consolas" w:cs="Consolas" w:eastAsia="Consolas"/>
                <w:sz w:val="15"/>
              </w:rPr>
              <w:t>STM</w:t>
            </w:r>
            <w:r>
              <w:rPr>
                <w:sz w:val="17"/>
              </w:rPr>
              <w:t>/</w:t>
            </w:r>
            <w:r>
              <w:rPr>
                <w:rFonts w:ascii="Consolas" w:hAnsi="Consolas" w:cs="Consolas" w:eastAsia="Consolas"/>
                <w:sz w:val="15"/>
              </w:rPr>
              <w:t>STS</w:t>
            </w:r>
            <w:r>
              <w:rPr>
                <w:sz w:val="17"/>
              </w:rPr>
              <w:t xml:space="preserve">), </w:t>
            </w:r>
            <w:r>
              <w:rPr>
                <w:rFonts w:ascii="Consolas" w:hAnsi="Consolas" w:cs="Consolas" w:eastAsia="Consolas"/>
                <w:sz w:val="15"/>
              </w:rPr>
              <w:t>3</w:t>
            </w:r>
          </w:p>
        </w:tc>
        <w:tc>
          <w:tcPr>
            <w:tcW w:type="dxa" w:w="3221"/>
          </w:tcPr>
          <w:p>
            <w:pPr>
              <w:spacing w:after="0" w:line="252" w:lineRule="auto"/>
            </w:pPr>
            <w:r>
              <w:rPr>
                <w:sz w:val="17"/>
              </w:rPr>
              <w:t>Artikel und Menge</w:t>
            </w:r>
          </w:p>
        </w:tc>
      </w:tr>
      <w:tr>
        <w:trPr>
          <w:cantSplit w:val="true"/>
        </w:trPr>
        <w:tc>
          <w:tcPr>
            <w:tcW w:type="dxa" w:w="1377"/>
          </w:tcPr>
          <w:p>
            <w:pPr>
              <w:spacing w:after="0" w:line="252" w:lineRule="auto"/>
            </w:pPr>
            <w:r>
              <w:rPr>
                <w:rFonts w:ascii="Consolas" w:hAnsi="Consolas" w:cs="Consolas" w:eastAsia="Consolas"/>
                <w:sz w:val="15"/>
              </w:rPr>
              <w:t>gow</w:t>
            </w:r>
          </w:p>
        </w:tc>
        <w:tc>
          <w:tcPr>
            <w:tcW w:type="dxa" w:w="1634"/>
          </w:tcPr>
          <w:p>
            <w:pPr>
              <w:spacing w:after="0" w:line="252" w:lineRule="auto"/>
            </w:pPr>
            <w:r>
              <w:rPr>
                <w:sz w:val="17"/>
              </w:rPr>
              <w:t xml:space="preserve">Zeile </w:t>
            </w:r>
            <w:r>
              <w:rPr>
                <w:rFonts w:ascii="Consolas" w:hAnsi="Consolas" w:cs="Consolas" w:eastAsia="Consolas"/>
                <w:sz w:val="15"/>
              </w:rPr>
              <w:t>WLSSDL002</w:t>
            </w:r>
          </w:p>
        </w:tc>
        <w:tc>
          <w:tcPr>
            <w:tcW w:type="dxa" w:w="3292"/>
          </w:tcPr>
          <w:p>
            <w:pPr>
              <w:spacing w:after="0" w:line="252" w:lineRule="auto"/>
            </w:pPr>
            <w:r>
              <w:rPr>
                <w:rFonts w:ascii="Consolas" w:hAnsi="Consolas" w:cs="Consolas" w:eastAsia="Consolas"/>
                <w:sz w:val="15"/>
              </w:rPr>
              <w:t>pSTUMATEC</w:t>
            </w:r>
          </w:p>
        </w:tc>
        <w:tc>
          <w:tcPr>
            <w:tcW w:type="dxa" w:w="3221"/>
          </w:tcPr>
          <w:p>
            <w:pPr>
              <w:spacing w:after="0" w:line="252" w:lineRule="auto"/>
            </w:pPr>
            <w:r>
              <w:rPr>
                <w:b/>
                <w:sz w:val="17"/>
              </w:rPr>
              <w:t>Wareneigentümer</w:t>
            </w:r>
            <w:r>
              <w:rPr>
                <w:sz w:val="17"/>
              </w:rPr>
              <w:t xml:space="preserve"> (Partner-ID)</w:t>
            </w:r>
          </w:p>
        </w:tc>
      </w:tr>
    </w:tbl>
    <w:p>
      <w:pPr>
        <w:pStyle w:val="BeschriftungSSI"/>
      </w:pPr>
      <w:r>
        <w:t>Tab. 8: Felder des Einlagerauftrags (Testdaten, Partner-IDs der Stumatec **[auszufüllen]**)</w:t>
      </w:r>
    </w:p>
    <w:p>
      <w:pPr>
        <w:pStyle w:val="Heading2"/>
      </w:pPr>
      <w:r>
        <w:t>9.2 Schritte</w:t>
      </w:r>
    </w:p>
    <w:p>
      <w:pPr>
        <w:tabs>
          <w:tab w:pos="425" w:val="left"/>
        </w:tabs>
        <w:spacing w:after="60"/>
        <w:ind w:left="425" w:hanging="425"/>
      </w:pPr>
      <w:r>
        <w:rPr>
          <w:b/>
        </w:rPr>
        <w:t>1.</w:t>
        <w:tab/>
      </w:r>
      <w:r>
        <w:t xml:space="preserve">DI002 öffnen, rechts in die Ergebnistabelle klicken → </w:t>
      </w:r>
      <w:r>
        <w:rPr>
          <w:b/>
        </w:rPr>
        <w:t>Dateien importieren…</w:t>
      </w:r>
      <w:r>
        <w:t xml:space="preserve"> (DI014).</w:t>
      </w:r>
    </w:p>
    <w:p>
      <w:pPr>
        <w:tabs>
          <w:tab w:pos="425" w:val="left"/>
        </w:tabs>
        <w:spacing w:after="60"/>
        <w:ind w:left="425" w:hanging="425"/>
      </w:pPr>
      <w:r>
        <w:rPr>
          <w:b/>
        </w:rPr>
        <w:t>2.</w:t>
        <w:tab/>
      </w:r>
      <w:r>
        <w:t xml:space="preserve">Ordnerknopf neben </w:t>
      </w:r>
      <w:r>
        <w:rPr>
          <w:b/>
        </w:rPr>
        <w:t>Dateipfad</w:t>
      </w:r>
      <w:r>
        <w:t xml:space="preserve"> → </w:t>
      </w:r>
      <w:r>
        <w:rPr>
          <w:b/>
        </w:rPr>
        <w:t>Add</w:t>
      </w:r>
      <w:r>
        <w:t xml:space="preserve"> → JSON-Datei wählen → </w:t>
      </w:r>
      <w:r>
        <w:rPr>
          <w:b/>
        </w:rPr>
        <w:t>OK</w:t>
      </w:r>
      <w:r>
        <w:t>. Pfad nicht eintippen.</w:t>
      </w:r>
    </w:p>
    <w:p>
      <w:pPr>
        <w:tabs>
          <w:tab w:pos="425" w:val="left"/>
        </w:tabs>
        <w:spacing w:after="60"/>
        <w:ind w:left="425" w:hanging="425"/>
      </w:pPr>
      <w:r>
        <w:rPr>
          <w:b/>
        </w:rPr>
        <w:t>3.</w:t>
        <w:tab/>
      </w:r>
      <w:r>
        <w:t xml:space="preserve">Zeichenkodierung </w:t>
      </w:r>
      <w:r>
        <w:rPr>
          <w:rFonts w:ascii="Consolas" w:hAnsi="Consolas" w:cs="Consolas" w:eastAsia="Consolas"/>
          <w:sz w:val="18"/>
        </w:rPr>
        <w:t>UTF-8</w:t>
      </w:r>
      <w:r>
        <w:t xml:space="preserve">, Konverter </w:t>
      </w:r>
      <w:r>
        <w:rPr>
          <w:rFonts w:ascii="Consolas" w:hAnsi="Consolas" w:cs="Consolas" w:eastAsia="Consolas"/>
          <w:sz w:val="18"/>
        </w:rPr>
        <w:t>JsonConverter</w:t>
      </w:r>
      <w:r>
        <w:t xml:space="preserve">, Systempartner </w:t>
      </w:r>
      <w:r>
        <w:rPr>
          <w:rFonts w:ascii="Consolas" w:hAnsi="Consolas" w:cs="Consolas" w:eastAsia="Consolas"/>
          <w:sz w:val="18"/>
        </w:rPr>
        <w:t>HOST</w:t>
      </w:r>
      <w:r>
        <w:t xml:space="preserve">, Verarbeitungspfad leer → </w:t>
      </w:r>
      <w:r>
        <w:rPr>
          <w:b/>
        </w:rPr>
        <w:t>Importieren</w:t>
      </w:r>
      <w:r>
        <w:t>.</w:t>
      </w:r>
    </w:p>
    <w:p>
      <w:pPr>
        <w:tabs>
          <w:tab w:pos="425" w:val="left"/>
        </w:tabs>
        <w:spacing w:after="60"/>
        <w:ind w:left="425" w:hanging="425"/>
      </w:pPr>
      <w:r>
        <w:rPr>
          <w:b/>
        </w:rPr>
        <w:t>4.</w:t>
        <w:tab/>
      </w:r>
      <w:r>
        <w:t xml:space="preserve">In DI002 </w:t>
      </w:r>
      <w:r>
        <w:rPr>
          <w:b/>
        </w:rPr>
        <w:t>Suche</w:t>
      </w:r>
      <w:r>
        <w:t xml:space="preserve">: Hauptstatus </w:t>
      </w:r>
      <w:r>
        <w:rPr>
          <w:b/>
        </w:rPr>
        <w:t>Fertiggestellt</w:t>
      </w:r>
      <w:r>
        <w:t xml:space="preserve">, Hauptdatensatztyp </w:t>
      </w:r>
      <w:r>
        <w:rPr>
          <w:rFonts w:ascii="Consolas" w:hAnsi="Consolas" w:cs="Consolas" w:eastAsia="Consolas"/>
          <w:sz w:val="18"/>
        </w:rPr>
        <w:t>WLSSD002</w:t>
      </w:r>
      <w:r>
        <w:t>; InSPM-Nummer notieren.</w:t>
      </w:r>
    </w:p>
    <w:p>
      <w:pPr>
        <w:tabs>
          <w:tab w:pos="425" w:val="left"/>
        </w:tabs>
        <w:spacing w:after="60"/>
        <w:ind w:left="425" w:hanging="425"/>
      </w:pPr>
      <w:r>
        <w:rPr>
          <w:b/>
        </w:rPr>
        <w:t>5.</w:t>
        <w:tab/>
      </w:r>
      <w:r>
        <w:t xml:space="preserve">Auftrag in </w:t>
      </w:r>
      <w:r>
        <w:rPr>
          <w:b/>
        </w:rPr>
        <w:t>Übersicht Einlagerbedarfe</w:t>
      </w:r>
      <w:r>
        <w:t xml:space="preserve"> (LM080) prüfen und am LOGIMAT über die Kachel </w:t>
      </w:r>
      <w:r>
        <w:rPr>
          <w:b/>
        </w:rPr>
        <w:t>Einlagerung</w:t>
      </w:r>
      <w:r>
        <w:t xml:space="preserve"> einlagern.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Erst mit einem Datensatz testen</w:t>
            </w:r>
          </w:p>
          <w:p>
            <w:pPr>
              <w:spacing w:after="40"/>
            </w:pPr>
            <w:r>
              <w:rPr>
                <w:sz w:val="19"/>
              </w:rPr>
              <w:t xml:space="preserve">Ein importierter Einlagerbedarf liess sich im Test nicht einfach stornieren (erst nach Storno der Tablaranforderung in LM062). Ob Bestand, Reservierung und Inventur </w:t>
            </w:r>
            <w:r>
              <w:rPr>
                <w:b/>
                <w:sz w:val="19"/>
              </w:rPr>
              <w:t>je Wareneigentümer</w:t>
            </w:r>
            <w:r>
              <w:rPr>
                <w:sz w:val="19"/>
              </w:rPr>
              <w:t xml:space="preserve"> getrennt laufen, ist noch </w:t>
            </w:r>
            <w:r>
              <w:rPr>
                <w:b/>
                <w:sz w:val="19"/>
              </w:rPr>
              <w:t>zu verifizieren</w:t>
            </w:r>
            <w:r>
              <w:rPr>
                <w:sz w:val="19"/>
              </w:rPr>
              <w:t xml:space="preserve"> (Dokument 12).</w:t>
            </w:r>
          </w:p>
        </w:tc>
      </w:tr>
    </w:tbl>
    <w:p>
      <w:pPr>
        <w:spacing w:after="40"/>
      </w:pPr>
    </w:p>
    <w:p>
      <w:pPr>
        <w:pStyle w:val="Quelle"/>
      </w:pPr>
      <w:r>
        <w:rPr>
          <w:b/>
        </w:rPr>
        <w:t xml:space="preserve">Quelle: </w:t>
      </w:r>
      <w:r>
        <w:rPr>
          <w:sz w:val="17"/>
        </w:rPr>
        <w:t>Telegramm-Anleitung 2.8 V 1.0 Kap. 5.2, 6, 8, 9; Testablauf Modelle 3/4 (23.10.2026)</w:t>
      </w:r>
    </w:p>
    <w:p>
      <w:pPr>
        <w:pStyle w:val="Heading1"/>
      </w:pPr>
      <w:r>
        <w:t>10 Stolperfallen</w:t>
      </w:r>
    </w:p>
    <w:p>
      <w:pPr>
        <w:pStyle w:val="ListBullet"/>
      </w:pPr>
      <w:r>
        <w:rPr>
          <w:b/>
        </w:rPr>
        <w:t>XML und Excel verwechselt</w:t>
      </w:r>
      <w:r>
        <w:t xml:space="preserve">: </w:t>
      </w:r>
      <w:r>
        <w:rPr>
          <w:rFonts w:ascii="Consolas" w:hAnsi="Consolas" w:cs="Consolas" w:eastAsia="Consolas"/>
          <w:sz w:val="18"/>
        </w:rPr>
        <w:t>.xml</w:t>
      </w:r>
      <w:r>
        <w:t xml:space="preserve"> nur in LM160, </w:t>
      </w:r>
      <w:r>
        <w:rPr>
          <w:rFonts w:ascii="Consolas" w:hAnsi="Consolas" w:cs="Consolas" w:eastAsia="Consolas"/>
          <w:sz w:val="18"/>
        </w:rPr>
        <w:t>.xlsx</w:t>
      </w:r>
      <w:r>
        <w:t xml:space="preserve"> nur in LM163 – sonst „workbook is null“.</w:t>
      </w:r>
    </w:p>
    <w:p>
      <w:pPr>
        <w:pStyle w:val="ListBullet"/>
      </w:pPr>
      <w:r>
        <w:rPr>
          <w:b/>
        </w:rPr>
        <w:t>Falscher Konverter</w:t>
      </w:r>
      <w:r>
        <w:t xml:space="preserve"> in LM163: immer </w:t>
      </w:r>
      <w:r>
        <w:rPr>
          <w:b/>
        </w:rPr>
        <w:t>JsonConverter</w:t>
      </w:r>
      <w:r>
        <w:t>, nicht CSV oder Xml.</w:t>
      </w:r>
    </w:p>
    <w:p>
      <w:pPr>
        <w:pStyle w:val="ListBullet"/>
      </w:pPr>
      <w:r>
        <w:rPr>
          <w:b/>
        </w:rPr>
        <w:t>Profil und Vorlage passen nicht zusammen</w:t>
      </w:r>
      <w:r>
        <w:t xml:space="preserve"> (z. B. EXT_v2-Datei mit Profil V5) → falsche oder leere Felder. Tabelle in Kapitel 3.2 beachten.</w:t>
      </w:r>
    </w:p>
    <w:p>
      <w:pPr>
        <w:pStyle w:val="ListBullet"/>
      </w:pPr>
      <w:r>
        <w:rPr>
          <w:b/>
        </w:rPr>
        <w:t>Variante</w:t>
      </w:r>
      <w:r>
        <w:t xml:space="preserve"> frei eingetippt statt Dropdown → nur </w:t>
      </w:r>
      <w:r>
        <w:rPr>
          <w:rFonts w:ascii="Consolas" w:hAnsi="Consolas" w:cs="Consolas" w:eastAsia="Consolas"/>
          <w:sz w:val="18"/>
        </w:rPr>
        <w:t>STM</w:t>
      </w:r>
      <w:r>
        <w:t xml:space="preserve"> oder </w:t>
      </w:r>
      <w:r>
        <w:rPr>
          <w:rFonts w:ascii="Consolas" w:hAnsi="Consolas" w:cs="Consolas" w:eastAsia="Consolas"/>
          <w:sz w:val="18"/>
        </w:rPr>
        <w:t>STS</w:t>
      </w:r>
      <w:r>
        <w:t xml:space="preserve">; nicht </w:t>
      </w:r>
      <w:r>
        <w:rPr>
          <w:rFonts w:ascii="Consolas" w:hAnsi="Consolas" w:cs="Consolas" w:eastAsia="Consolas"/>
          <w:sz w:val="18"/>
        </w:rPr>
        <w:t>STUMATEC</w:t>
      </w:r>
      <w:r>
        <w:t xml:space="preserve">, </w:t>
      </w:r>
      <w:r>
        <w:rPr>
          <w:rFonts w:ascii="Consolas" w:hAnsi="Consolas" w:cs="Consolas" w:eastAsia="Consolas"/>
          <w:sz w:val="18"/>
        </w:rPr>
        <w:t>STUDERSON</w:t>
      </w:r>
      <w:r>
        <w:t xml:space="preserve">, </w:t>
      </w:r>
      <w:r>
        <w:rPr>
          <w:rFonts w:ascii="Consolas" w:hAnsi="Consolas" w:cs="Consolas" w:eastAsia="Consolas"/>
          <w:sz w:val="18"/>
        </w:rPr>
        <w:t>00000</w:t>
      </w:r>
      <w:r>
        <w:t xml:space="preserve"> oder </w:t>
      </w:r>
      <w:r>
        <w:rPr>
          <w:rFonts w:ascii="Consolas" w:hAnsi="Consolas" w:cs="Consolas" w:eastAsia="Consolas"/>
          <w:sz w:val="18"/>
        </w:rPr>
        <w:t>TOOLS</w:t>
      </w:r>
      <w:r>
        <w:t>.</w:t>
      </w:r>
    </w:p>
    <w:p>
      <w:pPr>
        <w:pStyle w:val="ListBullet"/>
      </w:pPr>
      <w:r>
        <w:t>Profil-XML über DI014 importiert → es entsteht kein Profil.</w:t>
      </w:r>
    </w:p>
    <w:p>
      <w:pPr>
        <w:pStyle w:val="ListBullet"/>
      </w:pPr>
      <w:r>
        <w:rPr>
          <w:rFonts w:ascii="Consolas" w:hAnsi="Consolas" w:cs="Consolas" w:eastAsia="Consolas"/>
          <w:sz w:val="18"/>
        </w:rPr>
        <w:t>externalItem</w:t>
      </w:r>
      <w:r>
        <w:t xml:space="preserve"> / EXCEL_ITEM_EXT: „field is null“ möglich → Ergebnis in DI002 prüfen, im Zweifel V5.</w:t>
      </w:r>
    </w:p>
    <w:p>
      <w:pPr>
        <w:pStyle w:val="ListBullet"/>
      </w:pPr>
      <w:r>
        <w:t xml:space="preserve">Excel speichert Nummern als Zahl (z. B. </w:t>
      </w:r>
      <w:r>
        <w:rPr>
          <w:rFonts w:ascii="Consolas" w:hAnsi="Consolas" w:cs="Consolas" w:eastAsia="Consolas"/>
          <w:sz w:val="18"/>
        </w:rPr>
        <w:t>9002323</w:t>
      </w:r>
      <w:r>
        <w:t xml:space="preserve"> → </w:t>
      </w:r>
      <w:r>
        <w:rPr>
          <w:rFonts w:ascii="Consolas" w:hAnsi="Consolas" w:cs="Consolas" w:eastAsia="Consolas"/>
          <w:sz w:val="18"/>
        </w:rPr>
        <w:t>9002323.0</w:t>
      </w:r>
      <w:r>
        <w:t>) → Zellen immer als Text.</w:t>
      </w:r>
    </w:p>
    <w:p>
      <w:pPr>
        <w:pStyle w:val="ListBullet"/>
      </w:pPr>
      <w:r>
        <w:t>Spalten verschoben oder Blatt „Artikel“ nicht an erster Stelle → falsche Felder.</w:t>
      </w:r>
    </w:p>
    <w:p>
      <w:pPr>
        <w:pStyle w:val="ListBullet"/>
      </w:pPr>
      <w:r>
        <w:t>Datei mit einer Einheit, die beim Klienten noch fehlt → Import bricht ab (nichts angelegt).</w:t>
      </w:r>
    </w:p>
    <w:p>
      <w:pPr>
        <w:pStyle w:val="ListBullet"/>
      </w:pPr>
      <w:r>
        <w:t xml:space="preserve">Gleiche Datei zweimal importiert → Artikel werden aktualisiert, nicht doppelt angelegt </w:t>
      </w:r>
      <w:r>
        <w:rPr>
          <w:b/>
        </w:rPr>
        <w:t>[vor Ort prüfen]</w:t>
      </w:r>
      <w:r>
        <w:t>.</w:t>
      </w:r>
    </w:p>
    <w:p>
      <w:pPr>
        <w:pStyle w:val="ListBullet"/>
      </w:pPr>
      <w:r>
        <w:t>Mehrere WAMAS-Tabs offen → Session-Fehler.</w:t>
      </w:r>
    </w:p>
    <w:p>
      <w:pPr>
        <w:pStyle w:val="ListBullet"/>
      </w:pPr>
      <w:r>
        <w:t xml:space="preserve">Falscher Klient in der Spalte </w:t>
      </w:r>
      <w:r>
        <w:rPr>
          <w:b/>
        </w:rPr>
        <w:t>Mandant (clientId)</w:t>
      </w:r>
      <w:r>
        <w:t xml:space="preserve"> → Artikel landen beim falschen Klienten.</w:t>
      </w:r>
    </w:p>
    <w:p>
      <w:pPr>
        <w:pStyle w:val="ListBullet"/>
      </w:pPr>
      <w:r>
        <w:t xml:space="preserve">Einlagerauftrag mit falschem </w:t>
      </w:r>
      <w:r>
        <w:rPr>
          <w:rFonts w:ascii="Consolas" w:hAnsi="Consolas" w:cs="Consolas" w:eastAsia="Consolas"/>
          <w:sz w:val="18"/>
        </w:rPr>
        <w:t>gow</w:t>
      </w:r>
      <w:r>
        <w:t xml:space="preserve"> → Bestand gehört dem falschen Wareneigentümer.</w:t>
      </w:r>
    </w:p>
    <w:p>
      <w:pPr>
        <w:pStyle w:val="Heading1"/>
      </w:pPr>
      <w:r>
        <w:t>11 Praxisbeispiele</w:t>
      </w:r>
    </w:p>
    <w:p>
      <w:pPr>
        <w:pStyle w:val="Heading2"/>
      </w:pPr>
      <w:r>
        <w:t>11.1 Erstimport mit V5</w:t>
      </w:r>
    </w:p>
    <w:p>
      <w:pPr>
        <w:tabs>
          <w:tab w:pos="425" w:val="left"/>
        </w:tabs>
        <w:spacing w:after="60"/>
        <w:ind w:left="425" w:hanging="425"/>
      </w:pPr>
      <w:r>
        <w:rPr>
          <w:b/>
        </w:rPr>
        <w:t>1.</w:t>
        <w:tab/>
      </w:r>
      <w:r>
        <w:t xml:space="preserve">Im Ordner </w:t>
      </w:r>
      <w:r>
        <w:rPr>
          <w:rFonts w:ascii="Consolas" w:hAnsi="Consolas" w:cs="Consolas" w:eastAsia="Consolas"/>
          <w:sz w:val="18"/>
        </w:rPr>
        <w:t>10_Artikel_Import</w:t>
      </w:r>
      <w:r>
        <w:t xml:space="preserve"> die Datei </w:t>
      </w:r>
      <w:r>
        <w:rPr>
          <w:rFonts w:ascii="Consolas" w:hAnsi="Consolas" w:cs="Consolas" w:eastAsia="Consolas"/>
          <w:sz w:val="18"/>
        </w:rPr>
        <w:t>EXCEL_ITEM_V5_profile.xml</w:t>
      </w:r>
      <w:r>
        <w:t xml:space="preserve"> in </w:t>
      </w:r>
      <w:r>
        <w:rPr>
          <w:b/>
        </w:rPr>
        <w:t>LM160</w:t>
      </w:r>
      <w:r>
        <w:t xml:space="preserve"> über </w:t>
      </w:r>
      <w:r>
        <w:rPr>
          <w:b/>
        </w:rPr>
        <w:t>Aus XML-Datei importieren</w:t>
      </w:r>
      <w:r>
        <w:t xml:space="preserve"> (UTF-8) einlesen; Profil </w:t>
      </w:r>
      <w:r>
        <w:rPr>
          <w:b/>
        </w:rPr>
        <w:t>EXCEL_ITEM_V5</w:t>
      </w:r>
      <w:r>
        <w:t xml:space="preserve"> in LM161 kontrollieren.</w:t>
      </w:r>
    </w:p>
    <w:p>
      <w:pPr>
        <w:tabs>
          <w:tab w:pos="425" w:val="left"/>
        </w:tabs>
        <w:spacing w:after="60"/>
        <w:ind w:left="425" w:hanging="425"/>
      </w:pPr>
      <w:r>
        <w:rPr>
          <w:b/>
        </w:rPr>
        <w:t>2.</w:t>
        <w:tab/>
      </w:r>
      <w:r>
        <w:rPr>
          <w:rFonts w:ascii="Consolas" w:hAnsi="Consolas" w:cs="Consolas" w:eastAsia="Consolas"/>
          <w:sz w:val="18"/>
        </w:rPr>
        <w:t>EXCEL_ITEM_V5_Vorlage.xlsx</w:t>
      </w:r>
      <w:r>
        <w:t xml:space="preserve"> kopieren, fünf Schulungsartikel </w:t>
      </w:r>
      <w:r>
        <w:rPr>
          <w:rFonts w:ascii="Consolas" w:hAnsi="Consolas" w:cs="Consolas" w:eastAsia="Consolas"/>
          <w:sz w:val="18"/>
        </w:rPr>
        <w:t>SCHULUNG-001</w:t>
      </w:r>
      <w:r>
        <w:t xml:space="preserve"> bis </w:t>
      </w:r>
      <w:r>
        <w:rPr>
          <w:rFonts w:ascii="Consolas" w:hAnsi="Consolas" w:cs="Consolas" w:eastAsia="Consolas"/>
          <w:sz w:val="18"/>
        </w:rPr>
        <w:t>SCHULUNG-005</w:t>
      </w:r>
      <w:r>
        <w:t xml:space="preserve"> eintragen, Variante </w:t>
      </w:r>
      <w:r>
        <w:rPr>
          <w:rFonts w:ascii="Consolas" w:hAnsi="Consolas" w:cs="Consolas" w:eastAsia="Consolas"/>
          <w:sz w:val="18"/>
        </w:rPr>
        <w:t>STM</w:t>
      </w:r>
      <w:r>
        <w:t xml:space="preserve"> per Dropdown, Einheit </w:t>
      </w:r>
      <w:r>
        <w:rPr>
          <w:rFonts w:ascii="Consolas" w:hAnsi="Consolas" w:cs="Consolas" w:eastAsia="Consolas"/>
          <w:sz w:val="18"/>
        </w:rPr>
        <w:t>PCS</w:t>
      </w:r>
      <w:r>
        <w:t>, Klient nach Entscheid.</w:t>
      </w:r>
    </w:p>
    <w:p>
      <w:pPr>
        <w:tabs>
          <w:tab w:pos="425" w:val="left"/>
        </w:tabs>
        <w:spacing w:after="60"/>
        <w:ind w:left="425" w:hanging="425"/>
      </w:pPr>
      <w:r>
        <w:rPr>
          <w:b/>
        </w:rPr>
        <w:t>3.</w:t>
        <w:tab/>
      </w:r>
      <w:r>
        <w:t xml:space="preserve">In MD001 → </w:t>
      </w:r>
      <w:r>
        <w:rPr>
          <w:b/>
        </w:rPr>
        <w:t>Artikel importieren</w:t>
      </w:r>
      <w:r>
        <w:t xml:space="preserve"> (LM163): Datei = Excel, Profil </w:t>
      </w:r>
      <w:r>
        <w:rPr>
          <w:rFonts w:ascii="Consolas" w:hAnsi="Consolas" w:cs="Consolas" w:eastAsia="Consolas"/>
          <w:sz w:val="18"/>
        </w:rPr>
        <w:t>EXCEL_ITEM_V5</w:t>
      </w:r>
      <w:r>
        <w:t xml:space="preserve">, UTF-8, </w:t>
      </w:r>
      <w:r>
        <w:rPr>
          <w:b/>
        </w:rPr>
        <w:t>JsonConverter</w:t>
      </w:r>
      <w:r>
        <w:t xml:space="preserve">, </w:t>
      </w:r>
      <w:r>
        <w:rPr>
          <w:b/>
        </w:rPr>
        <w:t>HOST</w:t>
      </w:r>
      <w:r>
        <w:t xml:space="preserve">, Verarbeitungspfad leer → </w:t>
      </w:r>
      <w:r>
        <w:rPr>
          <w:b/>
        </w:rPr>
        <w:t>Importieren</w:t>
      </w:r>
      <w:r>
        <w:t>.</w:t>
      </w:r>
    </w:p>
    <w:p>
      <w:pPr>
        <w:tabs>
          <w:tab w:pos="425" w:val="left"/>
        </w:tabs>
        <w:spacing w:after="60"/>
        <w:ind w:left="425" w:hanging="425"/>
      </w:pPr>
      <w:r>
        <w:rPr>
          <w:b/>
        </w:rPr>
        <w:t>4.</w:t>
        <w:tab/>
      </w:r>
      <w:r>
        <w:t xml:space="preserve">In DI002 Status </w:t>
      </w:r>
      <w:r>
        <w:rPr>
          <w:b/>
        </w:rPr>
        <w:t>Fertiggestellt</w:t>
      </w:r>
      <w:r>
        <w:t xml:space="preserve"> prüfen, in MD001 die fünf Artikel suchen.</w:t>
      </w:r>
    </w:p>
    <w:p>
      <w:pPr>
        <w:pStyle w:val="Heading2"/>
      </w:pPr>
      <w:r>
        <w:t>11.2 Fehlerfall „workbook is null“</w:t>
      </w:r>
    </w:p>
    <w:p>
      <w:r>
        <w:t xml:space="preserve">In LM163 wurde versehentlich </w:t>
      </w:r>
      <w:r>
        <w:rPr>
          <w:rFonts w:ascii="Consolas" w:hAnsi="Consolas" w:cs="Consolas" w:eastAsia="Consolas"/>
          <w:sz w:val="18"/>
        </w:rPr>
        <w:t>EXCEL_ITEM_V5_profile.xml</w:t>
      </w:r>
      <w:r>
        <w:t xml:space="preserve"> als Datei gewählt. Abhilfe: Dialog neu öffnen, im Feld </w:t>
      </w:r>
      <w:r>
        <w:rPr>
          <w:b/>
        </w:rPr>
        <w:t>Datei</w:t>
      </w:r>
      <w:r>
        <w:t xml:space="preserve"> die </w:t>
      </w:r>
      <w:r>
        <w:rPr>
          <w:rFonts w:ascii="Consolas" w:hAnsi="Consolas" w:cs="Consolas" w:eastAsia="Consolas"/>
          <w:sz w:val="18"/>
        </w:rPr>
        <w:t>.xlsx</w:t>
      </w:r>
      <w:r>
        <w:t xml:space="preserve"> wählen, übrige Felder wie Tab. 6 – Import läuft.</w:t>
      </w:r>
    </w:p>
    <w:p>
      <w:pPr>
        <w:pStyle w:val="Heading1"/>
      </w:pPr>
      <w:r>
        <w:t>12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37"/>
        <w:gridCol w:w="8487"/>
      </w:tblGrid>
      <w:tr>
        <w:trPr>
          <w:tblHeader w:val="true"/>
          <w:cantSplit w:val="true"/>
        </w:trPr>
        <w:tc>
          <w:tcPr>
            <w:tcW w:type="dxa" w:w="1037"/>
            <w:shd w:val="clear" w:color="auto" w:fill="FEEE19"/>
          </w:tcPr>
          <w:p>
            <w:pPr>
              <w:spacing w:after="0"/>
            </w:pPr>
            <w:r>
              <w:rPr>
                <w:b/>
                <w:sz w:val="17"/>
              </w:rPr>
              <w:t>Kürzel</w:t>
            </w:r>
          </w:p>
        </w:tc>
        <w:tc>
          <w:tcPr>
            <w:tcW w:type="dxa" w:w="8487"/>
            <w:shd w:val="clear" w:color="auto" w:fill="FEEE19"/>
          </w:tcPr>
          <w:p>
            <w:pPr>
              <w:spacing w:after="0"/>
            </w:pPr>
            <w:r>
              <w:rPr>
                <w:b/>
                <w:sz w:val="17"/>
              </w:rPr>
              <w:t>Dokument / Datei</w:t>
            </w:r>
          </w:p>
        </w:tc>
      </w:tr>
      <w:tr>
        <w:trPr>
          <w:cantSplit w:val="true"/>
        </w:trPr>
        <w:tc>
          <w:tcPr>
            <w:tcW w:type="dxa" w:w="1037"/>
          </w:tcPr>
          <w:p>
            <w:pPr>
              <w:spacing w:after="0" w:line="252" w:lineRule="auto"/>
            </w:pPr>
            <w:r>
              <w:rPr>
                <w:sz w:val="17"/>
              </w:rPr>
              <w:t>VO</w:t>
            </w:r>
          </w:p>
        </w:tc>
        <w:tc>
          <w:tcPr>
            <w:tcW w:type="dxa" w:w="8487"/>
          </w:tcPr>
          <w:p>
            <w:pPr>
              <w:spacing w:after="0" w:line="252" w:lineRule="auto"/>
            </w:pPr>
            <w:r>
              <w:rPr>
                <w:sz w:val="17"/>
              </w:rPr>
              <w:t xml:space="preserve">Live-Import vor Ort bei der Stumatec, 26.10.2026 (LM160/LM163, Konverter, Profil/Vorlage, Variante </w:t>
            </w:r>
            <w:r>
              <w:rPr>
                <w:rFonts w:ascii="Consolas" w:hAnsi="Consolas" w:cs="Consolas" w:eastAsia="Consolas"/>
                <w:sz w:val="15"/>
              </w:rPr>
              <w:t>STM</w:t>
            </w:r>
            <w:r>
              <w:rPr>
                <w:sz w:val="17"/>
              </w:rPr>
              <w:t>/</w:t>
            </w:r>
            <w:r>
              <w:rPr>
                <w:rFonts w:ascii="Consolas" w:hAnsi="Consolas" w:cs="Consolas" w:eastAsia="Consolas"/>
                <w:sz w:val="15"/>
              </w:rPr>
              <w:t>STS</w:t>
            </w:r>
            <w:r>
              <w:rPr>
                <w:sz w:val="17"/>
              </w:rPr>
              <w:t>)</w:t>
            </w:r>
          </w:p>
        </w:tc>
      </w:tr>
      <w:tr>
        <w:trPr>
          <w:cantSplit w:val="true"/>
        </w:trPr>
        <w:tc>
          <w:tcPr>
            <w:tcW w:type="dxa" w:w="1037"/>
          </w:tcPr>
          <w:p>
            <w:pPr>
              <w:spacing w:after="0" w:line="252" w:lineRule="auto"/>
            </w:pPr>
            <w:r>
              <w:rPr>
                <w:sz w:val="17"/>
              </w:rPr>
              <w:t>KH-A</w:t>
            </w:r>
          </w:p>
        </w:tc>
        <w:tc>
          <w:tcPr>
            <w:tcW w:type="dxa" w:w="8487"/>
          </w:tcPr>
          <w:p>
            <w:pPr>
              <w:spacing w:after="0" w:line="252" w:lineRule="auto"/>
            </w:pPr>
            <w:r>
              <w:rPr>
                <w:sz w:val="17"/>
              </w:rPr>
              <w:t>Know-how Admin-/Desktop-Client, Stand 17.10.2026</w:t>
            </w:r>
          </w:p>
        </w:tc>
      </w:tr>
      <w:tr>
        <w:trPr>
          <w:cantSplit w:val="true"/>
        </w:trPr>
        <w:tc>
          <w:tcPr>
            <w:tcW w:type="dxa" w:w="1037"/>
          </w:tcPr>
          <w:p>
            <w:pPr>
              <w:spacing w:after="0" w:line="252" w:lineRule="auto"/>
            </w:pPr>
            <w:r>
              <w:rPr>
                <w:sz w:val="17"/>
              </w:rPr>
              <w:t>TL</w:t>
            </w:r>
          </w:p>
        </w:tc>
        <w:tc>
          <w:tcPr>
            <w:tcW w:type="dxa" w:w="8487"/>
          </w:tcPr>
          <w:p>
            <w:pPr>
              <w:spacing w:after="0" w:line="252" w:lineRule="auto"/>
            </w:pPr>
            <w:r>
              <w:rPr>
                <w:sz w:val="17"/>
              </w:rPr>
              <w:t>Testlog WAMAS Dev 16.–23.10.2026</w:t>
            </w:r>
          </w:p>
        </w:tc>
      </w:tr>
      <w:tr>
        <w:trPr>
          <w:cantSplit w:val="true"/>
        </w:trPr>
        <w:tc>
          <w:tcPr>
            <w:tcW w:type="dxa" w:w="1037"/>
          </w:tcPr>
          <w:p>
            <w:pPr>
              <w:spacing w:after="0" w:line="252" w:lineRule="auto"/>
            </w:pPr>
            <w:r>
              <w:rPr>
                <w:sz w:val="17"/>
              </w:rPr>
              <w:t>AH28 / IF28</w:t>
            </w:r>
          </w:p>
        </w:tc>
        <w:tc>
          <w:tcPr>
            <w:tcW w:type="dxa" w:w="8487"/>
          </w:tcPr>
          <w:p>
            <w:pPr>
              <w:spacing w:after="0" w:line="252" w:lineRule="auto"/>
            </w:pPr>
            <w:r>
              <w:rPr>
                <w:sz w:val="17"/>
              </w:rPr>
              <w:t>Administrator Manual 2.8 / Interface Manual 2.8</w:t>
            </w:r>
          </w:p>
        </w:tc>
      </w:tr>
      <w:tr>
        <w:trPr>
          <w:cantSplit w:val="true"/>
        </w:trPr>
        <w:tc>
          <w:tcPr>
            <w:tcW w:type="dxa" w:w="1037"/>
          </w:tcPr>
          <w:p>
            <w:pPr>
              <w:spacing w:after="0" w:line="252" w:lineRule="auto"/>
            </w:pPr>
            <w:r>
              <w:rPr>
                <w:sz w:val="17"/>
              </w:rPr>
              <w:t>WDW-AI</w:t>
            </w:r>
          </w:p>
        </w:tc>
        <w:tc>
          <w:tcPr>
            <w:tcW w:type="dxa" w:w="8487"/>
          </w:tcPr>
          <w:p>
            <w:pPr>
              <w:spacing w:after="0" w:line="252" w:lineRule="auto"/>
            </w:pPr>
            <w:r>
              <w:rPr>
                <w:sz w:val="17"/>
              </w:rPr>
              <w:t>How-to Artikel anlegen und importieren 2.8 V 1.0</w:t>
            </w:r>
          </w:p>
        </w:tc>
      </w:tr>
      <w:tr>
        <w:trPr>
          <w:cantSplit w:val="true"/>
        </w:trPr>
        <w:tc>
          <w:tcPr>
            <w:tcW w:type="dxa" w:w="1037"/>
          </w:tcPr>
          <w:p>
            <w:pPr>
              <w:spacing w:after="0" w:line="252" w:lineRule="auto"/>
            </w:pPr>
            <w:r>
              <w:rPr>
                <w:sz w:val="17"/>
              </w:rPr>
              <w:t>TG28</w:t>
            </w:r>
          </w:p>
        </w:tc>
        <w:tc>
          <w:tcPr>
            <w:tcW w:type="dxa" w:w="8487"/>
          </w:tcPr>
          <w:p>
            <w:pPr>
              <w:spacing w:after="0" w:line="252" w:lineRule="auto"/>
            </w:pPr>
            <w:r>
              <w:rPr>
                <w:sz w:val="17"/>
              </w:rPr>
              <w:t>Telegramm-Anleitung Stammdaten- und Auftragsimport 2.8 V 1.0</w:t>
            </w:r>
          </w:p>
        </w:tc>
      </w:tr>
      <w:tr>
        <w:trPr>
          <w:cantSplit w:val="true"/>
        </w:trPr>
        <w:tc>
          <w:tcPr>
            <w:tcW w:type="dxa" w:w="1037"/>
          </w:tcPr>
          <w:p>
            <w:pPr>
              <w:spacing w:after="0" w:line="252" w:lineRule="auto"/>
            </w:pPr>
            <w:r>
              <w:rPr>
                <w:sz w:val="17"/>
              </w:rPr>
              <w:t>V5</w:t>
            </w:r>
          </w:p>
        </w:tc>
        <w:tc>
          <w:tcPr>
            <w:tcW w:type="dxa" w:w="8487"/>
          </w:tcPr>
          <w:p>
            <w:pPr>
              <w:spacing w:after="0" w:line="252" w:lineRule="auto"/>
            </w:pPr>
            <w:r>
              <w:rPr>
                <w:rFonts w:ascii="Consolas" w:hAnsi="Consolas" w:cs="Consolas" w:eastAsia="Consolas"/>
                <w:sz w:val="15"/>
              </w:rPr>
              <w:t>EXCEL_ITEM_V5_Vorlage.xlsx</w:t>
            </w:r>
            <w:r>
              <w:rPr>
                <w:sz w:val="17"/>
              </w:rPr>
              <w:t xml:space="preserve">, </w:t>
            </w:r>
            <w:r>
              <w:rPr>
                <w:rFonts w:ascii="Consolas" w:hAnsi="Consolas" w:cs="Consolas" w:eastAsia="Consolas"/>
                <w:sz w:val="15"/>
              </w:rPr>
              <w:t>EXCEL_ITEM_V5_profile.xml</w:t>
            </w:r>
            <w:r>
              <w:rPr>
                <w:sz w:val="17"/>
              </w:rPr>
              <w:t xml:space="preserve"> (Stand 17.10.2026)</w:t>
            </w:r>
          </w:p>
        </w:tc>
      </w:tr>
      <w:tr>
        <w:trPr>
          <w:cantSplit w:val="true"/>
        </w:trPr>
        <w:tc>
          <w:tcPr>
            <w:tcW w:type="dxa" w:w="1037"/>
          </w:tcPr>
          <w:p>
            <w:pPr>
              <w:spacing w:after="0" w:line="252" w:lineRule="auto"/>
            </w:pPr>
            <w:r>
              <w:rPr>
                <w:sz w:val="17"/>
              </w:rPr>
              <w:t>Vorlagen</w:t>
            </w:r>
          </w:p>
        </w:tc>
        <w:tc>
          <w:tcPr>
            <w:tcW w:type="dxa" w:w="8487"/>
          </w:tcPr>
          <w:p>
            <w:pPr>
              <w:spacing w:after="0" w:line="252" w:lineRule="auto"/>
            </w:pPr>
            <w:r>
              <w:rPr>
                <w:rFonts w:ascii="Consolas" w:hAnsi="Consolas" w:cs="Consolas" w:eastAsia="Consolas"/>
                <w:sz w:val="15"/>
              </w:rPr>
              <w:t>Stumatec_EXCEL_ITEM_MIN_Vorlage_v1.0.xlsx</w:t>
            </w:r>
            <w:r>
              <w:rPr>
                <w:sz w:val="17"/>
              </w:rPr>
              <w:t xml:space="preserve">, </w:t>
            </w:r>
            <w:r>
              <w:rPr>
                <w:rFonts w:ascii="Consolas" w:hAnsi="Consolas" w:cs="Consolas" w:eastAsia="Consolas"/>
                <w:sz w:val="15"/>
              </w:rPr>
              <w:t>Stumatec_EXCEL_ITEM_EXT_v2_Vorlage</w:t>
            </w:r>
            <w:r>
              <w:rPr>
                <w:sz w:val="17"/>
              </w:rPr>
              <w:t xml:space="preserve"> (Ordner </w:t>
            </w:r>
            <w:r>
              <w:rPr>
                <w:rFonts w:ascii="Consolas" w:hAnsi="Consolas" w:cs="Consolas" w:eastAsia="Consolas"/>
                <w:sz w:val="15"/>
              </w:rPr>
              <w:t>10_Artikel_Import</w:t>
            </w:r>
            <w:r>
              <w:rPr>
                <w:sz w:val="17"/>
              </w:rPr>
              <w:t>, Sobo)</w:t>
            </w:r>
          </w:p>
        </w:tc>
      </w:tr>
    </w:tbl>
    <w:p>
      <w:pPr>
        <w:pStyle w:val="BeschriftungSSI"/>
      </w:pPr>
      <w:r>
        <w:t>Tab. 9: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 · SSI LOGIMAT</w:t>
          </w:r>
        </w:p>
        <w:p>
          <w:pPr>
            <w:spacing w:after="0" w:line="240" w:lineRule="auto"/>
          </w:pPr>
          <w:r>
            <w:rPr>
              <w:sz w:val="13"/>
            </w:rPr>
            <w:t>Stumatec · Artikel importieren V 1.1</w:t>
          </w:r>
        </w:p>
        <w:p>
          <w:pPr>
            <w:spacing w:after="0" w:line="240" w:lineRule="auto"/>
          </w:pPr>
          <w:r>
            <w:rPr>
              <w:sz w:val="13"/>
            </w:rPr>
            <w:t>Kundendokument</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Arbeitsanleitung</w:t>
    </w:r>
  </w:p>
  <w:p>
    <w:pPr>
      <w:jc w:val="right"/>
      <w:pBdr>
        <w:bottom w:val="single" w:sz="4" w:space="4" w:color="000000"/>
      </w:pBdr>
    </w:pPr>
    <w:r>
      <w:rPr>
        <w:b/>
        <w:sz w:val="22"/>
      </w:rPr>
      <w:t>Stumatec – Artikel und Einlageraufträge importieren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Artikel und Einlageraufträge importieren</dc:title>
  <dc:subject>Excel-Import über LM160/LM163 und Einlagerauftrag per Telegramm</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